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518"/>
        </w:tabs>
        <w:kinsoku w:val="0"/>
        <w:autoSpaceDE w:val="0"/>
        <w:autoSpaceDN w:val="0"/>
        <w:adjustRightInd w:val="0"/>
        <w:snapToGrid w:val="0"/>
        <w:spacing w:before="190" w:line="180" w:lineRule="auto"/>
        <w:ind w:firstLine="1308" w:firstLineChars="300"/>
        <w:jc w:val="both"/>
        <w:textAlignment w:val="baseline"/>
        <w:rPr>
          <w:rFonts w:hint="eastAsia" w:ascii="黑体" w:hAnsi="黑体" w:eastAsia="黑体" w:cs="黑体"/>
          <w:snapToGrid w:val="0"/>
          <w:color w:val="000000"/>
          <w:spacing w:val="-2"/>
          <w:kern w:val="0"/>
          <w:sz w:val="44"/>
          <w:szCs w:val="44"/>
        </w:rPr>
      </w:pPr>
      <w:r>
        <w:rPr>
          <w:rFonts w:hint="eastAsia" w:ascii="黑体" w:hAnsi="黑体" w:eastAsia="黑体" w:cs="黑体"/>
          <w:snapToGrid w:val="0"/>
          <w:color w:val="000000"/>
          <w:spacing w:val="-2"/>
          <w:kern w:val="0"/>
          <w:sz w:val="44"/>
          <w:szCs w:val="44"/>
        </w:rPr>
        <w:t>淄博经济开发区管理委员会</w:t>
      </w:r>
    </w:p>
    <w:p>
      <w:pPr>
        <w:widowControl/>
        <w:tabs>
          <w:tab w:val="left" w:pos="3518"/>
        </w:tabs>
        <w:kinsoku w:val="0"/>
        <w:autoSpaceDE w:val="0"/>
        <w:autoSpaceDN w:val="0"/>
        <w:adjustRightInd w:val="0"/>
        <w:snapToGrid w:val="0"/>
        <w:spacing w:before="190" w:line="180" w:lineRule="auto"/>
        <w:ind w:firstLine="2180" w:firstLineChars="500"/>
        <w:jc w:val="both"/>
        <w:textAlignment w:val="baseline"/>
        <w:rPr>
          <w:rFonts w:hint="eastAsia" w:ascii="黑体" w:hAnsi="黑体" w:eastAsia="黑体" w:cs="黑体"/>
          <w:snapToGrid w:val="0"/>
          <w:color w:val="000000"/>
          <w:spacing w:val="-2"/>
          <w:kern w:val="0"/>
          <w:sz w:val="44"/>
          <w:szCs w:val="44"/>
        </w:rPr>
      </w:pPr>
      <w:r>
        <w:rPr>
          <w:rFonts w:hint="eastAsia" w:ascii="黑体" w:hAnsi="黑体" w:eastAsia="黑体" w:cs="黑体"/>
          <w:snapToGrid w:val="0"/>
          <w:color w:val="000000"/>
          <w:spacing w:val="-2"/>
          <w:kern w:val="0"/>
          <w:sz w:val="44"/>
          <w:szCs w:val="44"/>
        </w:rPr>
        <w:t>行政处罚决定书</w:t>
      </w:r>
    </w:p>
    <w:p>
      <w:pPr>
        <w:spacing w:line="520" w:lineRule="exact"/>
        <w:ind w:firstLine="1600" w:firstLineChars="5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淄经开市监傅处罚〔202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25</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单位名称：张店博佰超市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统一社会信用代码：92370303MA3M2K8A0Q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经营者：毛林景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经营场所：山东省淄博市张店区傅家镇苏村泉山农贸市场1-2号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2022年9月6日本局对当事人销售的多功能电热锅进行了监督抽检，淄博市产品质量检验研究院出具的NO：2022（DQJC）0010号检验报告，检验结果为不合格，</w:t>
      </w:r>
      <w:r>
        <w:rPr>
          <w:rFonts w:hint="eastAsia" w:ascii="仿宋" w:hAnsi="仿宋" w:eastAsia="仿宋" w:cs="仿宋"/>
          <w:b w:val="0"/>
          <w:bCs w:val="0"/>
          <w:sz w:val="32"/>
          <w:szCs w:val="32"/>
          <w:u w:val="none"/>
          <w:lang w:val="en-US" w:eastAsia="zh-CN"/>
        </w:rPr>
        <w:t>当事人涉嫌销售不合格多功能电热锅</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为进一步调查，</w:t>
      </w:r>
      <w:r>
        <w:rPr>
          <w:rFonts w:hint="eastAsia" w:ascii="仿宋" w:hAnsi="仿宋" w:eastAsia="仿宋" w:cs="仿宋"/>
          <w:sz w:val="32"/>
          <w:szCs w:val="32"/>
          <w:u w:val="none"/>
          <w:lang w:val="en-US" w:eastAsia="zh-CN"/>
        </w:rPr>
        <w:t>执法人员</w:t>
      </w:r>
      <w:r>
        <w:rPr>
          <w:rFonts w:hint="eastAsia" w:ascii="仿宋" w:hAnsi="仿宋" w:eastAsia="仿宋" w:cs="仿宋"/>
          <w:sz w:val="32"/>
          <w:szCs w:val="32"/>
          <w:u w:val="none"/>
        </w:rPr>
        <w:t>于20</w:t>
      </w:r>
      <w:r>
        <w:rPr>
          <w:rFonts w:ascii="仿宋" w:hAnsi="仿宋" w:eastAsia="仿宋" w:cs="仿宋"/>
          <w:sz w:val="32"/>
          <w:szCs w:val="32"/>
          <w:u w:val="none"/>
        </w:rPr>
        <w:t>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rPr>
        <w:t>日填写《立案审批表》报请局领导立案调查，局领导于当日批准立案，并指定</w:t>
      </w:r>
      <w:r>
        <w:rPr>
          <w:rFonts w:hint="eastAsia" w:ascii="仿宋" w:hAnsi="仿宋" w:eastAsia="仿宋" w:cs="仿宋"/>
          <w:sz w:val="32"/>
          <w:szCs w:val="32"/>
          <w:u w:val="none"/>
          <w:lang w:val="en-US" w:eastAsia="zh-CN"/>
        </w:rPr>
        <w:t>王宁</w:t>
      </w:r>
      <w:r>
        <w:rPr>
          <w:rFonts w:hint="eastAsia" w:ascii="仿宋" w:hAnsi="仿宋" w:eastAsia="仿宋" w:cs="仿宋"/>
          <w:sz w:val="32"/>
          <w:szCs w:val="32"/>
          <w:u w:val="none"/>
        </w:rPr>
        <w:t>为</w:t>
      </w:r>
      <w:r>
        <w:rPr>
          <w:rFonts w:ascii="仿宋" w:hAnsi="仿宋" w:eastAsia="仿宋" w:cs="仿宋"/>
          <w:sz w:val="32"/>
          <w:szCs w:val="32"/>
          <w:u w:val="none"/>
        </w:rPr>
        <w:t>主办人</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张彤</w:t>
      </w:r>
      <w:r>
        <w:rPr>
          <w:rFonts w:hint="eastAsia" w:ascii="仿宋" w:hAnsi="仿宋" w:eastAsia="仿宋" w:cs="仿宋"/>
          <w:sz w:val="32"/>
          <w:szCs w:val="32"/>
          <w:u w:val="none"/>
        </w:rPr>
        <w:t>为案件协办人负责本案调查。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20</w:t>
      </w:r>
      <w:r>
        <w:rPr>
          <w:rFonts w:ascii="仿宋" w:hAnsi="仿宋" w:eastAsia="仿宋" w:cs="仿宋"/>
          <w:sz w:val="32"/>
          <w:szCs w:val="32"/>
          <w:u w:val="none"/>
        </w:rPr>
        <w:t>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26日本局执法人员对当事人的经营场所进行了现场检查，制作了现场检查笔录，并送达了NO：2022（DQJC）0010</w:t>
      </w:r>
      <w:r>
        <w:rPr>
          <w:rFonts w:hint="eastAsia" w:ascii="仿宋" w:hAnsi="仿宋" w:eastAsia="仿宋" w:cs="仿宋"/>
          <w:b w:val="0"/>
          <w:bCs w:val="0"/>
          <w:sz w:val="32"/>
          <w:szCs w:val="32"/>
          <w:u w:val="none"/>
          <w:lang w:val="en-US" w:eastAsia="zh-CN"/>
        </w:rPr>
        <w:t>号检验报告。</w:t>
      </w:r>
      <w:r>
        <w:rPr>
          <w:rFonts w:hint="eastAsia" w:ascii="仿宋" w:hAnsi="仿宋" w:eastAsia="仿宋" w:cs="仿宋"/>
          <w:sz w:val="32"/>
          <w:szCs w:val="32"/>
          <w:u w:val="none"/>
        </w:rPr>
        <w:t>20</w:t>
      </w:r>
      <w:r>
        <w:rPr>
          <w:rFonts w:ascii="仿宋" w:hAnsi="仿宋" w:eastAsia="仿宋" w:cs="仿宋"/>
          <w:sz w:val="32"/>
          <w:szCs w:val="32"/>
          <w:u w:val="none"/>
        </w:rPr>
        <w:t>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16</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本局执法人员对当事人的经营场</w:t>
      </w:r>
      <w:r>
        <w:rPr>
          <w:rFonts w:hint="eastAsia" w:ascii="仿宋" w:hAnsi="仿宋" w:eastAsia="仿宋" w:cs="仿宋"/>
          <w:sz w:val="32"/>
          <w:szCs w:val="32"/>
          <w:u w:val="none"/>
          <w:lang w:val="en-US" w:eastAsia="zh-CN"/>
        </w:rPr>
        <w:tab/>
      </w:r>
      <w:r>
        <w:rPr>
          <w:rFonts w:hint="eastAsia" w:ascii="仿宋" w:hAnsi="仿宋" w:eastAsia="仿宋" w:cs="仿宋"/>
          <w:sz w:val="32"/>
          <w:szCs w:val="32"/>
          <w:u w:val="none"/>
          <w:lang w:val="en-US" w:eastAsia="zh-CN"/>
        </w:rPr>
        <w:t>所进行了现场检查，制作了现场检查笔录。</w:t>
      </w:r>
      <w:r>
        <w:rPr>
          <w:rFonts w:hint="eastAsia" w:ascii="仿宋" w:hAnsi="仿宋" w:eastAsia="仿宋" w:cs="仿宋"/>
          <w:sz w:val="32"/>
          <w:szCs w:val="32"/>
          <w:u w:val="none"/>
        </w:rPr>
        <w:t>20</w:t>
      </w:r>
      <w:r>
        <w:rPr>
          <w:rFonts w:ascii="仿宋" w:hAnsi="仿宋" w:eastAsia="仿宋" w:cs="仿宋"/>
          <w:sz w:val="32"/>
          <w:szCs w:val="32"/>
          <w:u w:val="none"/>
        </w:rPr>
        <w:t>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rPr>
        <w:t>日</w:t>
      </w:r>
      <w:r>
        <w:rPr>
          <w:rFonts w:hint="eastAsia" w:ascii="仿宋" w:hAnsi="仿宋" w:eastAsia="仿宋" w:cs="仿宋"/>
          <w:sz w:val="32"/>
          <w:szCs w:val="32"/>
          <w:u w:val="none"/>
          <w:lang w:eastAsia="zh-CN"/>
        </w:rPr>
        <w:t>本局</w:t>
      </w:r>
      <w:r>
        <w:rPr>
          <w:rFonts w:hint="eastAsia" w:ascii="仿宋" w:hAnsi="仿宋" w:eastAsia="仿宋" w:cs="仿宋"/>
          <w:sz w:val="32"/>
          <w:szCs w:val="32"/>
          <w:u w:val="none"/>
        </w:rPr>
        <w:t>执法人员依法对</w:t>
      </w:r>
      <w:r>
        <w:rPr>
          <w:rFonts w:hint="eastAsia" w:ascii="仿宋" w:hAnsi="仿宋" w:eastAsia="仿宋" w:cs="仿宋"/>
          <w:sz w:val="32"/>
          <w:szCs w:val="32"/>
          <w:u w:val="none"/>
          <w:lang w:val="en-US" w:eastAsia="zh-CN"/>
        </w:rPr>
        <w:t>当事人经营者毛林景</w:t>
      </w:r>
      <w:r>
        <w:rPr>
          <w:rFonts w:hint="eastAsia" w:ascii="仿宋" w:hAnsi="仿宋" w:eastAsia="仿宋" w:cs="仿宋"/>
          <w:sz w:val="32"/>
          <w:szCs w:val="32"/>
          <w:u w:val="none"/>
        </w:rPr>
        <w:t>进行了书面询问。</w:t>
      </w:r>
      <w:r>
        <w:rPr>
          <w:rFonts w:hint="eastAsia" w:ascii="仿宋" w:hAnsi="仿宋" w:eastAsia="仿宋" w:cs="仿宋"/>
          <w:sz w:val="32"/>
          <w:szCs w:val="32"/>
          <w:u w:val="none"/>
          <w:lang w:val="en-US" w:eastAsia="zh-CN"/>
        </w:rPr>
        <w:t>并制作了询问笔录。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经查实，当事人销售的</w:t>
      </w:r>
      <w:r>
        <w:rPr>
          <w:rFonts w:hint="eastAsia" w:ascii="仿宋" w:hAnsi="仿宋" w:eastAsia="仿宋"/>
          <w:sz w:val="32"/>
          <w:szCs w:val="32"/>
          <w:u w:val="none"/>
          <w:lang w:val="en-US" w:eastAsia="zh-CN"/>
        </w:rPr>
        <w:t>型号为YXDG-14 3L</w:t>
      </w:r>
      <w:r>
        <w:rPr>
          <w:rFonts w:hint="eastAsia" w:ascii="仿宋" w:hAnsi="仿宋" w:eastAsia="仿宋" w:cs="仿宋"/>
          <w:b w:val="0"/>
          <w:bCs w:val="0"/>
          <w:sz w:val="32"/>
          <w:szCs w:val="32"/>
          <w:u w:val="none"/>
          <w:lang w:val="en-US" w:eastAsia="zh-CN"/>
        </w:rPr>
        <w:t>的多功能电热锅为不合格产品，当事人在法定期限内未提出异议。当事人购进型号为</w:t>
      </w:r>
      <w:r>
        <w:rPr>
          <w:rFonts w:hint="eastAsia" w:ascii="仿宋" w:hAnsi="仿宋" w:eastAsia="仿宋"/>
          <w:sz w:val="32"/>
          <w:szCs w:val="32"/>
          <w:u w:val="none"/>
          <w:lang w:val="en-US" w:eastAsia="zh-CN"/>
        </w:rPr>
        <w:t>型号为YXDG-14 3L</w:t>
      </w:r>
      <w:r>
        <w:rPr>
          <w:rFonts w:hint="eastAsia" w:ascii="仿宋" w:hAnsi="仿宋" w:eastAsia="仿宋" w:cs="仿宋"/>
          <w:b w:val="0"/>
          <w:bCs w:val="0"/>
          <w:sz w:val="32"/>
          <w:szCs w:val="32"/>
          <w:u w:val="none"/>
          <w:lang w:val="en-US" w:eastAsia="zh-CN"/>
        </w:rPr>
        <w:t>的多功能电热锅3台，没有售出，没有违法所得。销售单价为78元每台，货值为234元，当事人未建立进销货台账，产品来源无法说明。另，当事人2022年5月21日有过一次销售不合格产品被市场监督管理部门处罚的记录。</w:t>
      </w:r>
    </w:p>
    <w:p>
      <w:pPr>
        <w:pStyle w:val="2"/>
        <w:keepNext w:val="0"/>
        <w:keepLines w:val="0"/>
        <w:pageBreakBefore w:val="0"/>
        <w:widowControl w:val="0"/>
        <w:kinsoku/>
        <w:wordWrap/>
        <w:overflowPunct/>
        <w:topLinePunct w:val="0"/>
        <w:autoSpaceDE/>
        <w:autoSpaceDN/>
        <w:bidi w:val="0"/>
        <w:adjustRightInd/>
        <w:spacing w:line="500" w:lineRule="exact"/>
        <w:textAlignment w:val="auto"/>
        <w:rPr>
          <w:rFonts w:hint="default"/>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上述事实，主要有以下证据证明：</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val="0"/>
          <w:bCs w:val="0"/>
          <w:sz w:val="32"/>
          <w:szCs w:val="32"/>
          <w:u w:val="none"/>
          <w:lang w:val="en-US" w:eastAsia="zh-CN"/>
        </w:rPr>
        <w:t>当事人的营业执照复印件一份共1页，经营者身份证复印件1份共1页，分别证明当事人身份信息、被询问人身份信息</w:t>
      </w:r>
      <w:r>
        <w:rPr>
          <w:rFonts w:hint="eastAsia" w:ascii="仿宋" w:hAnsi="仿宋" w:eastAsia="仿宋" w:cs="仿宋"/>
          <w:sz w:val="32"/>
          <w:szCs w:val="32"/>
          <w:u w:val="none"/>
        </w:rPr>
        <w:t>；2.</w:t>
      </w:r>
      <w:r>
        <w:rPr>
          <w:rFonts w:hint="eastAsia" w:ascii="仿宋" w:hAnsi="仿宋" w:eastAsia="仿宋" w:cs="仿宋"/>
          <w:b w:val="0"/>
          <w:bCs w:val="0"/>
          <w:sz w:val="32"/>
          <w:szCs w:val="32"/>
          <w:u w:val="none"/>
          <w:lang w:val="en-US" w:eastAsia="zh-CN"/>
        </w:rPr>
        <w:t>对当事人经营者的询问笔录1份共3页，证明当事人涉案产品的进销货情况</w:t>
      </w:r>
      <w:r>
        <w:rPr>
          <w:rFonts w:hint="eastAsia" w:ascii="仿宋" w:hAnsi="仿宋" w:eastAsia="仿宋" w:cs="仿宋"/>
          <w:sz w:val="32"/>
          <w:szCs w:val="32"/>
          <w:u w:val="none"/>
        </w:rPr>
        <w:t>；</w:t>
      </w:r>
      <w:r>
        <w:rPr>
          <w:rFonts w:ascii="仿宋" w:hAnsi="仿宋" w:eastAsia="仿宋" w:cs="仿宋"/>
          <w:sz w:val="32"/>
          <w:szCs w:val="32"/>
          <w:u w:val="none"/>
        </w:rPr>
        <w:t>3</w:t>
      </w:r>
      <w:r>
        <w:rPr>
          <w:rFonts w:hint="eastAsia" w:ascii="仿宋" w:hAnsi="仿宋" w:eastAsia="仿宋" w:cs="仿宋"/>
          <w:sz w:val="32"/>
          <w:szCs w:val="32"/>
          <w:u w:val="none"/>
        </w:rPr>
        <w:t>．</w:t>
      </w:r>
      <w:r>
        <w:rPr>
          <w:rFonts w:hint="eastAsia" w:ascii="仿宋" w:hAnsi="仿宋" w:eastAsia="仿宋" w:cs="仿宋"/>
          <w:b w:val="0"/>
          <w:bCs w:val="0"/>
          <w:sz w:val="32"/>
          <w:szCs w:val="32"/>
          <w:u w:val="none"/>
          <w:lang w:val="en-US" w:eastAsia="zh-CN"/>
        </w:rPr>
        <w:t>对当事人的现场检查笔录2份共6页</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分别证明当事人的库存和整改情况</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4.淄博市市场监督管理局产品质量监督抽查抽样单复印件1份共1页、证明当事人涉案产品的库存及货值。5.当事人的产品合格证照片复印件1份共1页，证明当事人查验了产品资质。6.淄经开市监质处字[2022]007号处罚决定书复印件1份共3页，证明当事人一年内被市场监管部门因同样性质违法行为被处罚过的事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以上证据</w:t>
      </w:r>
      <w:r>
        <w:rPr>
          <w:rFonts w:hint="eastAsia" w:ascii="仿宋" w:hAnsi="仿宋" w:eastAsia="仿宋" w:cs="仿宋"/>
          <w:sz w:val="32"/>
          <w:szCs w:val="32"/>
          <w:u w:val="none"/>
          <w:lang w:val="en-US" w:eastAsia="zh-CN"/>
        </w:rPr>
        <w:t>材料</w:t>
      </w:r>
      <w:r>
        <w:rPr>
          <w:rFonts w:hint="eastAsia" w:ascii="仿宋" w:hAnsi="仿宋" w:eastAsia="仿宋" w:cs="仿宋"/>
          <w:sz w:val="32"/>
          <w:szCs w:val="32"/>
          <w:u w:val="none"/>
        </w:rPr>
        <w:t>均由</w:t>
      </w:r>
      <w:r>
        <w:rPr>
          <w:rFonts w:hint="eastAsia" w:ascii="仿宋" w:hAnsi="仿宋" w:eastAsia="仿宋" w:cs="仿宋"/>
          <w:sz w:val="32"/>
          <w:szCs w:val="32"/>
          <w:u w:val="none"/>
          <w:lang w:eastAsia="zh-CN"/>
        </w:rPr>
        <w:t>当事人</w:t>
      </w:r>
      <w:r>
        <w:rPr>
          <w:rFonts w:hint="eastAsia" w:ascii="仿宋" w:hAnsi="仿宋" w:eastAsia="仿宋" w:cs="仿宋"/>
          <w:sz w:val="32"/>
          <w:szCs w:val="32"/>
          <w:u w:val="none"/>
          <w:lang w:val="en-US" w:eastAsia="zh-CN"/>
        </w:rPr>
        <w:t>经营者毛林景或出证人签字确认</w:t>
      </w:r>
      <w:r>
        <w:rPr>
          <w:rFonts w:hint="eastAsia" w:ascii="仿宋" w:hAnsi="仿宋" w:eastAsia="仿宋" w:cs="仿宋"/>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根据以上事实和证据,当事人销售不合格多功能电热锅的行为涉嫌违反了《中华人民共和国产品质量法》第三十九条“销售者销售产品，不得掺杂、掺假，不得以假充真、以次充好，不得以不合格产品冒充合格产品。”的规定，已构成了以不合格产品冒充合格产品的违法行为。</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本局</w:t>
      </w:r>
      <w:r>
        <w:rPr>
          <w:rFonts w:hint="eastAsia" w:ascii="Times New Roman" w:hAnsi="Times New Roman" w:eastAsia="仿宋_GB2312" w:cs="仿宋_GB2312"/>
          <w:sz w:val="32"/>
          <w:szCs w:val="32"/>
          <w:u w:val="none"/>
        </w:rPr>
        <w:t>于</w:t>
      </w:r>
      <w:r>
        <w:rPr>
          <w:rFonts w:hint="eastAsia" w:ascii="仿宋" w:hAnsi="仿宋" w:eastAsia="仿宋" w:cs="仿宋"/>
          <w:b w:val="0"/>
          <w:bCs w:val="0"/>
          <w:sz w:val="32"/>
          <w:szCs w:val="32"/>
          <w:u w:val="none"/>
          <w:lang w:val="en-US" w:eastAsia="zh-CN"/>
        </w:rPr>
        <w:t>2022年</w:t>
      </w:r>
      <w:r>
        <w:rPr>
          <w:rFonts w:hint="eastAsia" w:ascii="仿宋" w:hAnsi="仿宋" w:eastAsia="仿宋" w:cs="仿宋"/>
          <w:b w:val="0"/>
          <w:bCs w:val="0"/>
          <w:color w:val="auto"/>
          <w:sz w:val="32"/>
          <w:szCs w:val="32"/>
          <w:u w:val="none"/>
          <w:lang w:val="en-US" w:eastAsia="zh-CN"/>
        </w:rPr>
        <w:t>12月30</w:t>
      </w:r>
      <w:r>
        <w:rPr>
          <w:rFonts w:hint="eastAsia" w:ascii="Times New Roman" w:hAnsi="Times New Roman" w:eastAsia="仿宋_GB2312" w:cs="仿宋_GB2312"/>
          <w:color w:val="auto"/>
          <w:sz w:val="32"/>
          <w:szCs w:val="32"/>
          <w:u w:val="none"/>
        </w:rPr>
        <w:t>日</w:t>
      </w:r>
      <w:r>
        <w:rPr>
          <w:rFonts w:hint="eastAsia" w:ascii="Times New Roman" w:hAnsi="Times New Roman" w:eastAsia="仿宋_GB2312" w:cs="仿宋_GB2312"/>
          <w:sz w:val="32"/>
          <w:szCs w:val="32"/>
          <w:u w:val="none"/>
        </w:rPr>
        <w:t>向当事人送达了《行政处罚告知书》，当事人在规定时限内未向</w:t>
      </w:r>
      <w:r>
        <w:rPr>
          <w:rFonts w:hint="eastAsia" w:ascii="Times New Roman" w:hAnsi="Times New Roman" w:eastAsia="仿宋_GB2312" w:cs="仿宋_GB2312"/>
          <w:sz w:val="32"/>
          <w:szCs w:val="32"/>
          <w:u w:val="none"/>
          <w:lang w:eastAsia="zh-CN"/>
        </w:rPr>
        <w:t>本局</w:t>
      </w:r>
      <w:r>
        <w:rPr>
          <w:rFonts w:hint="eastAsia" w:ascii="Times New Roman" w:hAnsi="Times New Roman" w:eastAsia="仿宋_GB2312" w:cs="仿宋_GB2312"/>
          <w:sz w:val="32"/>
          <w:szCs w:val="32"/>
          <w:u w:val="none"/>
        </w:rPr>
        <w:t>提出陈述和申辩意见。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lang w:val="en-US" w:eastAsia="zh-CN"/>
        </w:rPr>
      </w:pPr>
      <w:r>
        <w:rPr>
          <w:rFonts w:hint="eastAsia" w:ascii="Times New Roman" w:hAnsi="Times New Roman" w:eastAsia="仿宋_GB2312" w:cs="仿宋_GB2312"/>
          <w:sz w:val="32"/>
          <w:szCs w:val="32"/>
          <w:u w:val="none"/>
        </w:rPr>
        <w:t>本局</w:t>
      </w:r>
      <w:r>
        <w:rPr>
          <w:rFonts w:ascii="Times New Roman" w:hAnsi="Times New Roman" w:eastAsia="仿宋_GB2312" w:cs="仿宋_GB2312"/>
          <w:sz w:val="32"/>
          <w:szCs w:val="32"/>
          <w:u w:val="none"/>
        </w:rPr>
        <w:t>认为，</w:t>
      </w:r>
      <w:r>
        <w:rPr>
          <w:rFonts w:hint="eastAsia" w:ascii="仿宋" w:hAnsi="仿宋" w:eastAsia="仿宋" w:cs="仿宋"/>
          <w:sz w:val="32"/>
          <w:szCs w:val="32"/>
          <w:u w:val="none"/>
          <w:lang w:val="en-US" w:eastAsia="zh-CN"/>
        </w:rPr>
        <w:t>当事人年内第二次因以不合格产品冒充合格产品的违法行为被处罚,依据《山东省市场监督管理局行使行政处罚裁量权适用规则》第十二条第（八）项“当事人有下列情形之一的，应当依法从重处罚：（八）因同一性质的违法行为受过刑事处罚，或一年内因同一性质的违法行为被市场监督管理部门处罚，或两年内三次以上实施违法行为被市场监督管理部门处罚的；”的规定，当事人的违法行为应当从重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依据《山东省市场监督管理行政处罚裁量基准》第八章第二条第（二）项“（二）裁量基准1.没收违法生产、销售的产品，罚款，没收违法所得：【严重】货值金额五万元以上的，或者产品已销售，但不能追回的，没收违法生产、销售的产品，并处货值金额两倍以上三倍以下的罚款；有违法所得的，并处没收违法所得。”的规定，综合考虑当事人的违法事实、性质、情节和社会危害程度等因素，决定使用严重的裁量标准，处货值金额两倍以上三倍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综合考虑当事人的违法事实、性质、情节和社会危害程度等因素，针对当事人的上述违法行为，依据《产品质量法》第五十条“第五十条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决定对当事人处罚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3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1.没收不合格多功能电热锅2台；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3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2.罚款伍佰捌拾伍元整。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仿宋_GB2312"/>
          <w:sz w:val="32"/>
          <w:szCs w:val="32"/>
          <w:u w:val="none"/>
        </w:rPr>
      </w:pPr>
      <w:r>
        <w:rPr>
          <w:rFonts w:ascii="Times New Roman" w:hAnsi="Times New Roman" w:eastAsia="仿宋_GB2312" w:cs="仿宋_GB2312"/>
          <w:sz w:val="32"/>
          <w:szCs w:val="32"/>
          <w:u w:val="none"/>
        </w:rPr>
        <w:t>请在接到本处罚决定书之日起</w:t>
      </w:r>
      <w:r>
        <w:rPr>
          <w:rFonts w:hint="eastAsia" w:ascii="仿宋" w:hAnsi="仿宋" w:eastAsia="仿宋" w:cs="仿宋"/>
          <w:sz w:val="32"/>
          <w:szCs w:val="32"/>
          <w:u w:val="none"/>
        </w:rPr>
        <w:t>15</w:t>
      </w:r>
      <w:r>
        <w:rPr>
          <w:rFonts w:ascii="Times New Roman" w:hAnsi="Times New Roman" w:eastAsia="仿宋_GB2312" w:cs="仿宋_GB2312"/>
          <w:sz w:val="32"/>
          <w:szCs w:val="32"/>
          <w:u w:val="none"/>
        </w:rPr>
        <w:t>日内到中国银行、中国工商银行、中国建设银行、中国农业银行缴纳罚没款。逾期不缴纳的，根据《中华人民共和国行政处罚法》第五十一条第（一）项的规定，每日按罚款数额的百分之三加处罚款。逾期不履行本行政处罚决定的，本局将申请人民法院强制执行。</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s="仿宋_GB2312"/>
          <w:sz w:val="32"/>
          <w:szCs w:val="32"/>
          <w:u w:val="none"/>
        </w:rPr>
      </w:pPr>
      <w:r>
        <w:rPr>
          <w:rFonts w:ascii="Times New Roman" w:hAnsi="Times New Roman" w:eastAsia="仿宋_GB2312" w:cs="仿宋_GB2312"/>
          <w:sz w:val="32"/>
          <w:szCs w:val="32"/>
          <w:u w:val="none"/>
        </w:rPr>
        <w:t>如</w:t>
      </w:r>
      <w:r>
        <w:rPr>
          <w:rFonts w:hint="eastAsia" w:ascii="Times New Roman" w:hAnsi="Times New Roman" w:eastAsia="仿宋_GB2312" w:cs="仿宋_GB2312"/>
          <w:sz w:val="32"/>
          <w:szCs w:val="32"/>
          <w:u w:val="none"/>
        </w:rPr>
        <w:t>你单位</w:t>
      </w:r>
      <w:r>
        <w:rPr>
          <w:rFonts w:ascii="Times New Roman" w:hAnsi="Times New Roman" w:eastAsia="仿宋_GB2312" w:cs="仿宋_GB2312"/>
          <w:sz w:val="32"/>
          <w:szCs w:val="32"/>
          <w:u w:val="none"/>
        </w:rPr>
        <w:t>不服本处罚决定，可在接到本处罚决定书之日起六十日内到</w:t>
      </w:r>
      <w:r>
        <w:rPr>
          <w:rFonts w:hint="eastAsia" w:ascii="Times New Roman" w:hAnsi="Times New Roman" w:eastAsia="仿宋_GB2312" w:cs="仿宋_GB2312"/>
          <w:sz w:val="32"/>
          <w:szCs w:val="32"/>
          <w:u w:val="none"/>
        </w:rPr>
        <w:t>山东省人民政府</w:t>
      </w:r>
      <w:r>
        <w:rPr>
          <w:rFonts w:ascii="Times New Roman" w:hAnsi="Times New Roman" w:eastAsia="仿宋_GB2312" w:cs="仿宋_GB2312"/>
          <w:sz w:val="32"/>
          <w:szCs w:val="32"/>
          <w:u w:val="none"/>
        </w:rPr>
        <w:t>申请行政复议，也可以于六个月内依法向</w:t>
      </w:r>
      <w:r>
        <w:rPr>
          <w:rFonts w:hint="eastAsia" w:ascii="Times New Roman" w:hAnsi="Times New Roman" w:eastAsia="仿宋_GB2312" w:cs="仿宋_GB2312"/>
          <w:sz w:val="32"/>
          <w:szCs w:val="32"/>
          <w:u w:val="none"/>
        </w:rPr>
        <w:t>淄博市张店区</w:t>
      </w:r>
      <w:r>
        <w:rPr>
          <w:rFonts w:ascii="Times New Roman" w:hAnsi="Times New Roman" w:eastAsia="仿宋_GB2312" w:cs="仿宋_GB2312"/>
          <w:sz w:val="32"/>
          <w:szCs w:val="32"/>
          <w:u w:val="none"/>
        </w:rPr>
        <w:t>人民法院提起行政诉讼。</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s="仿宋_GB2312"/>
          <w:sz w:val="32"/>
          <w:szCs w:val="32"/>
          <w:u w:val="none"/>
        </w:rPr>
      </w:pPr>
      <w:r>
        <w:rPr>
          <w:rFonts w:ascii="Times New Roman" w:hAnsi="Times New Roman" w:eastAsia="仿宋_GB2312" w:cs="仿宋_GB2312"/>
          <w:sz w:val="32"/>
          <w:szCs w:val="32"/>
          <w:u w:val="none"/>
        </w:rPr>
        <w:t>当事人申请行政复议或者提起行政诉讼的，行政处罚不停止执行，法律另有规定的除外。</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s="仿宋_GB2312"/>
          <w:sz w:val="32"/>
          <w:szCs w:val="32"/>
          <w:u w:val="none"/>
        </w:rPr>
      </w:pPr>
      <w:r>
        <w:rPr>
          <w:rFonts w:ascii="Times New Roman" w:hAnsi="Times New Roman"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 xml:space="preserve">                     淄博经济开发区</w:t>
      </w:r>
      <w:r>
        <w:rPr>
          <w:rFonts w:ascii="Times New Roman" w:hAnsi="Times New Roman" w:eastAsia="仿宋_GB2312" w:cs="仿宋_GB2312"/>
          <w:sz w:val="32"/>
          <w:szCs w:val="32"/>
          <w:u w:val="none"/>
        </w:rPr>
        <w:t xml:space="preserve">管理委员会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u w:val="none"/>
        </w:rPr>
      </w:pPr>
      <w:r>
        <w:rPr>
          <w:rFonts w:ascii="Times New Roman" w:hAnsi="Times New Roman" w:eastAsia="仿宋_GB2312" w:cs="仿宋_GB2312"/>
          <w:sz w:val="32"/>
          <w:szCs w:val="32"/>
          <w:u w:val="none"/>
        </w:rPr>
        <w:t xml:space="preserve">                      </w:t>
      </w:r>
      <w:r>
        <w:rPr>
          <w:rFonts w:hint="eastAsia" w:ascii="Times New Roman" w:hAnsi="Times New Roman" w:eastAsia="仿宋_GB2312" w:cs="仿宋_GB2312"/>
          <w:sz w:val="32"/>
          <w:szCs w:val="32"/>
          <w:u w:val="none"/>
          <w:lang w:val="en-US" w:eastAsia="zh-CN"/>
        </w:rPr>
        <w:t xml:space="preserve">    </w:t>
      </w:r>
      <w:r>
        <w:rPr>
          <w:rFonts w:ascii="Times New Roman" w:hAnsi="Times New Roman" w:eastAsia="仿宋_GB2312" w:cs="仿宋_GB2312"/>
          <w:sz w:val="32"/>
          <w:szCs w:val="32"/>
          <w:u w:val="none"/>
        </w:rPr>
        <w:t xml:space="preserve"> </w:t>
      </w:r>
      <w:r>
        <w:rPr>
          <w:rFonts w:hint="eastAsia" w:ascii="仿宋" w:hAnsi="仿宋" w:eastAsia="仿宋" w:cs="仿宋"/>
          <w:sz w:val="32"/>
          <w:szCs w:val="32"/>
          <w:u w:val="none"/>
          <w:lang w:val="en-US" w:eastAsia="zh-CN"/>
        </w:rPr>
        <w:t>2023</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日</w:t>
      </w:r>
    </w:p>
    <w:p>
      <w:pPr>
        <w:keepNext w:val="0"/>
        <w:keepLines w:val="0"/>
        <w:pageBreakBefore w:val="0"/>
        <w:widowControl w:val="0"/>
        <w:kinsoku/>
        <w:overflowPunct/>
        <w:topLinePunct w:val="0"/>
        <w:autoSpaceDE/>
        <w:autoSpaceDN/>
        <w:bidi w:val="0"/>
        <w:adjustRightInd/>
        <w:spacing w:line="480" w:lineRule="exac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val="0"/>
        <w:spacing w:line="480" w:lineRule="exact"/>
        <w:jc w:val="both"/>
        <w:textAlignment w:val="auto"/>
        <w:rPr>
          <w:rFonts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val="0"/>
        <w:spacing w:line="480" w:lineRule="exact"/>
        <w:ind w:firstLine="640"/>
        <w:jc w:val="right"/>
        <w:textAlignment w:val="auto"/>
        <w:rPr>
          <w:rFonts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val="0"/>
        <w:spacing w:line="480" w:lineRule="exact"/>
        <w:ind w:right="640"/>
        <w:textAlignment w:val="auto"/>
        <w:rPr>
          <w:rFonts w:hint="eastAsia"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spacing w:line="480" w:lineRule="exact"/>
        <w:textAlignment w:val="auto"/>
        <w:rPr>
          <w:rFonts w:ascii="Times New Roman" w:hAnsi="Times New Roman" w:eastAsia="仿宋_GB2312" w:cs="Times New Roman"/>
          <w:color w:val="000000"/>
          <w:sz w:val="32"/>
          <w:szCs w:val="32"/>
        </w:rPr>
      </w:pPr>
      <w:bookmarkStart w:id="0" w:name="_GoBack"/>
      <w:bookmarkEnd w:id="0"/>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F237C"/>
    <w:multiLevelType w:val="singleLevel"/>
    <w:tmpl w:val="DC8F23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WVlNDFkOTNjMGFhM2UxNGM5NTVlYzliZTFhYjcifQ=="/>
  </w:docVars>
  <w:rsids>
    <w:rsidRoot w:val="0041466D"/>
    <w:rsid w:val="001D05AE"/>
    <w:rsid w:val="0030081B"/>
    <w:rsid w:val="00373BAE"/>
    <w:rsid w:val="003D76EF"/>
    <w:rsid w:val="003E3F3F"/>
    <w:rsid w:val="0041466D"/>
    <w:rsid w:val="004300E8"/>
    <w:rsid w:val="0058618D"/>
    <w:rsid w:val="005F550B"/>
    <w:rsid w:val="006C43A8"/>
    <w:rsid w:val="00745BAC"/>
    <w:rsid w:val="008214A8"/>
    <w:rsid w:val="00852251"/>
    <w:rsid w:val="00884B7C"/>
    <w:rsid w:val="0099236D"/>
    <w:rsid w:val="00C578D5"/>
    <w:rsid w:val="00DD1673"/>
    <w:rsid w:val="00E406D8"/>
    <w:rsid w:val="00F6619F"/>
    <w:rsid w:val="05234527"/>
    <w:rsid w:val="053016EF"/>
    <w:rsid w:val="05BB7159"/>
    <w:rsid w:val="05D07A0B"/>
    <w:rsid w:val="068C414F"/>
    <w:rsid w:val="091E26DC"/>
    <w:rsid w:val="099770A7"/>
    <w:rsid w:val="0A103323"/>
    <w:rsid w:val="0A9E2239"/>
    <w:rsid w:val="0AD55869"/>
    <w:rsid w:val="0F8B08F5"/>
    <w:rsid w:val="0FE23D02"/>
    <w:rsid w:val="1045130B"/>
    <w:rsid w:val="10AA09AF"/>
    <w:rsid w:val="113C32D7"/>
    <w:rsid w:val="125D472F"/>
    <w:rsid w:val="12B549D3"/>
    <w:rsid w:val="132B1B56"/>
    <w:rsid w:val="15E50D08"/>
    <w:rsid w:val="161A3877"/>
    <w:rsid w:val="18386C1B"/>
    <w:rsid w:val="18726076"/>
    <w:rsid w:val="1A110EEE"/>
    <w:rsid w:val="1A573113"/>
    <w:rsid w:val="1B7F5905"/>
    <w:rsid w:val="1D712E4E"/>
    <w:rsid w:val="1E0572C0"/>
    <w:rsid w:val="1FBA241F"/>
    <w:rsid w:val="20D0102A"/>
    <w:rsid w:val="20D207D9"/>
    <w:rsid w:val="214170A7"/>
    <w:rsid w:val="214B2498"/>
    <w:rsid w:val="234D70C6"/>
    <w:rsid w:val="237B7F98"/>
    <w:rsid w:val="24D60DD7"/>
    <w:rsid w:val="256A0F91"/>
    <w:rsid w:val="29E96A53"/>
    <w:rsid w:val="2A6B5BF6"/>
    <w:rsid w:val="2C576592"/>
    <w:rsid w:val="2F7E7917"/>
    <w:rsid w:val="31551C55"/>
    <w:rsid w:val="32CB0192"/>
    <w:rsid w:val="353D5D10"/>
    <w:rsid w:val="36926B5B"/>
    <w:rsid w:val="377875C5"/>
    <w:rsid w:val="3B107A94"/>
    <w:rsid w:val="3B3305B0"/>
    <w:rsid w:val="3C495D1D"/>
    <w:rsid w:val="3CE624D2"/>
    <w:rsid w:val="3D745E98"/>
    <w:rsid w:val="3FB726DE"/>
    <w:rsid w:val="42F51F2E"/>
    <w:rsid w:val="450E2B41"/>
    <w:rsid w:val="45D25E6B"/>
    <w:rsid w:val="45E91C8B"/>
    <w:rsid w:val="4A0E2B19"/>
    <w:rsid w:val="4CD85E02"/>
    <w:rsid w:val="4D7B389D"/>
    <w:rsid w:val="4DA705E0"/>
    <w:rsid w:val="4E8533A0"/>
    <w:rsid w:val="4F766F4C"/>
    <w:rsid w:val="50A74FC6"/>
    <w:rsid w:val="51EA2CDB"/>
    <w:rsid w:val="52C536C9"/>
    <w:rsid w:val="53AF1041"/>
    <w:rsid w:val="549F2A99"/>
    <w:rsid w:val="55221531"/>
    <w:rsid w:val="571A41D3"/>
    <w:rsid w:val="58FC3D9A"/>
    <w:rsid w:val="5ABB0219"/>
    <w:rsid w:val="5C8626FD"/>
    <w:rsid w:val="5CB1114E"/>
    <w:rsid w:val="5CE345A1"/>
    <w:rsid w:val="5DE93C0D"/>
    <w:rsid w:val="5DEC2503"/>
    <w:rsid w:val="6041053C"/>
    <w:rsid w:val="61BE6E88"/>
    <w:rsid w:val="61D917DB"/>
    <w:rsid w:val="627514AB"/>
    <w:rsid w:val="63E95B80"/>
    <w:rsid w:val="65A74A3D"/>
    <w:rsid w:val="671B7FAC"/>
    <w:rsid w:val="67BB6B0B"/>
    <w:rsid w:val="68C33144"/>
    <w:rsid w:val="69497AA3"/>
    <w:rsid w:val="6ACF44E9"/>
    <w:rsid w:val="6C8D151E"/>
    <w:rsid w:val="70EF43D9"/>
    <w:rsid w:val="74D809BE"/>
    <w:rsid w:val="769C415E"/>
    <w:rsid w:val="77F961D4"/>
    <w:rsid w:val="783D5DCC"/>
    <w:rsid w:val="786D1981"/>
    <w:rsid w:val="7A0A1774"/>
    <w:rsid w:val="7ACC743B"/>
    <w:rsid w:val="7CCD148E"/>
    <w:rsid w:val="7D5C0B4E"/>
    <w:rsid w:val="7DEA08BC"/>
    <w:rsid w:val="7F69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cs="Calibri"/>
      <w:kern w:val="2"/>
      <w:sz w:val="18"/>
      <w:szCs w:val="18"/>
    </w:rPr>
  </w:style>
  <w:style w:type="character" w:customStyle="1" w:styleId="9">
    <w:name w:val="页脚 Char"/>
    <w:basedOn w:val="7"/>
    <w:link w:val="4"/>
    <w:qFormat/>
    <w:uiPriority w:val="0"/>
    <w:rPr>
      <w:rFonts w:ascii="Calibri" w:hAnsi="Calibri" w:cs="Calibri"/>
      <w:kern w:val="2"/>
      <w:sz w:val="18"/>
      <w:szCs w:val="18"/>
    </w:rPr>
  </w:style>
  <w:style w:type="character" w:customStyle="1" w:styleId="10">
    <w:name w:val="批注框文本 Char"/>
    <w:basedOn w:val="7"/>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1923</Words>
  <Characters>2050</Characters>
  <Lines>23</Lines>
  <Paragraphs>6</Paragraphs>
  <TotalTime>1</TotalTime>
  <ScaleCrop>false</ScaleCrop>
  <LinksUpToDate>false</LinksUpToDate>
  <CharactersWithSpaces>2143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2019-05-20T02:58:00Z</dcterms:created>
  <dc:creator>Administrator</dc:creator>
  <cp:lastModifiedBy>Administrator</cp:lastModifiedBy>
  <cp:lastPrinted>2022-12-30T02:53:00Z</cp:lastPrinted>
  <dcterms:modified xsi:type="dcterms:W3CDTF">2023-02-23T06:08:12Z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D47A2EA54680440CB0A35351726B7147</vt:lpwstr>
  </property>
</Properties>
</file>