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t>淄博经济开发区管理委员会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2018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年政府信息公开工作年度报告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textAlignment w:val="auto"/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ascii="仿宋_GB2312" w:eastAsia="仿宋_GB2312" w:cs="仿宋_GB2312"/>
          <w:sz w:val="32"/>
          <w:szCs w:val="32"/>
        </w:rPr>
        <w:t>根据《中华人民共和国政府信息公开条例》（以下简称《条例》）及省市政府关于编制政府信息公开工作年度报告的有关规定，特编制</w:t>
      </w:r>
      <w:r>
        <w:rPr>
          <w:rFonts w:hint="eastAsia" w:ascii="仿宋_GB2312" w:eastAsia="仿宋_GB2312" w:cs="仿宋_GB2312"/>
          <w:sz w:val="32"/>
          <w:szCs w:val="32"/>
        </w:rPr>
        <w:t>淄博经济开发区管理委员会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年政府信息公开工作年度报告，并向社会公布。本年报所列数据的统计期限是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仿宋_GB2312" w:eastAsia="仿宋_GB2312" w:cs="仿宋_GB2312"/>
          <w:sz w:val="32"/>
          <w:szCs w:val="32"/>
        </w:rPr>
        <w:t>日至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12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31</w:t>
      </w:r>
      <w:r>
        <w:rPr>
          <w:rFonts w:hint="eastAsia" w:ascii="仿宋_GB2312" w:eastAsia="仿宋_GB2312" w:cs="仿宋_GB2312"/>
          <w:sz w:val="32"/>
          <w:szCs w:val="32"/>
        </w:rPr>
        <w:t>日。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ascii="黑体" w:hAnsi="宋体" w:eastAsia="黑体" w:cs="黑体"/>
          <w:caps w:val="0"/>
          <w:color w:val="000000"/>
          <w:spacing w:val="0"/>
          <w:sz w:val="32"/>
          <w:szCs w:val="32"/>
        </w:rPr>
        <w:t>一、</w:t>
      </w:r>
      <w:r>
        <w:rPr>
          <w:rFonts w:hint="eastAsia" w:ascii="黑体" w:hAnsi="宋体" w:eastAsia="黑体" w:cs="黑体"/>
          <w:caps w:val="0"/>
          <w:color w:val="000000"/>
          <w:spacing w:val="0"/>
          <w:sz w:val="32"/>
          <w:szCs w:val="32"/>
        </w:rPr>
        <w:t>政府信息公开工作基本情况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0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年，区管委会深入贯彻党的十九大精神，按照市政府办公厅政府信息公开工作部署，加强领导，周密部署，健全完善各项制度，积极拓宽公开内容，以高质量地政府信息公开促进淄博经济开发区建设。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640"/>
        <w:textAlignment w:val="auto"/>
        <w:rPr>
          <w:rFonts w:hint="eastAsia" w:asci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685665" cy="3146425"/>
            <wp:effectExtent l="0" t="0" r="635" b="15875"/>
            <wp:docPr id="1" name="图片 1" descr="60a481626251a7c528c29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a481626251a7c528c292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二、政府信息公开的组织领导和制度建设情况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做好政府信息公开工作，是增强政府透明度和公信力的重要举措。区政府高度重视信息公开工作，将政府信息公开工作作为打造阳光政府和法治政府的重要举措，强化领导队伍建设，大力推进制度改革。为确保高质量地开展好政府信息公开工作，专门由一名区管委会领导同志分管此项工作，区管委会办公室负责业务工作，积极争取落实政府信息和政务公开工作在年终目标管理考核中分值，加大了考核监督力度，确保政务信息和政务公开工作取得实效；开展专项业务培训，在业务上进行一对一，点对点的帮助和指导，切实提升我区各镇办、各部门具体工作人员的政府信息公开业务能力水平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645"/>
        <w:textAlignment w:val="auto"/>
        <w:rPr>
          <w:rFonts w:hint="eastAsia" w:asci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5940" cy="3524885"/>
            <wp:effectExtent l="0" t="0" r="3810" b="18415"/>
            <wp:docPr id="2" name="图片 2" descr="60a478da6b836df043c29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a478da6b836df043c293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 </w:t>
      </w:r>
      <w:r>
        <w:rPr>
          <w:rFonts w:hint="eastAsia" w:ascii="黑体" w:hAnsi="宋体" w:eastAsia="黑体" w:cs="黑体"/>
          <w:sz w:val="32"/>
          <w:szCs w:val="32"/>
        </w:rPr>
        <w:t>三、主动公开政府信息以及公开平台建设情况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建立区政务网站，目标定位为全区信息发布和对外提供服务的总平台，由区宣传部负责网站的日常更新管理工作。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年共发布信息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200</w:t>
      </w:r>
      <w:r>
        <w:rPr>
          <w:rFonts w:hint="eastAsia" w:ascii="仿宋_GB2312" w:eastAsia="仿宋_GB2312" w:cs="仿宋_GB2312"/>
          <w:sz w:val="32"/>
          <w:szCs w:val="32"/>
        </w:rPr>
        <w:t>余条，发布公示、公告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30</w:t>
      </w:r>
      <w:r>
        <w:rPr>
          <w:rFonts w:hint="eastAsia" w:ascii="仿宋_GB2312" w:eastAsia="仿宋_GB2312" w:cs="仿宋_GB2312"/>
          <w:sz w:val="32"/>
          <w:szCs w:val="32"/>
        </w:rPr>
        <w:t>余条，成为信息公开的主要手段。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645"/>
        <w:textAlignment w:val="auto"/>
        <w:rPr>
          <w:rFonts w:hint="eastAsia" w:asci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14035" cy="3354705"/>
            <wp:effectExtent l="0" t="0" r="5715" b="17145"/>
            <wp:docPr id="3" name="图片 3" descr="60a4769a7a81809764e63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0a4769a7a81809764e633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四、政府信息公开申请的办理情况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年收到信息公开申请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仿宋_GB2312" w:eastAsia="仿宋_GB2312" w:cs="仿宋_GB2312"/>
          <w:sz w:val="32"/>
          <w:szCs w:val="32"/>
        </w:rPr>
        <w:t>份，按时答复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仿宋_GB2312" w:eastAsia="仿宋_GB2312" w:cs="仿宋_GB2312"/>
          <w:sz w:val="32"/>
          <w:szCs w:val="32"/>
        </w:rPr>
        <w:t>份，信息不存在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仿宋_GB2312" w:eastAsia="仿宋_GB2312" w:cs="仿宋_GB2312"/>
          <w:sz w:val="32"/>
          <w:szCs w:val="32"/>
        </w:rPr>
        <w:t>件。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五、政府信息公开的收费及减免情况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年全年信息公开未收取任何费用。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六、因政府信息公开申请提起行政复议、行政诉讼的情况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default" w:ascii="Times New Roman" w:hAnsi="Times New Roman" w:eastAsia="仿宋_GB2312" w:cs="Times New Roman"/>
          <w:sz w:val="32"/>
          <w:szCs w:val="32"/>
        </w:rPr>
        <w:t>2018</w:t>
      </w:r>
      <w:r>
        <w:rPr>
          <w:rFonts w:hint="eastAsia" w:ascii="仿宋_GB2312" w:eastAsia="仿宋_GB2312" w:cs="仿宋_GB2312"/>
          <w:sz w:val="32"/>
          <w:szCs w:val="32"/>
        </w:rPr>
        <w:t>年，严格按照《条例》有关规定，积极做好政府信息公开工作，未出现因政府信息公开申请而提起行政复议、行政诉讼情况。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七、政府信息公开保密审查及监督检查情况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按照政府信息公开发布前审查工作流程，严格执行信息依法公开申请、审核和保密管理相关规定，切实落实管理措施，规范工作流程，有效防止泄密事件发生。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黑体" w:hAnsi="宋体" w:eastAsia="黑体" w:cs="黑体"/>
          <w:sz w:val="32"/>
          <w:szCs w:val="32"/>
        </w:rPr>
        <w:t>八、政府信息公开工作存在的主要问题及改进情况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总体来看，淄博经济开发区管理委员会政府信息公开工作进展顺利，但也存在受机构和编制限制，没有配备专业人员以及信息公开质量需要进一步提高等问题和不足。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下一步，我们将按照《条例》的有关要求，切实加强组织领导，通过政务信息平台公布更多信息，便于群众掌握信息，方便群众办事；进一步加强依法主动公开力度，加大对重点领域政府信息的公开力度，不断完善公开平台；进一步加强监督检查，健全完善监督评议机制，推动政府信息公开工作深入开展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firstLine="645"/>
        <w:textAlignment w:val="auto"/>
      </w:pPr>
      <w:r>
        <w:rPr>
          <w:rFonts w:hint="eastAsia" w:ascii="仿宋_GB2312" w:eastAsia="仿宋_GB2312" w:cs="仿宋_GB2312"/>
          <w:sz w:val="32"/>
          <w:szCs w:val="32"/>
        </w:rPr>
        <w:t> 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center"/>
        <w:textAlignment w:val="auto"/>
      </w:pPr>
      <w:r>
        <w:rPr>
          <w:rStyle w:val="5"/>
          <w:rFonts w:hint="eastAsia" w:ascii="宋体" w:hAnsi="宋体" w:eastAsia="宋体" w:cs="宋体"/>
          <w:sz w:val="36"/>
          <w:szCs w:val="36"/>
        </w:rPr>
        <w:t>2018年度政府信息公开工作情况统计表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right="0" w:firstLine="0"/>
        <w:jc w:val="center"/>
        <w:textAlignment w:val="auto"/>
      </w:pPr>
      <w:r>
        <w:rPr>
          <w:rStyle w:val="5"/>
          <w:rFonts w:hint="eastAsia" w:ascii="宋体" w:hAnsi="宋体" w:eastAsia="宋体" w:cs="宋体"/>
          <w:sz w:val="36"/>
          <w:szCs w:val="36"/>
        </w:rPr>
        <w:t> </w:t>
      </w:r>
    </w:p>
    <w:tbl>
      <w:tblPr>
        <w:tblStyle w:val="3"/>
        <w:tblW w:w="0" w:type="auto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55"/>
        <w:gridCol w:w="989"/>
        <w:gridCol w:w="1620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firstLine="685"/>
              <w:jc w:val="center"/>
              <w:textAlignment w:val="auto"/>
            </w:pPr>
            <w:r>
              <w:rPr>
                <w:rStyle w:val="5"/>
                <w:rFonts w:hint="eastAsia" w:ascii="宋体" w:hAnsi="宋体" w:eastAsia="宋体" w:cs="宋体"/>
                <w:color w:val="000000"/>
                <w:sz w:val="20"/>
                <w:szCs w:val="20"/>
              </w:rPr>
              <w:t>统　计　指　标</w:t>
            </w:r>
          </w:p>
        </w:tc>
        <w:tc>
          <w:tcPr>
            <w:tcW w:w="1002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Style w:val="5"/>
                <w:rFonts w:hint="eastAsia" w:ascii="宋体" w:hAnsi="宋体" w:eastAsia="宋体" w:cs="宋体"/>
                <w:color w:val="000000"/>
                <w:sz w:val="20"/>
                <w:szCs w:val="20"/>
              </w:rPr>
              <w:t>单位</w:t>
            </w:r>
          </w:p>
        </w:tc>
        <w:tc>
          <w:tcPr>
            <w:tcW w:w="1015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Style w:val="5"/>
                <w:rFonts w:hint="eastAsia" w:ascii="宋体" w:hAnsi="宋体" w:eastAsia="宋体" w:cs="宋体"/>
                <w:color w:val="000000"/>
                <w:sz w:val="20"/>
                <w:szCs w:val="20"/>
              </w:rPr>
              <w:t>统计数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一、主动公开情况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（一）主动公开政府信息数（不同渠道和方式公开相同信息计1条）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（不同渠道和方式公开相同信息计1条）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311　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其中：主动公开规范性文件数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制发规范性文件总数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（二）通过不同渠道和方式公开政府信息的情况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1.政府公报公开政府信息数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2.政府网站公开政府信息数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311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3.政务微博公开政府信息数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4.政务微信公开政府信息数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5.其他方式公开政府信息数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二、回应解读情况（不同方式回应同一热点或舆情计1次）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firstLine="685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A0A0A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（一）回应公众关注热点或重大舆情数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 （不同方式回应同一热点或舆情计1次）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（二）通过不同渠道和方式回应解读的情况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1.参加或举办新闻发布会总次数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 其中：主要负责同志参加新闻发布会次数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2.政府网站在线访谈次数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 其中：主要负责同志参加政府网站在线访谈次数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3.政策解读稿件发布数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3篇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4.微博微信回应事件数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5.其他方式回应事件数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三、依申请公开情况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600" w:lineRule="exact"/>
              <w:ind w:left="0" w:firstLine="685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A0A0A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（一）收到申请数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1.当面申请数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2.传真申请数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3.网络申请数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single" w:color="auto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4.信函申请数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single" w:color="auto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         5.其他形式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5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（二）申请办结数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1.按时办结数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2.延期办结数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（三）申请答复数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1.属于已主动公开范围数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2.同意公开答复数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3.同意部分公开答复数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4.不同意公开答复数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 　其中：涉及国家秘密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 涉及商业秘密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 涉及个人隐私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 危及国家安全、公共安全、经济安全和社会稳定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 不是《条例》所指政府信息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　　　　 法律法规规定的其他情形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5.不属于本行政机关公开数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6.申请信息不存在数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7.告知作出更改补充数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8.告知通过其他途径办理数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四、行政复议数量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五、行政诉讼数量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（一）维持具体行政行为或者驳回原告诉讼请求数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（二）被依法纠错数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六、被举报投诉数量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（一）维持具体行政行为数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（二）被纠错数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（三）其他情形数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件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七、向图书馆、档案馆等查阅场所报送信息数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（一）纸质文件数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（二）电子文件数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条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八、开通政府信息公开网站（或设立门户网站信息公开专栏）数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   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（一）区县政府及其部门门户网站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   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（二）乡镇政府（街道办事处）门户网站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九、政府公报发行量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1000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 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（一）公报发行期数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期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1000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（二）公报发行总份数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份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1000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十、设置政府信息查阅点数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（一）区县政府及其部门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（二）乡镇政府（街道办事处）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十一、查阅点接待人数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（一）区县政府及其部门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nil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ind w:left="0" w:firstLine="400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（二）乡镇政府（街道办事处）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次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十二、依申请公开信息收取的费用</w:t>
            </w:r>
          </w:p>
        </w:tc>
        <w:tc>
          <w:tcPr>
            <w:tcW w:w="1002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1015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十三、机构建设和保障经费情况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（一）政府信息公开工作专门机构数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个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（二）从事政府信息公开工作人员数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1.专职人员数（不包括政府公报及政府网站工作人员数）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2.兼职人员数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  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（三）政府信息公开专项经费（不包括政府公报编辑管理及政府网站建设）</w:t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　　　护等方面的经费）</w:t>
            </w:r>
          </w:p>
        </w:tc>
        <w:tc>
          <w:tcPr>
            <w:tcW w:w="1002" w:type="dxa"/>
            <w:tcBorders>
              <w:top w:val="nil"/>
              <w:left w:val="nil"/>
              <w:bottom w:val="single" w:color="auto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万元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outset" w:color="000000" w:sz="8" w:space="0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黑体" w:hAnsi="宋体" w:eastAsia="黑体" w:cs="黑体"/>
                <w:color w:val="000000"/>
                <w:sz w:val="20"/>
                <w:szCs w:val="20"/>
              </w:rPr>
              <w:t>十四、政府信息公开会议和培训情况</w:t>
            </w:r>
          </w:p>
        </w:tc>
        <w:tc>
          <w:tcPr>
            <w:tcW w:w="1002" w:type="dxa"/>
            <w:tcBorders>
              <w:top w:val="outset" w:color="000000" w:sz="8" w:space="0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（一）召开政府信息公开工作会议或专题会议数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（二）举办各类培训班数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  <w:jc w:val="center"/>
        </w:trPr>
        <w:tc>
          <w:tcPr>
            <w:tcW w:w="7433" w:type="dxa"/>
            <w:tcBorders>
              <w:top w:val="nil"/>
              <w:left w:val="outset" w:color="000000" w:sz="8" w:space="0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　　（三）接受培训人员数</w:t>
            </w:r>
          </w:p>
        </w:tc>
        <w:tc>
          <w:tcPr>
            <w:tcW w:w="1002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20人次</w:t>
            </w:r>
          </w:p>
        </w:tc>
        <w:tc>
          <w:tcPr>
            <w:tcW w:w="1015" w:type="dxa"/>
            <w:tcBorders>
              <w:top w:val="nil"/>
              <w:left w:val="nil"/>
              <w:bottom w:val="outset" w:color="000000" w:sz="8" w:space="0"/>
              <w:right w:val="outset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textAlignment w:val="auto"/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textAlignment w:val="auto"/>
      </w:pPr>
      <w:r>
        <w:rPr>
          <w:rFonts w:hint="eastAsia" w:ascii="宋体" w:hAnsi="宋体" w:eastAsia="宋体" w:cs="宋体"/>
          <w:color w:val="000000"/>
          <w:sz w:val="20"/>
          <w:szCs w:val="20"/>
        </w:rPr>
        <w:t>                                  （注：各子栏目数总数要等于总栏目数量）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textAlignment w:val="auto"/>
      </w:pPr>
    </w:p>
    <w:sectPr>
      <w:pgSz w:w="11906" w:h="16838"/>
      <w:pgMar w:top="2041" w:right="1531" w:bottom="164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67222"/>
    <w:rsid w:val="3E68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2021-05-19T03:10:00Z</dcterms:created>
  <dc:creator>Lenovo0001</dc:creator>
  <cp:lastModifiedBy>MrBai</cp:lastModifiedBy>
  <dcterms:modified xsi:type="dcterms:W3CDTF">2021-05-19T11:20:51Z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4861515F30B84DCEAB126827FA42E0D4</vt:lpwstr>
  </property>
</Properties>
</file>