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kern w:val="0"/>
          <w:sz w:val="44"/>
          <w:szCs w:val="44"/>
          <w:u w:val="none"/>
          <w:lang w:val="en-US" w:eastAsia="zh-CN" w:bidi="ar"/>
        </w:rPr>
      </w:pPr>
      <w:r>
        <w:rPr>
          <w:rFonts w:hint="eastAsia" w:ascii="方正小标宋简体" w:hAnsi="方正小标宋简体" w:eastAsia="方正小标宋简体" w:cs="方正小标宋简体"/>
          <w:b w:val="0"/>
          <w:bCs w:val="0"/>
          <w:color w:val="auto"/>
          <w:kern w:val="0"/>
          <w:sz w:val="44"/>
          <w:szCs w:val="44"/>
          <w:u w:val="none"/>
          <w:lang w:val="en-US" w:eastAsia="zh-CN" w:bidi="ar"/>
        </w:rPr>
        <w:t>淄博经济开发区管理委员会2021年</w:t>
      </w:r>
    </w:p>
    <w:p>
      <w:pPr>
        <w:keepNext w:val="0"/>
        <w:keepLines w:val="0"/>
        <w:pageBreakBefore w:val="0"/>
        <w:widowControl w:val="0"/>
        <w:kinsoku/>
        <w:wordWrap/>
        <w:overflowPunct/>
        <w:topLinePunct w:val="0"/>
        <w:autoSpaceDE/>
        <w:autoSpaceDN/>
        <w:bidi w:val="0"/>
        <w:adjustRightInd/>
        <w:snapToGrid/>
        <w:spacing w:line="460" w:lineRule="exact"/>
        <w:jc w:val="center"/>
        <w:textAlignment w:val="auto"/>
        <w:rPr>
          <w:rFonts w:hint="eastAsia" w:ascii="方正小标宋简体" w:hAnsi="方正小标宋简体" w:eastAsia="方正小标宋简体" w:cs="方正小标宋简体"/>
          <w:b w:val="0"/>
          <w:bCs w:val="0"/>
          <w:color w:val="auto"/>
          <w:kern w:val="0"/>
          <w:sz w:val="44"/>
          <w:szCs w:val="44"/>
          <w:u w:val="none"/>
          <w:lang w:val="en-US" w:eastAsia="zh-CN" w:bidi="ar"/>
        </w:rPr>
      </w:pPr>
      <w:r>
        <w:rPr>
          <w:rFonts w:hint="eastAsia" w:ascii="方正小标宋简体" w:hAnsi="方正小标宋简体" w:eastAsia="方正小标宋简体" w:cs="方正小标宋简体"/>
          <w:b w:val="0"/>
          <w:bCs w:val="0"/>
          <w:color w:val="auto"/>
          <w:kern w:val="0"/>
          <w:sz w:val="44"/>
          <w:szCs w:val="44"/>
          <w:u w:val="none"/>
          <w:lang w:val="en-US" w:eastAsia="zh-CN" w:bidi="ar"/>
        </w:rPr>
        <w:t>政府信息公开工作年度报告</w:t>
      </w: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600" w:lineRule="exact"/>
        <w:ind w:left="0" w:right="0" w:firstLine="688" w:firstLineChars="200"/>
        <w:jc w:val="both"/>
        <w:textAlignment w:val="auto"/>
        <w:rPr>
          <w:rFonts w:hint="eastAsia" w:ascii="仿宋_GB2312" w:hAnsi="仿宋_GB2312" w:eastAsia="仿宋_GB2312" w:cs="仿宋_GB2312"/>
          <w:b w:val="0"/>
          <w:bCs/>
          <w:color w:val="auto"/>
          <w:spacing w:val="12"/>
          <w:sz w:val="32"/>
          <w:szCs w:val="32"/>
        </w:rPr>
      </w:pPr>
      <w:r>
        <w:rPr>
          <w:rStyle w:val="6"/>
          <w:rFonts w:hint="eastAsia" w:ascii="仿宋_GB2312" w:hAnsi="仿宋_GB2312" w:eastAsia="仿宋_GB2312" w:cs="仿宋_GB2312"/>
          <w:b w:val="0"/>
          <w:bCs/>
          <w:color w:val="auto"/>
          <w:spacing w:val="12"/>
          <w:sz w:val="32"/>
          <w:szCs w:val="32"/>
        </w:rPr>
        <w:t>本报告</w:t>
      </w:r>
      <w:r>
        <w:rPr>
          <w:rStyle w:val="6"/>
          <w:rFonts w:hint="eastAsia" w:ascii="仿宋_GB2312" w:hAnsi="仿宋_GB2312" w:eastAsia="仿宋_GB2312" w:cs="仿宋_GB2312"/>
          <w:b w:val="0"/>
          <w:bCs/>
          <w:color w:val="auto"/>
          <w:spacing w:val="12"/>
          <w:sz w:val="32"/>
          <w:szCs w:val="32"/>
          <w:lang w:val="en-US" w:eastAsia="zh-CN"/>
        </w:rPr>
        <w:t>是</w:t>
      </w:r>
      <w:r>
        <w:rPr>
          <w:rStyle w:val="6"/>
          <w:rFonts w:hint="eastAsia" w:ascii="仿宋_GB2312" w:hAnsi="仿宋_GB2312" w:eastAsia="仿宋_GB2312" w:cs="仿宋_GB2312"/>
          <w:b w:val="0"/>
          <w:bCs/>
          <w:color w:val="auto"/>
          <w:spacing w:val="12"/>
          <w:sz w:val="32"/>
          <w:szCs w:val="32"/>
        </w:rPr>
        <w:t>按照《中华人民共和国政府信息公开条例》（以下简称《条例》）要求</w:t>
      </w:r>
      <w:r>
        <w:rPr>
          <w:rStyle w:val="6"/>
          <w:rFonts w:hint="eastAsia" w:ascii="仿宋_GB2312" w:hAnsi="仿宋_GB2312" w:eastAsia="仿宋_GB2312" w:cs="仿宋_GB2312"/>
          <w:b w:val="0"/>
          <w:bCs/>
          <w:color w:val="auto"/>
          <w:spacing w:val="12"/>
          <w:sz w:val="32"/>
          <w:szCs w:val="32"/>
          <w:lang w:val="en-US" w:eastAsia="zh-CN"/>
        </w:rPr>
        <w:t>根据经开区各镇、各部门单位</w:t>
      </w:r>
      <w:r>
        <w:rPr>
          <w:rStyle w:val="6"/>
          <w:rFonts w:hint="default" w:ascii="Times New Roman" w:hAnsi="Times New Roman" w:eastAsia="仿宋_GB2312" w:cs="Times New Roman"/>
          <w:b w:val="0"/>
          <w:bCs/>
          <w:color w:val="auto"/>
          <w:spacing w:val="12"/>
          <w:sz w:val="32"/>
          <w:szCs w:val="32"/>
          <w:lang w:val="en-US" w:eastAsia="zh-CN"/>
        </w:rPr>
        <w:t>2021</w:t>
      </w:r>
      <w:r>
        <w:rPr>
          <w:rStyle w:val="6"/>
          <w:rFonts w:hint="eastAsia" w:ascii="仿宋_GB2312" w:hAnsi="仿宋_GB2312" w:eastAsia="仿宋_GB2312" w:cs="仿宋_GB2312"/>
          <w:b w:val="0"/>
          <w:bCs/>
          <w:color w:val="auto"/>
          <w:spacing w:val="12"/>
          <w:sz w:val="32"/>
          <w:szCs w:val="32"/>
          <w:lang w:val="en-US" w:eastAsia="zh-CN"/>
        </w:rPr>
        <w:t>年政府信息公开工作年度报告编制</w:t>
      </w:r>
      <w:r>
        <w:rPr>
          <w:rStyle w:val="6"/>
          <w:rFonts w:hint="eastAsia" w:ascii="仿宋_GB2312" w:hAnsi="仿宋_GB2312" w:eastAsia="仿宋_GB2312" w:cs="仿宋_GB2312"/>
          <w:b w:val="0"/>
          <w:bCs/>
          <w:color w:val="auto"/>
          <w:spacing w:val="12"/>
          <w:sz w:val="32"/>
          <w:szCs w:val="32"/>
          <w:lang w:eastAsia="zh-CN"/>
        </w:rPr>
        <w:t>。</w:t>
      </w:r>
      <w:r>
        <w:rPr>
          <w:rStyle w:val="6"/>
          <w:rFonts w:hint="eastAsia" w:ascii="仿宋_GB2312" w:hAnsi="仿宋_GB2312" w:eastAsia="仿宋_GB2312" w:cs="仿宋_GB2312"/>
          <w:b w:val="0"/>
          <w:bCs/>
          <w:color w:val="auto"/>
          <w:spacing w:val="12"/>
          <w:sz w:val="32"/>
          <w:szCs w:val="32"/>
        </w:rPr>
        <w:t>本报告内容包括总体情况、主动公开政府信息情况、收到和处理政府信息公开申请情况、政府信息公开行政复议和行政诉讼情况、存在的主要问题及改进情况、其他需要报告的事项等六部分内容。</w:t>
      </w: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600" w:lineRule="exact"/>
        <w:ind w:left="0" w:right="0" w:firstLine="688" w:firstLineChars="200"/>
        <w:jc w:val="both"/>
        <w:textAlignment w:val="auto"/>
        <w:rPr>
          <w:rFonts w:hint="eastAsia" w:ascii="仿宋_GB2312" w:hAnsi="仿宋_GB2312" w:eastAsia="仿宋_GB2312" w:cs="仿宋_GB2312"/>
          <w:i w:val="0"/>
          <w:iCs w:val="0"/>
          <w:caps w:val="0"/>
          <w:color w:val="auto"/>
          <w:spacing w:val="12"/>
          <w:sz w:val="32"/>
          <w:szCs w:val="32"/>
          <w:shd w:val="clear" w:fill="FFFFFF"/>
        </w:rPr>
      </w:pPr>
      <w:r>
        <w:rPr>
          <w:rFonts w:hint="eastAsia" w:ascii="仿宋_GB2312" w:hAnsi="仿宋_GB2312" w:eastAsia="仿宋_GB2312" w:cs="仿宋_GB2312"/>
          <w:i w:val="0"/>
          <w:iCs w:val="0"/>
          <w:caps w:val="0"/>
          <w:color w:val="auto"/>
          <w:spacing w:val="12"/>
          <w:sz w:val="32"/>
          <w:szCs w:val="32"/>
          <w:shd w:val="clear" w:fill="FFFFFF"/>
        </w:rPr>
        <w:t>报告中所列数据的统计期限自</w:t>
      </w:r>
      <w:r>
        <w:rPr>
          <w:rFonts w:hint="default" w:ascii="Times New Roman" w:hAnsi="Times New Roman" w:eastAsia="仿宋_GB2312" w:cs="Times New Roman"/>
          <w:i w:val="0"/>
          <w:iCs w:val="0"/>
          <w:caps w:val="0"/>
          <w:color w:val="auto"/>
          <w:spacing w:val="12"/>
          <w:sz w:val="32"/>
          <w:szCs w:val="32"/>
          <w:shd w:val="clear" w:fill="FFFFFF"/>
        </w:rPr>
        <w:t>20</w:t>
      </w:r>
      <w:r>
        <w:rPr>
          <w:rFonts w:hint="eastAsia" w:ascii="Times New Roman" w:hAnsi="Times New Roman" w:eastAsia="仿宋_GB2312" w:cs="Times New Roman"/>
          <w:i w:val="0"/>
          <w:iCs w:val="0"/>
          <w:caps w:val="0"/>
          <w:color w:val="auto"/>
          <w:spacing w:val="12"/>
          <w:sz w:val="32"/>
          <w:szCs w:val="32"/>
          <w:shd w:val="clear" w:fill="FFFFFF"/>
        </w:rPr>
        <w:t>2</w:t>
      </w:r>
      <w:r>
        <w:rPr>
          <w:rFonts w:hint="eastAsia" w:ascii="Times New Roman" w:hAnsi="Times New Roman" w:eastAsia="仿宋_GB2312" w:cs="Times New Roman"/>
          <w:i w:val="0"/>
          <w:iCs w:val="0"/>
          <w:caps w:val="0"/>
          <w:color w:val="auto"/>
          <w:spacing w:val="12"/>
          <w:sz w:val="32"/>
          <w:szCs w:val="32"/>
          <w:shd w:val="clear" w:fill="FFFFFF"/>
          <w:lang w:val="en-US" w:eastAsia="zh-CN"/>
        </w:rPr>
        <w:t>1</w:t>
      </w:r>
      <w:r>
        <w:rPr>
          <w:rFonts w:hint="eastAsia" w:ascii="仿宋_GB2312" w:hAnsi="仿宋_GB2312" w:eastAsia="仿宋_GB2312" w:cs="仿宋_GB2312"/>
          <w:i w:val="0"/>
          <w:iCs w:val="0"/>
          <w:caps w:val="0"/>
          <w:color w:val="auto"/>
          <w:spacing w:val="12"/>
          <w:sz w:val="32"/>
          <w:szCs w:val="32"/>
          <w:shd w:val="clear" w:fill="FFFFFF"/>
        </w:rPr>
        <w:t>年</w:t>
      </w:r>
      <w:r>
        <w:rPr>
          <w:rFonts w:hint="eastAsia" w:ascii="Times New Roman" w:hAnsi="Times New Roman" w:eastAsia="仿宋_GB2312" w:cs="Times New Roman"/>
          <w:i w:val="0"/>
          <w:iCs w:val="0"/>
          <w:caps w:val="0"/>
          <w:color w:val="auto"/>
          <w:spacing w:val="12"/>
          <w:sz w:val="32"/>
          <w:szCs w:val="32"/>
          <w:shd w:val="clear" w:fill="FFFFFF"/>
        </w:rPr>
        <w:t>1</w:t>
      </w:r>
      <w:r>
        <w:rPr>
          <w:rFonts w:hint="eastAsia" w:ascii="仿宋_GB2312" w:hAnsi="仿宋_GB2312" w:eastAsia="仿宋_GB2312" w:cs="仿宋_GB2312"/>
          <w:i w:val="0"/>
          <w:iCs w:val="0"/>
          <w:caps w:val="0"/>
          <w:color w:val="auto"/>
          <w:spacing w:val="12"/>
          <w:sz w:val="32"/>
          <w:szCs w:val="32"/>
          <w:shd w:val="clear" w:fill="FFFFFF"/>
        </w:rPr>
        <w:t>月</w:t>
      </w:r>
      <w:r>
        <w:rPr>
          <w:rFonts w:hint="eastAsia" w:ascii="Times New Roman" w:hAnsi="Times New Roman" w:eastAsia="仿宋_GB2312" w:cs="Times New Roman"/>
          <w:i w:val="0"/>
          <w:iCs w:val="0"/>
          <w:caps w:val="0"/>
          <w:color w:val="auto"/>
          <w:spacing w:val="12"/>
          <w:sz w:val="32"/>
          <w:szCs w:val="32"/>
          <w:shd w:val="clear" w:fill="FFFFFF"/>
        </w:rPr>
        <w:t>1</w:t>
      </w:r>
      <w:r>
        <w:rPr>
          <w:rFonts w:hint="eastAsia" w:ascii="仿宋_GB2312" w:hAnsi="仿宋_GB2312" w:eastAsia="仿宋_GB2312" w:cs="仿宋_GB2312"/>
          <w:i w:val="0"/>
          <w:iCs w:val="0"/>
          <w:caps w:val="0"/>
          <w:color w:val="auto"/>
          <w:spacing w:val="12"/>
          <w:sz w:val="32"/>
          <w:szCs w:val="32"/>
          <w:shd w:val="clear" w:fill="FFFFFF"/>
        </w:rPr>
        <w:t>日起至</w:t>
      </w:r>
      <w:r>
        <w:rPr>
          <w:rFonts w:hint="eastAsia" w:ascii="Times New Roman" w:hAnsi="Times New Roman" w:eastAsia="仿宋_GB2312" w:cs="Times New Roman"/>
          <w:i w:val="0"/>
          <w:iCs w:val="0"/>
          <w:caps w:val="0"/>
          <w:color w:val="auto"/>
          <w:spacing w:val="12"/>
          <w:sz w:val="32"/>
          <w:szCs w:val="32"/>
          <w:shd w:val="clear" w:fill="FFFFFF"/>
        </w:rPr>
        <w:t>202</w:t>
      </w:r>
      <w:r>
        <w:rPr>
          <w:rFonts w:hint="eastAsia" w:ascii="Times New Roman" w:hAnsi="Times New Roman" w:eastAsia="仿宋_GB2312" w:cs="Times New Roman"/>
          <w:i w:val="0"/>
          <w:iCs w:val="0"/>
          <w:caps w:val="0"/>
          <w:color w:val="auto"/>
          <w:spacing w:val="12"/>
          <w:sz w:val="32"/>
          <w:szCs w:val="32"/>
          <w:shd w:val="clear" w:fill="FFFFFF"/>
          <w:lang w:val="en-US" w:eastAsia="zh-CN"/>
        </w:rPr>
        <w:t>1</w:t>
      </w:r>
      <w:r>
        <w:rPr>
          <w:rFonts w:hint="eastAsia" w:ascii="仿宋_GB2312" w:hAnsi="仿宋_GB2312" w:eastAsia="仿宋_GB2312" w:cs="仿宋_GB2312"/>
          <w:i w:val="0"/>
          <w:iCs w:val="0"/>
          <w:caps w:val="0"/>
          <w:color w:val="auto"/>
          <w:spacing w:val="12"/>
          <w:sz w:val="32"/>
          <w:szCs w:val="32"/>
          <w:shd w:val="clear" w:fill="FFFFFF"/>
        </w:rPr>
        <w:t>年</w:t>
      </w:r>
      <w:r>
        <w:rPr>
          <w:rFonts w:hint="eastAsia" w:ascii="Times New Roman" w:hAnsi="Times New Roman" w:eastAsia="仿宋_GB2312" w:cs="Times New Roman"/>
          <w:i w:val="0"/>
          <w:iCs w:val="0"/>
          <w:caps w:val="0"/>
          <w:color w:val="auto"/>
          <w:spacing w:val="12"/>
          <w:sz w:val="32"/>
          <w:szCs w:val="32"/>
          <w:shd w:val="clear" w:fill="FFFFFF"/>
        </w:rPr>
        <w:t>12</w:t>
      </w:r>
      <w:r>
        <w:rPr>
          <w:rFonts w:hint="eastAsia" w:ascii="仿宋_GB2312" w:hAnsi="仿宋_GB2312" w:eastAsia="仿宋_GB2312" w:cs="仿宋_GB2312"/>
          <w:i w:val="0"/>
          <w:iCs w:val="0"/>
          <w:caps w:val="0"/>
          <w:color w:val="auto"/>
          <w:spacing w:val="12"/>
          <w:sz w:val="32"/>
          <w:szCs w:val="32"/>
          <w:shd w:val="clear" w:fill="FFFFFF"/>
        </w:rPr>
        <w:t>月</w:t>
      </w:r>
      <w:r>
        <w:rPr>
          <w:rFonts w:hint="eastAsia" w:ascii="Times New Roman" w:hAnsi="Times New Roman" w:eastAsia="仿宋_GB2312" w:cs="Times New Roman"/>
          <w:i w:val="0"/>
          <w:iCs w:val="0"/>
          <w:caps w:val="0"/>
          <w:color w:val="auto"/>
          <w:spacing w:val="12"/>
          <w:sz w:val="32"/>
          <w:szCs w:val="32"/>
          <w:shd w:val="clear" w:fill="FFFFFF"/>
        </w:rPr>
        <w:t>31</w:t>
      </w:r>
      <w:r>
        <w:rPr>
          <w:rFonts w:hint="eastAsia" w:ascii="仿宋_GB2312" w:hAnsi="仿宋_GB2312" w:eastAsia="仿宋_GB2312" w:cs="仿宋_GB2312"/>
          <w:i w:val="0"/>
          <w:iCs w:val="0"/>
          <w:caps w:val="0"/>
          <w:color w:val="auto"/>
          <w:spacing w:val="12"/>
          <w:sz w:val="32"/>
          <w:szCs w:val="32"/>
          <w:shd w:val="clear" w:fill="FFFFFF"/>
        </w:rPr>
        <w:t>日止。报告可在淄博经济开发区门户网站(</w:t>
      </w:r>
      <w:r>
        <w:rPr>
          <w:rFonts w:hint="default" w:ascii="Times New Roman" w:hAnsi="Times New Roman" w:eastAsia="仿宋_GB2312" w:cs="Times New Roman"/>
          <w:i w:val="0"/>
          <w:iCs w:val="0"/>
          <w:caps w:val="0"/>
          <w:color w:val="auto"/>
          <w:spacing w:val="12"/>
          <w:sz w:val="32"/>
          <w:szCs w:val="32"/>
          <w:shd w:val="clear" w:fill="FFFFFF"/>
        </w:rPr>
        <w:t>http://www.zbjkq.gov.cn</w:t>
      </w:r>
      <w:r>
        <w:rPr>
          <w:rFonts w:hint="eastAsia" w:ascii="仿宋_GB2312" w:hAnsi="仿宋_GB2312" w:eastAsia="仿宋_GB2312" w:cs="仿宋_GB2312"/>
          <w:i w:val="0"/>
          <w:iCs w:val="0"/>
          <w:caps w:val="0"/>
          <w:color w:val="auto"/>
          <w:spacing w:val="12"/>
          <w:sz w:val="32"/>
          <w:szCs w:val="32"/>
          <w:shd w:val="clear" w:fill="FFFFFF"/>
        </w:rPr>
        <w:t>)下载。</w:t>
      </w:r>
    </w:p>
    <w:p>
      <w:pPr>
        <w:pStyle w:val="2"/>
        <w:keepNext w:val="0"/>
        <w:keepLines w:val="0"/>
        <w:pageBreakBefore w:val="0"/>
        <w:widowControl/>
        <w:numPr>
          <w:ilvl w:val="0"/>
          <w:numId w:val="1"/>
        </w:numPr>
        <w:suppressLineNumbers w:val="0"/>
        <w:kinsoku/>
        <w:wordWrap w:val="0"/>
        <w:overflowPunct/>
        <w:topLinePunct w:val="0"/>
        <w:autoSpaceDE/>
        <w:autoSpaceDN/>
        <w:bidi w:val="0"/>
        <w:adjustRightInd/>
        <w:snapToGrid/>
        <w:spacing w:before="0" w:beforeAutospacing="0" w:after="0" w:afterAutospacing="0" w:line="600" w:lineRule="exact"/>
        <w:ind w:left="-10" w:leftChars="0" w:right="0" w:firstLine="688" w:firstLineChars="0"/>
        <w:jc w:val="both"/>
        <w:textAlignment w:val="auto"/>
        <w:rPr>
          <w:rFonts w:hint="eastAsia" w:ascii="黑体" w:hAnsi="黑体" w:eastAsia="黑体" w:cs="黑体"/>
          <w:i w:val="0"/>
          <w:iCs w:val="0"/>
          <w:caps w:val="0"/>
          <w:color w:val="000000"/>
          <w:spacing w:val="12"/>
          <w:sz w:val="32"/>
          <w:szCs w:val="32"/>
          <w:shd w:val="clear" w:fill="FFFFFF"/>
          <w:lang w:val="en-US" w:eastAsia="zh-CN"/>
        </w:rPr>
      </w:pPr>
      <w:r>
        <w:rPr>
          <w:rFonts w:hint="eastAsia" w:ascii="黑体" w:hAnsi="黑体" w:eastAsia="黑体" w:cs="黑体"/>
          <w:i w:val="0"/>
          <w:iCs w:val="0"/>
          <w:caps w:val="0"/>
          <w:color w:val="000000"/>
          <w:spacing w:val="12"/>
          <w:sz w:val="32"/>
          <w:szCs w:val="32"/>
          <w:shd w:val="clear" w:fill="FFFFFF"/>
          <w:lang w:val="en-US" w:eastAsia="zh-CN"/>
        </w:rPr>
        <w:t>总体情况</w:t>
      </w:r>
    </w:p>
    <w:p>
      <w:pPr>
        <w:pStyle w:val="2"/>
        <w:keepNext w:val="0"/>
        <w:keepLines w:val="0"/>
        <w:pageBreakBefore w:val="0"/>
        <w:widowControl/>
        <w:suppressLineNumbers w:val="0"/>
        <w:kinsoku/>
        <w:wordWrap w:val="0"/>
        <w:overflowPunct/>
        <w:topLinePunct w:val="0"/>
        <w:autoSpaceDE/>
        <w:autoSpaceDN/>
        <w:bidi w:val="0"/>
        <w:adjustRightInd/>
        <w:snapToGrid/>
        <w:spacing w:before="0" w:beforeAutospacing="0" w:after="0" w:afterAutospacing="0" w:line="600" w:lineRule="exact"/>
        <w:ind w:left="0" w:leftChars="0" w:right="0" w:firstLine="688" w:firstLineChars="200"/>
        <w:jc w:val="both"/>
        <w:textAlignment w:val="auto"/>
        <w:rPr>
          <w:rStyle w:val="6"/>
          <w:rFonts w:hint="eastAsia" w:ascii="仿宋_GB2312" w:hAnsi="仿宋_GB2312" w:eastAsia="仿宋_GB2312" w:cs="仿宋_GB2312"/>
          <w:b w:val="0"/>
          <w:bCs/>
          <w:color w:val="333333"/>
          <w:spacing w:val="12"/>
          <w:sz w:val="32"/>
          <w:szCs w:val="32"/>
        </w:rPr>
      </w:pPr>
      <w:r>
        <w:rPr>
          <w:rStyle w:val="6"/>
          <w:rFonts w:hint="default" w:ascii="Times New Roman" w:hAnsi="Times New Roman" w:eastAsia="仿宋_GB2312" w:cs="Times New Roman"/>
          <w:b w:val="0"/>
          <w:bCs/>
          <w:color w:val="auto"/>
          <w:spacing w:val="12"/>
          <w:sz w:val="32"/>
          <w:szCs w:val="32"/>
          <w:lang w:val="en-US" w:eastAsia="zh-CN"/>
        </w:rPr>
        <w:t>2021</w:t>
      </w:r>
      <w:r>
        <w:rPr>
          <w:rStyle w:val="6"/>
          <w:rFonts w:hint="eastAsia" w:ascii="仿宋_GB2312" w:hAnsi="仿宋_GB2312" w:eastAsia="仿宋_GB2312" w:cs="仿宋_GB2312"/>
          <w:b w:val="0"/>
          <w:bCs/>
          <w:color w:val="auto"/>
          <w:spacing w:val="12"/>
          <w:sz w:val="32"/>
          <w:szCs w:val="32"/>
          <w:lang w:val="en-US" w:eastAsia="zh-CN"/>
        </w:rPr>
        <w:t>年，经开区</w:t>
      </w:r>
      <w:r>
        <w:rPr>
          <w:rFonts w:hint="eastAsia" w:ascii="仿宋_GB2312" w:hAnsi="仿宋_GB2312" w:eastAsia="仿宋_GB2312" w:cs="仿宋_GB2312"/>
          <w:i w:val="0"/>
          <w:iCs w:val="0"/>
          <w:caps w:val="0"/>
          <w:color w:val="auto"/>
          <w:spacing w:val="0"/>
          <w:sz w:val="32"/>
          <w:szCs w:val="32"/>
        </w:rPr>
        <w:t>以习近平新时代中国特色社会主义思想为指导，</w:t>
      </w:r>
      <w:r>
        <w:rPr>
          <w:rFonts w:ascii="仿宋_GB2312" w:hAnsi="宋体" w:eastAsia="仿宋_GB2312" w:cs="仿宋_GB2312"/>
          <w:i w:val="0"/>
          <w:iCs w:val="0"/>
          <w:caps w:val="0"/>
          <w:color w:val="auto"/>
          <w:spacing w:val="0"/>
          <w:sz w:val="32"/>
          <w:szCs w:val="32"/>
        </w:rPr>
        <w:t>认真贯彻执行</w:t>
      </w:r>
      <w:r>
        <w:rPr>
          <w:rFonts w:hint="eastAsia" w:ascii="仿宋_GB2312" w:hAnsi="宋体" w:eastAsia="仿宋_GB2312" w:cs="仿宋_GB2312"/>
          <w:i w:val="0"/>
          <w:iCs w:val="0"/>
          <w:caps w:val="0"/>
          <w:color w:val="auto"/>
          <w:spacing w:val="0"/>
          <w:sz w:val="32"/>
          <w:szCs w:val="32"/>
        </w:rPr>
        <w:t>《条例》</w:t>
      </w:r>
      <w:r>
        <w:rPr>
          <w:rFonts w:hint="eastAsia" w:ascii="仿宋_GB2312" w:hAnsi="宋体" w:eastAsia="仿宋_GB2312" w:cs="仿宋_GB2312"/>
          <w:i w:val="0"/>
          <w:iCs w:val="0"/>
          <w:caps w:val="0"/>
          <w:color w:val="auto"/>
          <w:spacing w:val="0"/>
          <w:sz w:val="32"/>
          <w:szCs w:val="32"/>
          <w:lang w:eastAsia="zh-CN"/>
        </w:rPr>
        <w:t>，</w:t>
      </w:r>
      <w:r>
        <w:rPr>
          <w:rFonts w:hint="eastAsia" w:ascii="仿宋_GB2312" w:hAnsi="宋体" w:eastAsia="仿宋_GB2312" w:cs="仿宋_GB2312"/>
          <w:i w:val="0"/>
          <w:iCs w:val="0"/>
          <w:caps w:val="0"/>
          <w:color w:val="auto"/>
          <w:spacing w:val="0"/>
          <w:sz w:val="32"/>
          <w:szCs w:val="32"/>
          <w:lang w:val="en-US" w:eastAsia="zh-CN"/>
        </w:rPr>
        <w:t>加</w:t>
      </w:r>
      <w:r>
        <w:rPr>
          <w:rStyle w:val="6"/>
          <w:rFonts w:hint="eastAsia" w:ascii="仿宋_GB2312" w:hAnsi="仿宋_GB2312" w:eastAsia="仿宋_GB2312" w:cs="仿宋_GB2312"/>
          <w:b w:val="0"/>
          <w:bCs/>
          <w:color w:val="auto"/>
          <w:spacing w:val="12"/>
          <w:sz w:val="32"/>
          <w:szCs w:val="32"/>
        </w:rPr>
        <w:t>强政府信息的规范化、标准化管理</w:t>
      </w:r>
      <w:r>
        <w:rPr>
          <w:rStyle w:val="6"/>
          <w:rFonts w:hint="eastAsia" w:ascii="仿宋_GB2312" w:hAnsi="仿宋_GB2312" w:eastAsia="仿宋_GB2312" w:cs="仿宋_GB2312"/>
          <w:b w:val="0"/>
          <w:bCs/>
          <w:color w:val="auto"/>
          <w:spacing w:val="12"/>
          <w:sz w:val="32"/>
          <w:szCs w:val="32"/>
          <w:lang w:val="en-US" w:eastAsia="zh-CN"/>
        </w:rPr>
        <w:t>及</w:t>
      </w:r>
      <w:r>
        <w:rPr>
          <w:rStyle w:val="6"/>
          <w:rFonts w:hint="eastAsia" w:ascii="仿宋_GB2312" w:hAnsi="仿宋_GB2312" w:eastAsia="仿宋_GB2312" w:cs="仿宋_GB2312"/>
          <w:b w:val="0"/>
          <w:bCs/>
          <w:color w:val="auto"/>
          <w:spacing w:val="12"/>
          <w:sz w:val="32"/>
          <w:szCs w:val="32"/>
        </w:rPr>
        <w:t>政府信息公开平台建设，大力推进政府信息精准公开，全方位回应公众关切，为优化我</w:t>
      </w:r>
      <w:r>
        <w:rPr>
          <w:rStyle w:val="6"/>
          <w:rFonts w:hint="eastAsia" w:ascii="仿宋_GB2312" w:hAnsi="仿宋_GB2312" w:eastAsia="仿宋_GB2312" w:cs="仿宋_GB2312"/>
          <w:b w:val="0"/>
          <w:bCs/>
          <w:color w:val="auto"/>
          <w:spacing w:val="12"/>
          <w:sz w:val="32"/>
          <w:szCs w:val="32"/>
          <w:lang w:val="en-US" w:eastAsia="zh-CN"/>
        </w:rPr>
        <w:t>区</w:t>
      </w:r>
      <w:r>
        <w:rPr>
          <w:rStyle w:val="6"/>
          <w:rFonts w:hint="eastAsia" w:ascii="仿宋_GB2312" w:hAnsi="仿宋_GB2312" w:eastAsia="仿宋_GB2312" w:cs="仿宋_GB2312"/>
          <w:b w:val="0"/>
          <w:bCs/>
          <w:color w:val="auto"/>
          <w:spacing w:val="12"/>
          <w:sz w:val="32"/>
          <w:szCs w:val="32"/>
        </w:rPr>
        <w:t>营商环境、提高依法行政能力发挥积极作用。</w:t>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right="0" w:rightChars="0" w:firstLine="691" w:firstLineChars="200"/>
        <w:jc w:val="both"/>
        <w:textAlignment w:val="auto"/>
        <w:rPr>
          <w:rStyle w:val="6"/>
          <w:rFonts w:hint="eastAsia" w:ascii="楷体_GB2312" w:hAnsi="楷体_GB2312" w:eastAsia="楷体_GB2312" w:cs="楷体_GB2312"/>
          <w:b/>
          <w:bCs w:val="0"/>
          <w:color w:val="333333"/>
          <w:spacing w:val="12"/>
          <w:sz w:val="32"/>
          <w:szCs w:val="32"/>
          <w:lang w:val="en-US" w:eastAsia="zh-CN"/>
        </w:rPr>
      </w:pPr>
      <w:r>
        <w:rPr>
          <w:rStyle w:val="6"/>
          <w:rFonts w:hint="eastAsia" w:ascii="楷体_GB2312" w:hAnsi="楷体_GB2312" w:eastAsia="楷体_GB2312" w:cs="楷体_GB2312"/>
          <w:b/>
          <w:bCs w:val="0"/>
          <w:color w:val="333333"/>
          <w:spacing w:val="12"/>
          <w:sz w:val="32"/>
          <w:szCs w:val="32"/>
          <w:lang w:val="en-US" w:eastAsia="zh-CN"/>
        </w:rPr>
        <w:t>（一）主动公开情况</w:t>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0" w:leftChars="0" w:right="0" w:rightChars="0" w:firstLine="0" w:firstLineChars="0"/>
        <w:jc w:val="both"/>
        <w:textAlignment w:val="auto"/>
        <w:rPr>
          <w:rFonts w:hint="eastAsia" w:eastAsiaTheme="minorEastAsia"/>
          <w:lang w:eastAsia="zh-CN"/>
        </w:rPr>
      </w:pPr>
      <w:r>
        <w:rPr>
          <w:rFonts w:hint="eastAsia" w:eastAsiaTheme="minorEastAsia"/>
          <w:lang w:eastAsia="zh-CN"/>
        </w:rPr>
        <w:drawing>
          <wp:inline distT="0" distB="0" distL="114300" distR="114300">
            <wp:extent cx="5588635" cy="2747645"/>
            <wp:effectExtent l="0" t="0" r="12065" b="14605"/>
            <wp:docPr id="3" name="图片 3"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1"/>
                    <pic:cNvPicPr>
                      <a:picLocks noChangeAspect="1"/>
                    </pic:cNvPicPr>
                  </pic:nvPicPr>
                  <pic:blipFill>
                    <a:blip r:embed="rId4"/>
                    <a:stretch>
                      <a:fillRect/>
                    </a:stretch>
                  </pic:blipFill>
                  <pic:spPr>
                    <a:xfrm>
                      <a:off x="0" y="0"/>
                      <a:ext cx="5588635" cy="2747645"/>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仿宋_GB2312" w:hAnsi="仿宋_GB2312" w:eastAsia="仿宋_GB2312" w:cs="仿宋_GB2312"/>
          <w:i w:val="0"/>
          <w:iCs w:val="0"/>
          <w:caps w:val="0"/>
          <w:color w:val="000000"/>
          <w:spacing w:val="0"/>
          <w:sz w:val="32"/>
          <w:szCs w:val="32"/>
          <w:shd w:val="clear" w:fill="FFFFFF"/>
        </w:rPr>
      </w:pPr>
      <w:r>
        <w:rPr>
          <w:rFonts w:hint="eastAsia" w:ascii="仿宋_GB2312" w:hAnsi="仿宋_GB2312" w:eastAsia="仿宋_GB2312" w:cs="仿宋_GB2312"/>
          <w:i w:val="0"/>
          <w:iCs w:val="0"/>
          <w:sz w:val="32"/>
          <w:szCs w:val="32"/>
          <w:lang w:val="en-US" w:eastAsia="zh-CN"/>
        </w:rPr>
        <w:t>加强组织领导，完善工作制度。</w:t>
      </w:r>
      <w:r>
        <w:rPr>
          <w:rFonts w:hint="eastAsia" w:ascii="仿宋_GB2312" w:hAnsi="仿宋_GB2312" w:eastAsia="仿宋_GB2312" w:cs="仿宋_GB2312"/>
          <w:sz w:val="32"/>
          <w:szCs w:val="32"/>
        </w:rPr>
        <w:t>为切实加强对政务信息公开工作的领导</w:t>
      </w:r>
      <w:r>
        <w:rPr>
          <w:rFonts w:hint="eastAsia" w:ascii="仿宋_GB2312" w:hAnsi="仿宋_GB2312" w:eastAsia="仿宋_GB2312" w:cs="仿宋_GB2312"/>
          <w:sz w:val="32"/>
          <w:szCs w:val="32"/>
          <w:lang w:eastAsia="zh-CN"/>
        </w:rPr>
        <w:t>，</w:t>
      </w:r>
      <w:r>
        <w:rPr>
          <w:rFonts w:hint="eastAsia" w:ascii="仿宋_GB2312" w:hAnsi="仿宋_GB2312" w:eastAsia="仿宋_GB2312" w:cs="仿宋_GB2312"/>
          <w:sz w:val="32"/>
          <w:szCs w:val="32"/>
        </w:rPr>
        <w:t>我</w:t>
      </w:r>
      <w:r>
        <w:rPr>
          <w:rFonts w:hint="eastAsia" w:ascii="仿宋_GB2312" w:hAnsi="仿宋_GB2312" w:eastAsia="仿宋_GB2312" w:cs="仿宋_GB2312"/>
          <w:sz w:val="32"/>
          <w:szCs w:val="32"/>
          <w:lang w:val="en-US" w:eastAsia="zh-CN"/>
        </w:rPr>
        <w:t>区各镇、各部门单位</w:t>
      </w:r>
      <w:r>
        <w:rPr>
          <w:rFonts w:hint="eastAsia" w:ascii="仿宋_GB2312" w:hAnsi="仿宋_GB2312" w:eastAsia="仿宋_GB2312" w:cs="仿宋_GB2312"/>
          <w:sz w:val="32"/>
          <w:szCs w:val="32"/>
        </w:rPr>
        <w:t>成立了政府信息公开工作领导小组，</w:t>
      </w:r>
      <w:r>
        <w:rPr>
          <w:rFonts w:hint="eastAsia" w:ascii="仿宋_GB2312" w:hAnsi="仿宋_GB2312" w:eastAsia="仿宋_GB2312" w:cs="仿宋_GB2312"/>
          <w:sz w:val="32"/>
          <w:szCs w:val="32"/>
          <w:lang w:val="en-US" w:eastAsia="zh-CN"/>
        </w:rPr>
        <w:t>明确政府信息公开工作负责人员，</w:t>
      </w:r>
      <w:r>
        <w:rPr>
          <w:rFonts w:hint="eastAsia" w:ascii="仿宋_GB2312" w:hAnsi="仿宋_GB2312" w:eastAsia="仿宋_GB2312" w:cs="仿宋_GB2312"/>
          <w:sz w:val="32"/>
          <w:szCs w:val="32"/>
        </w:rPr>
        <w:t>不断完善信息公开工作制度，积极接受</w:t>
      </w:r>
      <w:r>
        <w:rPr>
          <w:rFonts w:hint="eastAsia" w:ascii="仿宋_GB2312" w:hAnsi="仿宋_GB2312" w:eastAsia="仿宋_GB2312" w:cs="仿宋_GB2312"/>
          <w:sz w:val="32"/>
          <w:szCs w:val="32"/>
          <w:lang w:val="en-US" w:eastAsia="zh-CN"/>
        </w:rPr>
        <w:t>省委部门</w:t>
      </w:r>
      <w:r>
        <w:rPr>
          <w:rFonts w:hint="eastAsia" w:ascii="仿宋_GB2312" w:hAnsi="仿宋_GB2312" w:eastAsia="仿宋_GB2312" w:cs="仿宋_GB2312"/>
          <w:sz w:val="32"/>
          <w:szCs w:val="32"/>
        </w:rPr>
        <w:t>和人民群众的监督，严格执行政府信息公开工作制度。</w:t>
      </w:r>
      <w:r>
        <w:rPr>
          <w:rFonts w:hint="default" w:ascii="Times New Roman" w:hAnsi="Times New Roman" w:eastAsia="仿宋_GB2312" w:cs="Times New Roman"/>
          <w:b w:val="0"/>
          <w:bCs/>
          <w:i w:val="0"/>
          <w:iCs w:val="0"/>
          <w:caps w:val="0"/>
          <w:color w:val="000000"/>
          <w:spacing w:val="12"/>
          <w:sz w:val="32"/>
          <w:szCs w:val="32"/>
          <w:shd w:val="clear" w:fill="FFFFFF"/>
          <w:lang w:val="en-US" w:eastAsia="zh-CN"/>
        </w:rPr>
        <w:t>2021</w:t>
      </w:r>
      <w:r>
        <w:rPr>
          <w:rFonts w:hint="eastAsia" w:ascii="仿宋_GB2312" w:hAnsi="仿宋_GB2312" w:eastAsia="仿宋_GB2312" w:cs="仿宋_GB2312"/>
          <w:b w:val="0"/>
          <w:bCs/>
          <w:i w:val="0"/>
          <w:iCs w:val="0"/>
          <w:caps w:val="0"/>
          <w:color w:val="000000"/>
          <w:spacing w:val="12"/>
          <w:sz w:val="32"/>
          <w:szCs w:val="32"/>
          <w:shd w:val="clear" w:fill="FFFFFF"/>
          <w:lang w:val="en-US" w:eastAsia="zh-CN"/>
        </w:rPr>
        <w:t>年，经开区通过区管委会网站主动公开政府信息共</w:t>
      </w:r>
      <w:r>
        <w:rPr>
          <w:rFonts w:hint="default" w:ascii="Times New Roman" w:hAnsi="Times New Roman" w:eastAsia="仿宋_GB2312" w:cs="Times New Roman"/>
          <w:b w:val="0"/>
          <w:bCs/>
          <w:i w:val="0"/>
          <w:iCs w:val="0"/>
          <w:caps w:val="0"/>
          <w:color w:val="000000"/>
          <w:spacing w:val="12"/>
          <w:sz w:val="32"/>
          <w:szCs w:val="32"/>
          <w:shd w:val="clear" w:fill="FFFFFF"/>
          <w:lang w:val="en-US" w:eastAsia="zh-CN"/>
        </w:rPr>
        <w:t>12</w:t>
      </w:r>
      <w:r>
        <w:rPr>
          <w:rFonts w:hint="eastAsia" w:ascii="Times New Roman" w:hAnsi="Times New Roman" w:eastAsia="仿宋_GB2312" w:cs="Times New Roman"/>
          <w:b w:val="0"/>
          <w:bCs/>
          <w:i w:val="0"/>
          <w:iCs w:val="0"/>
          <w:caps w:val="0"/>
          <w:color w:val="000000"/>
          <w:spacing w:val="12"/>
          <w:sz w:val="32"/>
          <w:szCs w:val="32"/>
          <w:shd w:val="clear" w:fill="FFFFFF"/>
          <w:lang w:val="en-US" w:eastAsia="zh-CN"/>
        </w:rPr>
        <w:t>82</w:t>
      </w:r>
      <w:r>
        <w:rPr>
          <w:rFonts w:hint="eastAsia" w:ascii="仿宋_GB2312" w:hAnsi="仿宋_GB2312" w:eastAsia="仿宋_GB2312" w:cs="仿宋_GB2312"/>
          <w:b w:val="0"/>
          <w:bCs/>
          <w:i w:val="0"/>
          <w:iCs w:val="0"/>
          <w:caps w:val="0"/>
          <w:color w:val="000000"/>
          <w:spacing w:val="12"/>
          <w:sz w:val="32"/>
          <w:szCs w:val="32"/>
          <w:shd w:val="clear" w:fill="FFFFFF"/>
          <w:lang w:val="en-US" w:eastAsia="zh-CN"/>
        </w:rPr>
        <w:t>条。经开区着力加强公开解读回应工作，</w:t>
      </w:r>
      <w:r>
        <w:rPr>
          <w:rFonts w:hint="eastAsia" w:ascii="仿宋_GB2312" w:hAnsi="仿宋_GB2312" w:eastAsia="仿宋_GB2312" w:cs="仿宋_GB2312"/>
          <w:i w:val="0"/>
          <w:iCs w:val="0"/>
          <w:caps w:val="0"/>
          <w:color w:val="000000"/>
          <w:spacing w:val="0"/>
          <w:sz w:val="32"/>
          <w:szCs w:val="32"/>
          <w:shd w:val="clear" w:fill="FFFFFF"/>
        </w:rPr>
        <w:t>在进行政策解读时，要求各单位要严格落实政策文件与解读方案、解读材料同步起草、同步审批、同步发布要求，着重解读政策措施的背景依据、目标任务、主要内容、涉及范围、执行标准，以及注意事项、关键词诠释、惠民利民举措、新旧政策差异等，使政策内涵权威透明，避免误解误读。</w:t>
      </w:r>
    </w:p>
    <w:p>
      <w:pPr>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仿宋_GB2312" w:hAnsi="仿宋_GB2312" w:eastAsia="仿宋_GB2312" w:cs="仿宋_GB2312"/>
          <w:i w:val="0"/>
          <w:iCs w:val="0"/>
          <w:caps w:val="0"/>
          <w:color w:val="000000"/>
          <w:spacing w:val="0"/>
          <w:sz w:val="32"/>
          <w:szCs w:val="32"/>
          <w:shd w:val="clear" w:fill="FFFFFF"/>
          <w:lang w:eastAsia="zh-CN"/>
        </w:rPr>
        <w:drawing>
          <wp:inline distT="0" distB="0" distL="114300" distR="114300">
            <wp:extent cx="5595620" cy="2574290"/>
            <wp:effectExtent l="0" t="0" r="5080" b="16510"/>
            <wp:docPr id="4" name="图片 4"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2"/>
                    <pic:cNvPicPr>
                      <a:picLocks noChangeAspect="1"/>
                    </pic:cNvPicPr>
                  </pic:nvPicPr>
                  <pic:blipFill>
                    <a:blip r:embed="rId5"/>
                    <a:stretch>
                      <a:fillRect/>
                    </a:stretch>
                  </pic:blipFill>
                  <pic:spPr>
                    <a:xfrm>
                      <a:off x="0" y="0"/>
                      <a:ext cx="5595620" cy="2574290"/>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629" w:leftChars="0" w:right="0" w:rightChars="0" w:firstLine="688" w:firstLineChars="200"/>
        <w:jc w:val="both"/>
        <w:textAlignment w:val="auto"/>
        <w:rPr>
          <w:rFonts w:hint="eastAsia" w:ascii="黑体" w:hAnsi="黑体" w:eastAsia="黑体" w:cs="黑体"/>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right="0" w:rightChars="0" w:firstLine="691" w:firstLineChars="200"/>
        <w:jc w:val="both"/>
        <w:textAlignment w:val="auto"/>
        <w:rPr>
          <w:rFonts w:hint="eastAsia" w:ascii="楷体_GB2312" w:hAnsi="楷体_GB2312" w:eastAsia="楷体_GB2312" w:cs="楷体_GB2312"/>
          <w:b/>
          <w:bCs w:val="0"/>
          <w:i w:val="0"/>
          <w:iCs w:val="0"/>
          <w:caps w:val="0"/>
          <w:color w:val="000000"/>
          <w:spacing w:val="12"/>
          <w:sz w:val="32"/>
          <w:szCs w:val="32"/>
          <w:shd w:val="clear" w:fill="FFFFFF"/>
          <w:lang w:val="en-US" w:eastAsia="zh-CN"/>
        </w:rPr>
      </w:pPr>
      <w:r>
        <w:rPr>
          <w:rFonts w:hint="eastAsia" w:ascii="楷体_GB2312" w:hAnsi="楷体_GB2312" w:eastAsia="楷体_GB2312" w:cs="楷体_GB2312"/>
          <w:b/>
          <w:bCs w:val="0"/>
          <w:i w:val="0"/>
          <w:iCs w:val="0"/>
          <w:caps w:val="0"/>
          <w:color w:val="000000"/>
          <w:spacing w:val="12"/>
          <w:sz w:val="32"/>
          <w:szCs w:val="32"/>
          <w:shd w:val="clear" w:fill="FFFFFF"/>
          <w:lang w:val="en-US" w:eastAsia="zh-CN"/>
        </w:rPr>
        <w:t>（二）依申请公开情况</w:t>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eastAsia" w:ascii="仿宋_GB2312" w:hAnsi="仿宋_GB2312" w:eastAsia="仿宋_GB2312" w:cs="仿宋_GB2312"/>
          <w:i w:val="0"/>
          <w:iCs w:val="0"/>
          <w:caps w:val="0"/>
          <w:color w:val="000000"/>
          <w:spacing w:val="0"/>
          <w:sz w:val="32"/>
          <w:szCs w:val="32"/>
          <w:shd w:val="clear" w:fill="FFFFFF"/>
        </w:rPr>
      </w:pPr>
      <w:r>
        <w:rPr>
          <w:rFonts w:hint="eastAsia" w:ascii="仿宋_GB2312" w:hAnsi="仿宋_GB2312" w:eastAsia="仿宋_GB2312" w:cs="仿宋_GB2312"/>
          <w:i w:val="0"/>
          <w:iCs w:val="0"/>
          <w:caps w:val="0"/>
          <w:color w:val="auto"/>
          <w:spacing w:val="0"/>
          <w:sz w:val="32"/>
          <w:szCs w:val="32"/>
          <w:shd w:val="clear" w:fill="FFFFFF"/>
        </w:rPr>
        <w:t>按照《条例》和国办《关于做好政府信息依申请公开工作的意见》要求</w:t>
      </w:r>
      <w:r>
        <w:rPr>
          <w:rFonts w:hint="eastAsia" w:ascii="仿宋_GB2312" w:hAnsi="宋体" w:eastAsia="仿宋_GB2312" w:cs="仿宋_GB2312"/>
          <w:i w:val="0"/>
          <w:iCs w:val="0"/>
          <w:caps w:val="0"/>
          <w:color w:val="auto"/>
          <w:spacing w:val="0"/>
          <w:sz w:val="32"/>
          <w:szCs w:val="32"/>
          <w:shd w:val="clear" w:fill="FFFFFF"/>
          <w:lang w:eastAsia="zh-CN"/>
        </w:rPr>
        <w:t>，</w:t>
      </w:r>
      <w:r>
        <w:rPr>
          <w:rFonts w:hint="eastAsia" w:ascii="仿宋_GB2312" w:hAnsi="宋体" w:eastAsia="仿宋_GB2312" w:cs="仿宋_GB2312"/>
          <w:i w:val="0"/>
          <w:iCs w:val="0"/>
          <w:caps w:val="0"/>
          <w:color w:val="auto"/>
          <w:spacing w:val="0"/>
          <w:sz w:val="32"/>
          <w:szCs w:val="32"/>
          <w:shd w:val="clear" w:fill="FFFFFF"/>
          <w:lang w:val="en-US" w:eastAsia="zh-CN"/>
        </w:rPr>
        <w:t>进一步规范做好依申请公开工作。</w:t>
      </w:r>
      <w:r>
        <w:rPr>
          <w:rFonts w:hint="default" w:ascii="Times New Roman" w:hAnsi="Times New Roman" w:eastAsia="仿宋_GB2312" w:cs="Times New Roman"/>
          <w:i w:val="0"/>
          <w:iCs w:val="0"/>
          <w:caps w:val="0"/>
          <w:color w:val="auto"/>
          <w:spacing w:val="0"/>
          <w:sz w:val="32"/>
          <w:szCs w:val="32"/>
          <w:shd w:val="clear" w:fill="FFFFFF"/>
          <w:lang w:val="en-US" w:eastAsia="zh-CN"/>
        </w:rPr>
        <w:t>2021</w:t>
      </w:r>
      <w:r>
        <w:rPr>
          <w:rFonts w:hint="eastAsia" w:ascii="仿宋_GB2312" w:hAnsi="宋体" w:eastAsia="仿宋_GB2312" w:cs="仿宋_GB2312"/>
          <w:i w:val="0"/>
          <w:iCs w:val="0"/>
          <w:caps w:val="0"/>
          <w:color w:val="auto"/>
          <w:spacing w:val="0"/>
          <w:sz w:val="32"/>
          <w:szCs w:val="32"/>
          <w:shd w:val="clear" w:fill="FFFFFF"/>
          <w:lang w:val="en-US" w:eastAsia="zh-CN"/>
        </w:rPr>
        <w:t>年经开区共收到依申请公开</w:t>
      </w:r>
      <w:r>
        <w:rPr>
          <w:rFonts w:hint="eastAsia" w:ascii="Times New Roman" w:hAnsi="Times New Roman" w:eastAsia="仿宋_GB2312" w:cs="Times New Roman"/>
          <w:i w:val="0"/>
          <w:iCs w:val="0"/>
          <w:caps w:val="0"/>
          <w:color w:val="auto"/>
          <w:spacing w:val="0"/>
          <w:sz w:val="32"/>
          <w:szCs w:val="32"/>
          <w:shd w:val="clear" w:fill="FFFFFF"/>
          <w:lang w:val="en-US" w:eastAsia="zh-CN"/>
        </w:rPr>
        <w:t>32</w:t>
      </w:r>
      <w:r>
        <w:rPr>
          <w:rFonts w:hint="eastAsia" w:ascii="仿宋_GB2312" w:hAnsi="宋体" w:eastAsia="仿宋_GB2312" w:cs="仿宋_GB2312"/>
          <w:i w:val="0"/>
          <w:iCs w:val="0"/>
          <w:caps w:val="0"/>
          <w:color w:val="auto"/>
          <w:spacing w:val="0"/>
          <w:sz w:val="32"/>
          <w:szCs w:val="32"/>
          <w:shd w:val="clear" w:fill="FFFFFF"/>
          <w:lang w:val="en-US" w:eastAsia="zh-CN"/>
        </w:rPr>
        <w:t>件，民生连线办件</w:t>
      </w:r>
      <w:r>
        <w:rPr>
          <w:rFonts w:hint="eastAsia" w:ascii="Times New Roman" w:hAnsi="Times New Roman" w:eastAsia="仿宋_GB2312" w:cs="Times New Roman"/>
          <w:i w:val="0"/>
          <w:iCs w:val="0"/>
          <w:caps w:val="0"/>
          <w:color w:val="auto"/>
          <w:spacing w:val="0"/>
          <w:sz w:val="32"/>
          <w:szCs w:val="32"/>
          <w:shd w:val="clear" w:fill="FFFFFF"/>
          <w:lang w:val="en-US" w:eastAsia="zh-CN"/>
        </w:rPr>
        <w:t>70</w:t>
      </w:r>
      <w:r>
        <w:rPr>
          <w:rFonts w:hint="eastAsia" w:ascii="仿宋_GB2312" w:hAnsi="宋体" w:eastAsia="仿宋_GB2312" w:cs="仿宋_GB2312"/>
          <w:i w:val="0"/>
          <w:iCs w:val="0"/>
          <w:caps w:val="0"/>
          <w:color w:val="auto"/>
          <w:spacing w:val="0"/>
          <w:sz w:val="32"/>
          <w:szCs w:val="32"/>
          <w:shd w:val="clear" w:fill="FFFFFF"/>
          <w:lang w:val="en-US" w:eastAsia="zh-CN"/>
        </w:rPr>
        <w:t>件，信息公开意见箱</w:t>
      </w:r>
      <w:r>
        <w:rPr>
          <w:rFonts w:hint="eastAsia" w:ascii="Times New Roman" w:hAnsi="Times New Roman" w:eastAsia="仿宋_GB2312" w:cs="Times New Roman"/>
          <w:i w:val="0"/>
          <w:iCs w:val="0"/>
          <w:caps w:val="0"/>
          <w:color w:val="auto"/>
          <w:spacing w:val="0"/>
          <w:sz w:val="32"/>
          <w:szCs w:val="32"/>
          <w:shd w:val="clear" w:fill="FFFFFF"/>
          <w:lang w:val="en-US" w:eastAsia="zh-CN"/>
        </w:rPr>
        <w:t>11</w:t>
      </w:r>
      <w:r>
        <w:rPr>
          <w:rFonts w:hint="eastAsia" w:ascii="仿宋_GB2312" w:hAnsi="宋体" w:eastAsia="仿宋_GB2312" w:cs="仿宋_GB2312"/>
          <w:i w:val="0"/>
          <w:iCs w:val="0"/>
          <w:caps w:val="0"/>
          <w:color w:val="auto"/>
          <w:spacing w:val="0"/>
          <w:sz w:val="32"/>
          <w:szCs w:val="32"/>
          <w:shd w:val="clear" w:fill="FFFFFF"/>
          <w:lang w:val="en-US" w:eastAsia="zh-CN"/>
        </w:rPr>
        <w:t>件。</w:t>
      </w:r>
      <w:r>
        <w:rPr>
          <w:rFonts w:hint="eastAsia" w:ascii="仿宋_GB2312" w:hAnsi="仿宋_GB2312" w:eastAsia="仿宋_GB2312" w:cs="仿宋_GB2312"/>
          <w:i w:val="0"/>
          <w:iCs w:val="0"/>
          <w:caps w:val="0"/>
          <w:color w:val="auto"/>
          <w:spacing w:val="0"/>
          <w:sz w:val="32"/>
          <w:szCs w:val="32"/>
          <w:shd w:val="clear" w:fill="FFFFFF"/>
        </w:rPr>
        <w:t>根据申请人申请内容，在规定时间内，严格按照相关法律法规出具了答复书并提供了相关信息，在此过程中无信息公开收费情况。</w:t>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240" w:lineRule="auto"/>
        <w:ind w:left="10" w:leftChars="0" w:right="0" w:rightChars="0" w:hanging="10" w:firstLineChars="0"/>
        <w:jc w:val="both"/>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仿宋_GB2312" w:hAnsi="仿宋_GB2312" w:eastAsia="仿宋_GB2312" w:cs="仿宋_GB2312"/>
          <w:i w:val="0"/>
          <w:iCs w:val="0"/>
          <w:caps w:val="0"/>
          <w:color w:val="000000"/>
          <w:spacing w:val="0"/>
          <w:sz w:val="32"/>
          <w:szCs w:val="32"/>
          <w:shd w:val="clear" w:fill="FFFFFF"/>
          <w:lang w:val="en-US" w:eastAsia="zh-CN"/>
        </w:rPr>
        <w:drawing>
          <wp:inline distT="0" distB="0" distL="114300" distR="114300">
            <wp:extent cx="5685790" cy="2578735"/>
            <wp:effectExtent l="0" t="0" r="10160" b="12065"/>
            <wp:docPr id="2" name="图片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3"/>
                    <pic:cNvPicPr>
                      <a:picLocks noChangeAspect="1"/>
                    </pic:cNvPicPr>
                  </pic:nvPicPr>
                  <pic:blipFill>
                    <a:blip r:embed="rId6"/>
                    <a:stretch>
                      <a:fillRect/>
                    </a:stretch>
                  </pic:blipFill>
                  <pic:spPr>
                    <a:xfrm>
                      <a:off x="0" y="0"/>
                      <a:ext cx="5685790" cy="2578735"/>
                    </a:xfrm>
                    <a:prstGeom prst="rect">
                      <a:avLst/>
                    </a:prstGeom>
                  </pic:spPr>
                </pic:pic>
              </a:graphicData>
            </a:graphic>
          </wp:inline>
        </w:drawing>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40"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r>
        <w:rPr>
          <w:rFonts w:hint="eastAsia" w:ascii="仿宋" w:hAnsi="仿宋" w:eastAsia="仿宋" w:cs="仿宋"/>
          <w:i w:val="0"/>
          <w:iCs w:val="0"/>
          <w:caps w:val="0"/>
          <w:color w:val="000000"/>
          <w:spacing w:val="0"/>
          <w:sz w:val="32"/>
          <w:szCs w:val="32"/>
          <w:shd w:val="clear" w:fill="FFFFFF"/>
          <w:lang w:val="en-US" w:eastAsia="zh-CN"/>
        </w:rPr>
        <w:drawing>
          <wp:anchor distT="0" distB="0" distL="114300" distR="114300" simplePos="0" relativeHeight="251659264" behindDoc="1" locked="0" layoutInCell="1" allowOverlap="1">
            <wp:simplePos x="0" y="0"/>
            <wp:positionH relativeFrom="column">
              <wp:posOffset>-23495</wp:posOffset>
            </wp:positionH>
            <wp:positionV relativeFrom="paragraph">
              <wp:posOffset>49530</wp:posOffset>
            </wp:positionV>
            <wp:extent cx="5801360" cy="3326765"/>
            <wp:effectExtent l="0" t="0" r="8890" b="6985"/>
            <wp:wrapNone/>
            <wp:docPr id="1" name="图片 1"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5"/>
                    <pic:cNvPicPr>
                      <a:picLocks noChangeAspect="1"/>
                    </pic:cNvPicPr>
                  </pic:nvPicPr>
                  <pic:blipFill>
                    <a:blip r:embed="rId7"/>
                    <a:stretch>
                      <a:fillRect/>
                    </a:stretch>
                  </pic:blipFill>
                  <pic:spPr>
                    <a:xfrm>
                      <a:off x="0" y="0"/>
                      <a:ext cx="5801360" cy="3326765"/>
                    </a:xfrm>
                    <a:prstGeom prst="rect">
                      <a:avLst/>
                    </a:prstGeom>
                  </pic:spPr>
                </pic:pic>
              </a:graphicData>
            </a:graphic>
          </wp:anchor>
        </w:drawing>
      </w: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pStyle w:val="2"/>
        <w:keepNext w:val="0"/>
        <w:keepLines w:val="0"/>
        <w:pageBreakBefore w:val="0"/>
        <w:widowControl/>
        <w:numPr>
          <w:ilvl w:val="0"/>
          <w:numId w:val="0"/>
        </w:numPr>
        <w:suppressLineNumbers w:val="0"/>
        <w:kinsoku/>
        <w:wordWrap w:val="0"/>
        <w:overflowPunct/>
        <w:topLinePunct w:val="0"/>
        <w:autoSpaceDE/>
        <w:autoSpaceDN/>
        <w:bidi w:val="0"/>
        <w:adjustRightInd/>
        <w:snapToGrid/>
        <w:spacing w:before="0" w:beforeAutospacing="0" w:after="0" w:afterAutospacing="0" w:line="600" w:lineRule="exact"/>
        <w:ind w:left="0" w:leftChars="0" w:right="0" w:rightChars="0" w:firstLine="688" w:firstLineChars="200"/>
        <w:jc w:val="both"/>
        <w:textAlignment w:val="auto"/>
        <w:rPr>
          <w:rFonts w:hint="default" w:ascii="仿宋_GB2312" w:hAnsi="仿宋_GB2312" w:eastAsia="仿宋_GB2312" w:cs="仿宋_GB2312"/>
          <w:b w:val="0"/>
          <w:bCs/>
          <w:i w:val="0"/>
          <w:iCs w:val="0"/>
          <w:caps w:val="0"/>
          <w:color w:val="000000"/>
          <w:spacing w:val="12"/>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val="0"/>
          <w:color w:val="auto"/>
          <w:kern w:val="0"/>
          <w:sz w:val="32"/>
          <w:szCs w:val="32"/>
          <w:u w:val="none"/>
          <w:lang w:val="en-US" w:eastAsia="zh-CN" w:bidi="ar"/>
        </w:rPr>
      </w:pPr>
      <w:r>
        <w:rPr>
          <w:rFonts w:hint="eastAsia" w:ascii="楷体_GB2312" w:hAnsi="楷体_GB2312" w:eastAsia="楷体_GB2312" w:cs="楷体_GB2312"/>
          <w:b/>
          <w:bCs w:val="0"/>
          <w:color w:val="auto"/>
          <w:kern w:val="0"/>
          <w:sz w:val="32"/>
          <w:szCs w:val="32"/>
          <w:u w:val="none"/>
          <w:lang w:val="en-US" w:eastAsia="zh-CN" w:bidi="ar"/>
        </w:rPr>
        <w:t>（三）政府信息管理情况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7" w:leftChars="8" w:firstLine="640" w:firstLineChars="200"/>
        <w:jc w:val="left"/>
        <w:textAlignment w:val="auto"/>
        <w:rPr>
          <w:rFonts w:hint="default" w:ascii="仿宋" w:hAnsi="仿宋" w:eastAsia="仿宋" w:cs="仿宋"/>
          <w:i w:val="0"/>
          <w:iCs w:val="0"/>
          <w:caps w:val="0"/>
          <w:color w:val="000000"/>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及时</w:t>
      </w:r>
      <w:r>
        <w:rPr>
          <w:rFonts w:ascii="仿宋" w:hAnsi="仿宋" w:eastAsia="仿宋" w:cs="仿宋"/>
          <w:i w:val="0"/>
          <w:iCs w:val="0"/>
          <w:caps w:val="0"/>
          <w:color w:val="auto"/>
          <w:spacing w:val="0"/>
          <w:sz w:val="32"/>
          <w:szCs w:val="32"/>
          <w:shd w:val="clear" w:fill="FFFFFF"/>
        </w:rPr>
        <w:t>调整完善政务公开及政府信息公开领导小组及工作机构</w:t>
      </w:r>
      <w:r>
        <w:rPr>
          <w:rFonts w:hint="eastAsia" w:ascii="仿宋" w:hAnsi="仿宋" w:eastAsia="仿宋" w:cs="仿宋"/>
          <w:i w:val="0"/>
          <w:iCs w:val="0"/>
          <w:caps w:val="0"/>
          <w:color w:val="auto"/>
          <w:spacing w:val="0"/>
          <w:sz w:val="32"/>
          <w:szCs w:val="32"/>
          <w:shd w:val="clear" w:fill="FFFFFF"/>
          <w:lang w:eastAsia="zh-CN"/>
        </w:rPr>
        <w:t>，</w:t>
      </w:r>
      <w:r>
        <w:rPr>
          <w:rFonts w:ascii="仿宋" w:hAnsi="仿宋" w:eastAsia="仿宋" w:cs="仿宋"/>
          <w:i w:val="0"/>
          <w:iCs w:val="0"/>
          <w:caps w:val="0"/>
          <w:color w:val="auto"/>
          <w:spacing w:val="0"/>
          <w:sz w:val="32"/>
          <w:szCs w:val="32"/>
          <w:shd w:val="clear" w:fill="FFFFFF"/>
        </w:rPr>
        <w:t>明确各项政府信息公开的责任</w:t>
      </w:r>
      <w:r>
        <w:rPr>
          <w:rFonts w:hint="eastAsia" w:ascii="仿宋" w:hAnsi="仿宋" w:eastAsia="仿宋" w:cs="仿宋"/>
          <w:i w:val="0"/>
          <w:iCs w:val="0"/>
          <w:caps w:val="0"/>
          <w:color w:val="auto"/>
          <w:spacing w:val="0"/>
          <w:sz w:val="32"/>
          <w:szCs w:val="32"/>
          <w:shd w:val="clear" w:fill="FFFFFF"/>
          <w:lang w:val="en-US" w:eastAsia="zh-CN"/>
        </w:rPr>
        <w:t>部门</w:t>
      </w:r>
      <w:r>
        <w:rPr>
          <w:rFonts w:ascii="仿宋" w:hAnsi="仿宋" w:eastAsia="仿宋" w:cs="仿宋"/>
          <w:i w:val="0"/>
          <w:iCs w:val="0"/>
          <w:caps w:val="0"/>
          <w:color w:val="auto"/>
          <w:spacing w:val="0"/>
          <w:sz w:val="32"/>
          <w:szCs w:val="32"/>
          <w:shd w:val="clear" w:fill="FFFFFF"/>
        </w:rPr>
        <w:t>、单位，切实压实责任，确保政府信息公开工作</w:t>
      </w:r>
      <w:r>
        <w:rPr>
          <w:rFonts w:hint="eastAsia" w:ascii="仿宋" w:hAnsi="仿宋" w:eastAsia="仿宋" w:cs="仿宋"/>
          <w:i w:val="0"/>
          <w:iCs w:val="0"/>
          <w:caps w:val="0"/>
          <w:color w:val="auto"/>
          <w:spacing w:val="0"/>
          <w:sz w:val="32"/>
          <w:szCs w:val="32"/>
          <w:shd w:val="clear" w:fill="FFFFFF"/>
          <w:lang w:val="en-US" w:eastAsia="zh-CN"/>
        </w:rPr>
        <w:t>顺利</w:t>
      </w:r>
      <w:r>
        <w:rPr>
          <w:rFonts w:ascii="仿宋" w:hAnsi="仿宋" w:eastAsia="仿宋" w:cs="仿宋"/>
          <w:i w:val="0"/>
          <w:iCs w:val="0"/>
          <w:caps w:val="0"/>
          <w:color w:val="auto"/>
          <w:spacing w:val="0"/>
          <w:sz w:val="32"/>
          <w:szCs w:val="32"/>
          <w:shd w:val="clear" w:fill="FFFFFF"/>
        </w:rPr>
        <w:t>开展</w:t>
      </w:r>
      <w:r>
        <w:rPr>
          <w:rFonts w:hint="eastAsia" w:ascii="仿宋" w:hAnsi="仿宋" w:eastAsia="仿宋" w:cs="仿宋"/>
          <w:i w:val="0"/>
          <w:iCs w:val="0"/>
          <w:caps w:val="0"/>
          <w:color w:val="auto"/>
          <w:spacing w:val="0"/>
          <w:sz w:val="32"/>
          <w:szCs w:val="32"/>
          <w:shd w:val="clear" w:fill="FFFFFF"/>
          <w:lang w:eastAsia="zh-CN"/>
        </w:rPr>
        <w:t>，</w:t>
      </w:r>
      <w:r>
        <w:rPr>
          <w:rFonts w:hint="eastAsia" w:ascii="仿宋" w:hAnsi="仿宋" w:eastAsia="仿宋" w:cs="仿宋"/>
          <w:i w:val="0"/>
          <w:iCs w:val="0"/>
          <w:caps w:val="0"/>
          <w:color w:val="auto"/>
          <w:spacing w:val="0"/>
          <w:sz w:val="32"/>
          <w:szCs w:val="32"/>
          <w:shd w:val="clear" w:fill="FFFFFF"/>
          <w:lang w:val="en-US" w:eastAsia="zh-CN"/>
        </w:rPr>
        <w:t>做好公开内容保障工作并达到精准推送、智能查询等。</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i w:val="0"/>
          <w:iCs w:val="0"/>
          <w:caps w:val="0"/>
          <w:color w:val="000000"/>
          <w:spacing w:val="0"/>
          <w:sz w:val="32"/>
          <w:szCs w:val="32"/>
          <w:shd w:val="clear" w:fill="FFFFFF"/>
          <w:lang w:val="en-US" w:eastAsia="zh-CN"/>
        </w:rPr>
      </w:pPr>
      <w:r>
        <w:rPr>
          <w:rFonts w:hint="eastAsia" w:ascii="楷体_GB2312" w:hAnsi="楷体_GB2312" w:eastAsia="楷体_GB2312" w:cs="楷体_GB2312"/>
          <w:b/>
          <w:bCs/>
          <w:i w:val="0"/>
          <w:iCs w:val="0"/>
          <w:caps w:val="0"/>
          <w:color w:val="000000"/>
          <w:spacing w:val="0"/>
          <w:sz w:val="32"/>
          <w:szCs w:val="32"/>
          <w:shd w:val="clear" w:fill="FFFFFF"/>
          <w:lang w:val="en-US" w:eastAsia="zh-CN"/>
        </w:rPr>
        <w:t>（四）政府信息公开平台建设情况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default" w:ascii="仿宋" w:hAnsi="仿宋" w:eastAsia="仿宋" w:cs="仿宋"/>
          <w:i w:val="0"/>
          <w:iCs w:val="0"/>
          <w:caps w:val="0"/>
          <w:color w:val="auto"/>
          <w:spacing w:val="0"/>
          <w:sz w:val="32"/>
          <w:szCs w:val="32"/>
          <w:shd w:val="clear" w:fill="FFFFFF"/>
          <w:lang w:val="en-US" w:eastAsia="zh-CN"/>
        </w:rPr>
        <w:t>在市政府网站集约化统一管理平台基础上，根据</w:t>
      </w:r>
      <w:r>
        <w:rPr>
          <w:rFonts w:hint="eastAsia" w:ascii="仿宋" w:hAnsi="仿宋" w:eastAsia="仿宋" w:cs="仿宋"/>
          <w:i w:val="0"/>
          <w:iCs w:val="0"/>
          <w:caps w:val="0"/>
          <w:color w:val="auto"/>
          <w:spacing w:val="0"/>
          <w:sz w:val="32"/>
          <w:szCs w:val="32"/>
          <w:shd w:val="clear" w:fill="FFFFFF"/>
          <w:lang w:val="en-US" w:eastAsia="zh-CN"/>
        </w:rPr>
        <w:t>经开</w:t>
      </w:r>
      <w:r>
        <w:rPr>
          <w:rFonts w:hint="default" w:ascii="仿宋" w:hAnsi="仿宋" w:eastAsia="仿宋" w:cs="仿宋"/>
          <w:i w:val="0"/>
          <w:iCs w:val="0"/>
          <w:caps w:val="0"/>
          <w:color w:val="auto"/>
          <w:spacing w:val="0"/>
          <w:sz w:val="32"/>
          <w:szCs w:val="32"/>
          <w:shd w:val="clear" w:fill="FFFFFF"/>
          <w:lang w:val="en-US" w:eastAsia="zh-CN"/>
        </w:rPr>
        <w:t>区实际，对重点领域、主动公开事项、依申请公开等栏目，做了进一步细分和完善，使群众更加方便进行查阅。并对网站存在的各种问题及时进行整改。同时，按照相关政策要求，</w:t>
      </w:r>
      <w:r>
        <w:rPr>
          <w:rFonts w:hint="eastAsia" w:ascii="仿宋" w:hAnsi="仿宋" w:eastAsia="仿宋" w:cs="仿宋"/>
          <w:i w:val="0"/>
          <w:iCs w:val="0"/>
          <w:caps w:val="0"/>
          <w:color w:val="auto"/>
          <w:spacing w:val="0"/>
          <w:sz w:val="32"/>
          <w:szCs w:val="32"/>
          <w:shd w:val="clear" w:fill="FFFFFF"/>
          <w:lang w:val="en-US" w:eastAsia="zh-CN"/>
        </w:rPr>
        <w:t>充分健全发挥经开</w:t>
      </w:r>
      <w:r>
        <w:rPr>
          <w:rFonts w:hint="default" w:ascii="仿宋" w:hAnsi="仿宋" w:eastAsia="仿宋" w:cs="仿宋"/>
          <w:i w:val="0"/>
          <w:iCs w:val="0"/>
          <w:caps w:val="0"/>
          <w:color w:val="auto"/>
          <w:spacing w:val="0"/>
          <w:sz w:val="32"/>
          <w:szCs w:val="32"/>
          <w:shd w:val="clear" w:fill="FFFFFF"/>
          <w:lang w:val="en-US" w:eastAsia="zh-CN"/>
        </w:rPr>
        <w:t>区各部门微信公众号、微博等新媒体平台，</w:t>
      </w:r>
      <w:r>
        <w:rPr>
          <w:rFonts w:hint="eastAsia" w:ascii="仿宋" w:hAnsi="仿宋" w:eastAsia="仿宋" w:cs="仿宋"/>
          <w:i w:val="0"/>
          <w:iCs w:val="0"/>
          <w:caps w:val="0"/>
          <w:color w:val="auto"/>
          <w:spacing w:val="0"/>
          <w:sz w:val="32"/>
          <w:szCs w:val="32"/>
          <w:shd w:val="clear" w:fill="FFFFFF"/>
          <w:lang w:val="en-US" w:eastAsia="zh-CN"/>
        </w:rPr>
        <w:t>及时发布我区出台的重大政策和相关政策解读，积极回应社会关切，得到了关注群众的广泛认可，</w:t>
      </w:r>
      <w:r>
        <w:rPr>
          <w:rFonts w:hint="default" w:ascii="Times New Roman" w:hAnsi="Times New Roman" w:eastAsia="仿宋" w:cs="Times New Roman"/>
          <w:i w:val="0"/>
          <w:iCs w:val="0"/>
          <w:caps w:val="0"/>
          <w:color w:val="auto"/>
          <w:spacing w:val="0"/>
          <w:sz w:val="32"/>
          <w:szCs w:val="32"/>
          <w:shd w:val="clear" w:fill="FFFFFF"/>
          <w:lang w:val="en-US" w:eastAsia="zh-CN"/>
        </w:rPr>
        <w:t>2021</w:t>
      </w:r>
      <w:r>
        <w:rPr>
          <w:rFonts w:hint="eastAsia" w:ascii="仿宋" w:hAnsi="仿宋" w:eastAsia="仿宋" w:cs="仿宋"/>
          <w:i w:val="0"/>
          <w:iCs w:val="0"/>
          <w:caps w:val="0"/>
          <w:color w:val="auto"/>
          <w:spacing w:val="0"/>
          <w:sz w:val="32"/>
          <w:szCs w:val="32"/>
          <w:shd w:val="clear" w:fill="FFFFFF"/>
          <w:lang w:val="en-US" w:eastAsia="zh-CN"/>
        </w:rPr>
        <w:t>年共发布信息千余条。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drawing>
          <wp:anchor distT="0" distB="0" distL="114300" distR="114300" simplePos="0" relativeHeight="251660288" behindDoc="1" locked="0" layoutInCell="1" allowOverlap="1">
            <wp:simplePos x="0" y="0"/>
            <wp:positionH relativeFrom="column">
              <wp:posOffset>739140</wp:posOffset>
            </wp:positionH>
            <wp:positionV relativeFrom="paragraph">
              <wp:posOffset>24765</wp:posOffset>
            </wp:positionV>
            <wp:extent cx="4474845" cy="4495165"/>
            <wp:effectExtent l="0" t="0" r="1905" b="635"/>
            <wp:wrapNone/>
            <wp:docPr id="6" name="图片 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4"/>
                    <pic:cNvPicPr>
                      <a:picLocks noChangeAspect="1"/>
                    </pic:cNvPicPr>
                  </pic:nvPicPr>
                  <pic:blipFill>
                    <a:blip r:embed="rId8"/>
                    <a:stretch>
                      <a:fillRect/>
                    </a:stretch>
                  </pic:blipFill>
                  <pic:spPr>
                    <a:xfrm>
                      <a:off x="0" y="0"/>
                      <a:ext cx="4474845" cy="4495165"/>
                    </a:xfrm>
                    <a:prstGeom prst="rect">
                      <a:avLst/>
                    </a:prstGeom>
                  </pic:spPr>
                </pic:pic>
              </a:graphicData>
            </a:graphic>
          </wp:anchor>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0" w:firstLineChars="200"/>
        <w:jc w:val="left"/>
        <w:textAlignment w:val="auto"/>
        <w:rPr>
          <w:rFonts w:hint="eastAsia" w:ascii="仿宋" w:hAnsi="仿宋" w:eastAsia="仿宋" w:cs="仿宋"/>
          <w:i w:val="0"/>
          <w:iCs w:val="0"/>
          <w:caps w:val="0"/>
          <w:color w:val="auto"/>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218" w:leftChars="104" w:firstLine="0" w:firstLineChars="0"/>
        <w:jc w:val="left"/>
        <w:textAlignment w:val="auto"/>
        <w:rPr>
          <w:rFonts w:hint="eastAsia" w:ascii="仿宋" w:hAnsi="仿宋" w:eastAsia="仿宋" w:cs="仿宋"/>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ind w:left="218" w:leftChars="104" w:firstLine="0" w:firstLineChars="0"/>
        <w:jc w:val="left"/>
        <w:textAlignment w:val="auto"/>
        <w:rPr>
          <w:rFonts w:hint="eastAsia" w:ascii="仿宋" w:hAnsi="仿宋" w:eastAsia="仿宋" w:cs="仿宋"/>
          <w:i w:val="0"/>
          <w:iCs w:val="0"/>
          <w:caps w:val="0"/>
          <w:color w:val="000000"/>
          <w:spacing w:val="0"/>
          <w:sz w:val="32"/>
          <w:szCs w:val="32"/>
          <w:shd w:val="clear" w:fill="FFFFFF"/>
          <w:lang w:val="en-US" w:eastAsia="zh-CN"/>
        </w:rPr>
      </w:pPr>
      <w:r>
        <w:rPr>
          <w:rFonts w:hint="eastAsia" w:ascii="仿宋" w:hAnsi="仿宋" w:eastAsia="仿宋" w:cs="仿宋"/>
          <w:i w:val="0"/>
          <w:iCs w:val="0"/>
          <w:caps w:val="0"/>
          <w:color w:val="000000"/>
          <w:spacing w:val="0"/>
          <w:sz w:val="32"/>
          <w:szCs w:val="32"/>
          <w:shd w:val="clear" w:fill="FFFFFF"/>
          <w:lang w:val="en-US" w:eastAsia="zh-CN"/>
        </w:rPr>
        <w:drawing>
          <wp:inline distT="0" distB="0" distL="114300" distR="114300">
            <wp:extent cx="4593590" cy="4161155"/>
            <wp:effectExtent l="0" t="0" r="16510" b="10795"/>
            <wp:docPr id="5" name="图片 5"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6"/>
                    <pic:cNvPicPr>
                      <a:picLocks noChangeAspect="1"/>
                    </pic:cNvPicPr>
                  </pic:nvPicPr>
                  <pic:blipFill>
                    <a:blip r:embed="rId9"/>
                    <a:stretch>
                      <a:fillRect/>
                    </a:stretch>
                  </pic:blipFill>
                  <pic:spPr>
                    <a:xfrm>
                      <a:off x="0" y="0"/>
                      <a:ext cx="4593590" cy="4161155"/>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i w:val="0"/>
          <w:iCs w:val="0"/>
          <w:caps w:val="0"/>
          <w:color w:val="000000"/>
          <w:spacing w:val="0"/>
          <w:sz w:val="32"/>
          <w:szCs w:val="32"/>
          <w:shd w:val="clear" w:fill="FFFFFF"/>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楷体_GB2312" w:hAnsi="楷体_GB2312" w:eastAsia="楷体_GB2312" w:cs="楷体_GB2312"/>
          <w:b/>
          <w:bCs/>
          <w:i w:val="0"/>
          <w:iCs w:val="0"/>
          <w:caps w:val="0"/>
          <w:color w:val="000000"/>
          <w:spacing w:val="0"/>
          <w:sz w:val="32"/>
          <w:szCs w:val="32"/>
          <w:shd w:val="clear" w:fill="FFFFFF"/>
          <w:lang w:val="en-US" w:eastAsia="zh-CN"/>
        </w:rPr>
      </w:pPr>
      <w:r>
        <w:rPr>
          <w:rFonts w:hint="eastAsia" w:ascii="楷体_GB2312" w:hAnsi="楷体_GB2312" w:eastAsia="楷体_GB2312" w:cs="楷体_GB2312"/>
          <w:b/>
          <w:bCs/>
          <w:i w:val="0"/>
          <w:iCs w:val="0"/>
          <w:caps w:val="0"/>
          <w:color w:val="000000"/>
          <w:spacing w:val="0"/>
          <w:sz w:val="32"/>
          <w:szCs w:val="32"/>
          <w:shd w:val="clear" w:fill="FFFFFF"/>
          <w:lang w:val="en-US" w:eastAsia="zh-CN"/>
        </w:rPr>
        <w:t>（五）监督保障情况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17" w:leftChars="8" w:firstLine="617" w:firstLineChars="193"/>
        <w:jc w:val="left"/>
        <w:textAlignment w:val="auto"/>
        <w:rPr>
          <w:rFonts w:hint="default" w:ascii="仿宋" w:hAnsi="仿宋" w:eastAsia="仿宋" w:cs="仿宋"/>
          <w:i w:val="0"/>
          <w:iCs w:val="0"/>
          <w:caps w:val="0"/>
          <w:color w:val="000000"/>
          <w:spacing w:val="0"/>
          <w:sz w:val="32"/>
          <w:szCs w:val="32"/>
          <w:shd w:val="clear" w:fill="FFFFFF"/>
          <w:lang w:val="en-US" w:eastAsia="zh-CN"/>
        </w:rPr>
      </w:pPr>
      <w:r>
        <w:rPr>
          <w:rFonts w:hint="eastAsia" w:ascii="仿宋" w:hAnsi="仿宋" w:eastAsia="仿宋" w:cs="仿宋"/>
          <w:i w:val="0"/>
          <w:iCs w:val="0"/>
          <w:caps w:val="0"/>
          <w:color w:val="auto"/>
          <w:spacing w:val="0"/>
          <w:sz w:val="32"/>
          <w:szCs w:val="32"/>
          <w:shd w:val="clear" w:fill="FFFFFF"/>
          <w:lang w:val="en-US" w:eastAsia="zh-CN"/>
        </w:rPr>
        <w:t>一是强化监督指导工作，经开区管委会办公室定期对本区政务信息公开的内容进行监督检查并及时督促整改；二是分解任务压实责任，</w:t>
      </w:r>
      <w:r>
        <w:rPr>
          <w:rFonts w:hint="eastAsia" w:ascii="仿宋_GB2312" w:hAnsi="仿宋_GB2312" w:eastAsia="仿宋_GB2312" w:cs="仿宋_GB2312"/>
          <w:color w:val="auto"/>
          <w:sz w:val="32"/>
          <w:szCs w:val="32"/>
          <w:lang w:val="en-US" w:eastAsia="zh-CN"/>
        </w:rPr>
        <w:t>明确政府信息公开工作负责人员；三是加强业务培训及相关交流</w:t>
      </w:r>
      <w:r>
        <w:rPr>
          <w:rFonts w:hint="eastAsia" w:ascii="仿宋_GB2312" w:hAnsi="仿宋_GB2312" w:eastAsia="仿宋_GB2312" w:cs="仿宋_GB2312"/>
          <w:sz w:val="32"/>
          <w:szCs w:val="32"/>
          <w:lang w:val="en-US"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default" w:ascii="仿宋" w:hAnsi="仿宋" w:eastAsia="仿宋" w:cs="仿宋"/>
          <w:i w:val="0"/>
          <w:iCs w:val="0"/>
          <w:caps w:val="0"/>
          <w:color w:val="000000"/>
          <w:spacing w:val="0"/>
          <w:sz w:val="32"/>
          <w:szCs w:val="32"/>
          <w:shd w:val="clear" w:fill="FFFFFF"/>
          <w:lang w:val="en-US" w:eastAsia="zh-CN"/>
        </w:rPr>
      </w:pPr>
      <w:r>
        <w:rPr>
          <w:rFonts w:hint="eastAsia" w:ascii="黑体" w:hAnsi="黑体" w:eastAsia="黑体" w:cs="黑体"/>
          <w:i w:val="0"/>
          <w:iCs w:val="0"/>
          <w:caps w:val="0"/>
          <w:color w:val="000000"/>
          <w:spacing w:val="0"/>
          <w:sz w:val="32"/>
          <w:szCs w:val="32"/>
          <w:shd w:val="clear" w:fill="FFFFFF"/>
          <w:lang w:val="en-US" w:eastAsia="zh-CN"/>
        </w:rPr>
        <w:t>二、主动公开政府信息情况</w:t>
      </w:r>
    </w:p>
    <w:tbl>
      <w:tblPr>
        <w:tblStyle w:val="4"/>
        <w:tblW w:w="9390"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autofit"/>
        <w:tblCellMar>
          <w:top w:w="0" w:type="dxa"/>
          <w:left w:w="108" w:type="dxa"/>
          <w:bottom w:w="0" w:type="dxa"/>
          <w:right w:w="108" w:type="dxa"/>
        </w:tblCellMar>
      </w:tblPr>
      <w:tblGrid>
        <w:gridCol w:w="2007"/>
        <w:gridCol w:w="2406"/>
        <w:gridCol w:w="2367"/>
        <w:gridCol w:w="261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87" w:hRule="atLeast"/>
        </w:trPr>
        <w:tc>
          <w:tcPr>
            <w:tcW w:w="9390" w:type="dxa"/>
            <w:gridSpan w:val="4"/>
            <w:shd w:val="clear" w:color="auto" w:fill="auto"/>
            <w:vAlign w:val="center"/>
          </w:tcPr>
          <w:p>
            <w:pPr>
              <w:numPr>
                <w:ilvl w:val="0"/>
                <w:numId w:val="0"/>
              </w:numPr>
              <w:jc w:val="center"/>
              <w:rPr>
                <w:rFonts w:hint="default" w:ascii="黑体" w:hAnsi="黑体" w:eastAsia="黑体" w:cs="黑体"/>
                <w:b w:val="0"/>
                <w:bCs w:val="0"/>
                <w:sz w:val="18"/>
                <w:szCs w:val="18"/>
                <w:vertAlign w:val="baseline"/>
                <w:lang w:val="en-US" w:eastAsia="zh-CN"/>
              </w:rPr>
            </w:pPr>
            <w:r>
              <w:rPr>
                <w:rFonts w:hint="eastAsia" w:ascii="黑体" w:hAnsi="黑体" w:eastAsia="黑体" w:cs="黑体"/>
                <w:b w:val="0"/>
                <w:bCs w:val="0"/>
                <w:sz w:val="24"/>
                <w:szCs w:val="24"/>
                <w:vertAlign w:val="baseline"/>
                <w:lang w:val="en-US" w:eastAsia="zh-CN"/>
              </w:rPr>
              <w:t>第二十条 第（一）项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2" w:hRule="atLeast"/>
        </w:trPr>
        <w:tc>
          <w:tcPr>
            <w:tcW w:w="2007" w:type="dxa"/>
            <w:shd w:val="clear" w:color="auto" w:fill="auto"/>
            <w:vAlign w:val="center"/>
          </w:tcPr>
          <w:p>
            <w:pPr>
              <w:numPr>
                <w:ilvl w:val="0"/>
                <w:numId w:val="0"/>
              </w:numPr>
              <w:jc w:val="center"/>
              <w:rPr>
                <w:rFonts w:hint="eastAsia"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eastAsiaTheme="minorEastAsia" w:cstheme="minorEastAsia"/>
                <w:b w:val="0"/>
                <w:bCs w:val="0"/>
                <w:sz w:val="18"/>
                <w:szCs w:val="18"/>
                <w:vertAlign w:val="baseline"/>
                <w:lang w:val="en-US" w:eastAsia="zh-CN"/>
              </w:rPr>
              <w:t>信息内容</w:t>
            </w:r>
          </w:p>
        </w:tc>
        <w:tc>
          <w:tcPr>
            <w:tcW w:w="2406" w:type="dxa"/>
            <w:shd w:val="clear" w:color="auto" w:fill="auto"/>
            <w:vAlign w:val="center"/>
          </w:tcPr>
          <w:p>
            <w:pPr>
              <w:numPr>
                <w:ilvl w:val="0"/>
                <w:numId w:val="0"/>
              </w:numPr>
              <w:jc w:val="center"/>
              <w:rPr>
                <w:rFonts w:hint="eastAsia"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eastAsiaTheme="minorEastAsia" w:cstheme="minorEastAsia"/>
                <w:b w:val="0"/>
                <w:bCs w:val="0"/>
                <w:sz w:val="18"/>
                <w:szCs w:val="18"/>
                <w:vertAlign w:val="baseline"/>
                <w:lang w:val="en-US" w:eastAsia="zh-CN"/>
              </w:rPr>
              <w:t>本年制发件数</w:t>
            </w:r>
          </w:p>
        </w:tc>
        <w:tc>
          <w:tcPr>
            <w:tcW w:w="2367" w:type="dxa"/>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本年废止件数</w:t>
            </w:r>
          </w:p>
        </w:tc>
        <w:tc>
          <w:tcPr>
            <w:tcW w:w="2610" w:type="dxa"/>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现行有效件数</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62" w:hRule="atLeast"/>
        </w:trPr>
        <w:tc>
          <w:tcPr>
            <w:tcW w:w="2007" w:type="dxa"/>
            <w:shd w:val="clear" w:color="auto" w:fill="auto"/>
            <w:vAlign w:val="center"/>
          </w:tcPr>
          <w:p>
            <w:pPr>
              <w:numPr>
                <w:ilvl w:val="0"/>
                <w:numId w:val="0"/>
              </w:numPr>
              <w:jc w:val="left"/>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规章</w:t>
            </w:r>
          </w:p>
        </w:tc>
        <w:tc>
          <w:tcPr>
            <w:tcW w:w="2406" w:type="dxa"/>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default" w:ascii="Times New Roman" w:hAnsi="Times New Roman" w:cs="Times New Roman"/>
                <w:b w:val="0"/>
                <w:bCs w:val="0"/>
                <w:sz w:val="21"/>
                <w:szCs w:val="21"/>
                <w:vertAlign w:val="baseline"/>
                <w:lang w:val="en-US" w:eastAsia="zh-CN"/>
              </w:rPr>
              <w:t>0</w:t>
            </w:r>
          </w:p>
        </w:tc>
        <w:tc>
          <w:tcPr>
            <w:tcW w:w="2367" w:type="dxa"/>
            <w:shd w:val="clear" w:color="auto" w:fill="auto"/>
            <w:vAlign w:val="center"/>
          </w:tcPr>
          <w:p>
            <w:pPr>
              <w:numPr>
                <w:ilvl w:val="0"/>
                <w:numId w:val="0"/>
              </w:numPr>
              <w:jc w:val="center"/>
              <w:rPr>
                <w:rFonts w:hint="default" w:asciiTheme="minorEastAsia" w:hAnsiTheme="minorEastAsia" w:cstheme="minorEastAsia"/>
                <w:b w:val="0"/>
                <w:bCs w:val="0"/>
                <w:sz w:val="18"/>
                <w:szCs w:val="18"/>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2610" w:type="dxa"/>
            <w:shd w:val="clear" w:color="auto" w:fill="auto"/>
            <w:vAlign w:val="center"/>
          </w:tcPr>
          <w:p>
            <w:pPr>
              <w:numPr>
                <w:ilvl w:val="0"/>
                <w:numId w:val="0"/>
              </w:numPr>
              <w:jc w:val="center"/>
              <w:rPr>
                <w:rFonts w:hint="default" w:asciiTheme="minorEastAsia" w:hAnsiTheme="minorEastAsia" w:cstheme="minorEastAsia"/>
                <w:b w:val="0"/>
                <w:bCs w:val="0"/>
                <w:sz w:val="18"/>
                <w:szCs w:val="18"/>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2" w:hRule="atLeast"/>
        </w:trPr>
        <w:tc>
          <w:tcPr>
            <w:tcW w:w="2007" w:type="dxa"/>
            <w:shd w:val="clear" w:color="auto" w:fill="auto"/>
            <w:vAlign w:val="center"/>
          </w:tcPr>
          <w:p>
            <w:pPr>
              <w:numPr>
                <w:ilvl w:val="0"/>
                <w:numId w:val="0"/>
              </w:numPr>
              <w:jc w:val="left"/>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行政规范性文件</w:t>
            </w:r>
          </w:p>
        </w:tc>
        <w:tc>
          <w:tcPr>
            <w:tcW w:w="2406" w:type="dxa"/>
            <w:shd w:val="clear" w:color="auto" w:fill="auto"/>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2367" w:type="dxa"/>
            <w:shd w:val="clear" w:color="auto" w:fill="auto"/>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2610" w:type="dxa"/>
            <w:shd w:val="clear" w:color="auto" w:fill="auto"/>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92" w:hRule="atLeast"/>
        </w:trPr>
        <w:tc>
          <w:tcPr>
            <w:tcW w:w="9390" w:type="dxa"/>
            <w:gridSpan w:val="4"/>
            <w:shd w:val="clear" w:color="auto" w:fill="auto"/>
            <w:vAlign w:val="center"/>
          </w:tcPr>
          <w:p>
            <w:pPr>
              <w:numPr>
                <w:ilvl w:val="0"/>
                <w:numId w:val="0"/>
              </w:numPr>
              <w:jc w:val="center"/>
              <w:rPr>
                <w:rFonts w:hint="eastAsia" w:asciiTheme="minorEastAsia" w:hAnsiTheme="minorEastAsia" w:cstheme="minorEastAsia"/>
                <w:b w:val="0"/>
                <w:bCs w:val="0"/>
                <w:sz w:val="18"/>
                <w:szCs w:val="18"/>
                <w:vertAlign w:val="baseline"/>
                <w:lang w:val="en-US" w:eastAsia="zh-CN"/>
              </w:rPr>
            </w:pPr>
            <w:r>
              <w:rPr>
                <w:rFonts w:hint="eastAsia" w:ascii="黑体" w:hAnsi="黑体" w:eastAsia="黑体" w:cs="黑体"/>
                <w:b w:val="0"/>
                <w:bCs w:val="0"/>
                <w:sz w:val="24"/>
                <w:szCs w:val="24"/>
                <w:vertAlign w:val="baseline"/>
                <w:lang w:val="en-US" w:eastAsia="zh-CN"/>
              </w:rPr>
              <w:t>第二十条 第（五）项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trPr>
        <w:tc>
          <w:tcPr>
            <w:tcW w:w="2007" w:type="dxa"/>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信息内容</w:t>
            </w:r>
          </w:p>
        </w:tc>
        <w:tc>
          <w:tcPr>
            <w:tcW w:w="7383" w:type="dxa"/>
            <w:gridSpan w:val="3"/>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07" w:hRule="atLeast"/>
        </w:trPr>
        <w:tc>
          <w:tcPr>
            <w:tcW w:w="2007" w:type="dxa"/>
            <w:shd w:val="clear" w:color="auto" w:fill="auto"/>
            <w:vAlign w:val="center"/>
          </w:tcPr>
          <w:p>
            <w:pPr>
              <w:numPr>
                <w:ilvl w:val="0"/>
                <w:numId w:val="0"/>
              </w:numPr>
              <w:jc w:val="left"/>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行政许可</w:t>
            </w:r>
          </w:p>
        </w:tc>
        <w:tc>
          <w:tcPr>
            <w:tcW w:w="7383" w:type="dxa"/>
            <w:gridSpan w:val="3"/>
            <w:shd w:val="clear" w:color="auto" w:fill="auto"/>
            <w:vAlign w:val="center"/>
          </w:tcPr>
          <w:p>
            <w:pPr>
              <w:numPr>
                <w:ilvl w:val="0"/>
                <w:numId w:val="0"/>
              </w:numPr>
              <w:jc w:val="center"/>
              <w:rPr>
                <w:rFonts w:hint="default" w:asciiTheme="minorEastAsia" w:hAnsiTheme="minorEastAsia" w:cstheme="minorEastAsia"/>
                <w:b w:val="0"/>
                <w:bCs w:val="0"/>
                <w:sz w:val="18"/>
                <w:szCs w:val="18"/>
                <w:vertAlign w:val="baseline"/>
                <w:lang w:val="en-US" w:eastAsia="zh-CN"/>
              </w:rPr>
            </w:pPr>
            <w:r>
              <w:rPr>
                <w:rFonts w:hint="eastAsia" w:ascii="Times New Roman" w:hAnsi="Times New Roman" w:cs="Times New Roman"/>
                <w:b w:val="0"/>
                <w:bCs w:val="0"/>
                <w:sz w:val="21"/>
                <w:szCs w:val="21"/>
                <w:vertAlign w:val="baseline"/>
                <w:lang w:val="en-US" w:eastAsia="zh-CN"/>
              </w:rPr>
              <w:t>10239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97" w:hRule="atLeast"/>
        </w:trPr>
        <w:tc>
          <w:tcPr>
            <w:tcW w:w="9390" w:type="dxa"/>
            <w:gridSpan w:val="4"/>
            <w:shd w:val="clear" w:color="auto" w:fill="auto"/>
            <w:vAlign w:val="center"/>
          </w:tcPr>
          <w:p>
            <w:pPr>
              <w:numPr>
                <w:ilvl w:val="0"/>
                <w:numId w:val="0"/>
              </w:numPr>
              <w:jc w:val="center"/>
              <w:rPr>
                <w:rFonts w:hint="eastAsia" w:asciiTheme="minorEastAsia" w:hAnsiTheme="minorEastAsia" w:cstheme="minorEastAsia"/>
                <w:b w:val="0"/>
                <w:bCs w:val="0"/>
                <w:sz w:val="18"/>
                <w:szCs w:val="18"/>
                <w:vertAlign w:val="baseline"/>
                <w:lang w:val="en-US" w:eastAsia="zh-CN"/>
              </w:rPr>
            </w:pPr>
            <w:r>
              <w:rPr>
                <w:rFonts w:hint="eastAsia" w:ascii="黑体" w:hAnsi="黑体" w:eastAsia="黑体" w:cs="黑体"/>
                <w:b w:val="0"/>
                <w:bCs w:val="0"/>
                <w:sz w:val="24"/>
                <w:szCs w:val="24"/>
                <w:vertAlign w:val="baseline"/>
                <w:lang w:val="en-US" w:eastAsia="zh-CN"/>
              </w:rPr>
              <w:t>第二十条 第（六）项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587" w:hRule="atLeast"/>
        </w:trPr>
        <w:tc>
          <w:tcPr>
            <w:tcW w:w="2007" w:type="dxa"/>
            <w:shd w:val="clear" w:color="auto" w:fill="auto"/>
            <w:vAlign w:val="center"/>
          </w:tcPr>
          <w:p>
            <w:pPr>
              <w:numPr>
                <w:ilvl w:val="0"/>
                <w:numId w:val="0"/>
              </w:numPr>
              <w:jc w:val="center"/>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信息内容</w:t>
            </w:r>
          </w:p>
        </w:tc>
        <w:tc>
          <w:tcPr>
            <w:tcW w:w="7383" w:type="dxa"/>
            <w:gridSpan w:val="3"/>
            <w:shd w:val="clear" w:color="auto" w:fill="auto"/>
            <w:vAlign w:val="center"/>
          </w:tcPr>
          <w:p>
            <w:pPr>
              <w:numPr>
                <w:ilvl w:val="0"/>
                <w:numId w:val="0"/>
              </w:numPr>
              <w:jc w:val="center"/>
              <w:rPr>
                <w:rFonts w:hint="eastAsia"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本年处理决定数量</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2" w:hRule="atLeast"/>
        </w:trPr>
        <w:tc>
          <w:tcPr>
            <w:tcW w:w="2007" w:type="dxa"/>
            <w:shd w:val="clear" w:color="auto" w:fill="auto"/>
            <w:vAlign w:val="center"/>
          </w:tcPr>
          <w:p>
            <w:pPr>
              <w:numPr>
                <w:ilvl w:val="0"/>
                <w:numId w:val="0"/>
              </w:numPr>
              <w:jc w:val="left"/>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行政处罚</w:t>
            </w:r>
          </w:p>
        </w:tc>
        <w:tc>
          <w:tcPr>
            <w:tcW w:w="7383" w:type="dxa"/>
            <w:gridSpan w:val="3"/>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imes New Roman" w:hAnsi="Times New Roman" w:cs="Times New Roman"/>
                <w:b w:val="0"/>
                <w:bCs w:val="0"/>
                <w:sz w:val="21"/>
                <w:szCs w:val="21"/>
                <w:vertAlign w:val="baseline"/>
                <w:lang w:val="en-US" w:eastAsia="zh-CN"/>
              </w:rPr>
              <w:t>1032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32" w:hRule="atLeast"/>
        </w:trPr>
        <w:tc>
          <w:tcPr>
            <w:tcW w:w="2007" w:type="dxa"/>
            <w:shd w:val="clear" w:color="auto" w:fill="auto"/>
            <w:vAlign w:val="center"/>
          </w:tcPr>
          <w:p>
            <w:pPr>
              <w:numPr>
                <w:ilvl w:val="0"/>
                <w:numId w:val="0"/>
              </w:numPr>
              <w:jc w:val="left"/>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行政强制</w:t>
            </w:r>
          </w:p>
        </w:tc>
        <w:tc>
          <w:tcPr>
            <w:tcW w:w="7383" w:type="dxa"/>
            <w:gridSpan w:val="3"/>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imes New Roman" w:hAnsi="Times New Roman" w:cs="Times New Roman"/>
                <w:b w:val="0"/>
                <w:bCs w:val="0"/>
                <w:sz w:val="21"/>
                <w:szCs w:val="21"/>
                <w:vertAlign w:val="baseline"/>
                <w:lang w:val="en-US" w:eastAsia="zh-CN"/>
              </w:rPr>
              <w:t>39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762" w:hRule="atLeast"/>
        </w:trPr>
        <w:tc>
          <w:tcPr>
            <w:tcW w:w="9390" w:type="dxa"/>
            <w:gridSpan w:val="4"/>
            <w:shd w:val="clear" w:color="auto" w:fill="auto"/>
            <w:vAlign w:val="center"/>
          </w:tcPr>
          <w:p>
            <w:pPr>
              <w:numPr>
                <w:ilvl w:val="0"/>
                <w:numId w:val="0"/>
              </w:numPr>
              <w:jc w:val="center"/>
              <w:rPr>
                <w:rFonts w:hint="eastAsia" w:asciiTheme="minorEastAsia" w:hAnsiTheme="minorEastAsia" w:eastAsiaTheme="minorEastAsia" w:cstheme="minorEastAsia"/>
                <w:b w:val="0"/>
                <w:bCs w:val="0"/>
                <w:sz w:val="18"/>
                <w:szCs w:val="18"/>
                <w:vertAlign w:val="baseline"/>
                <w:lang w:val="en-US" w:eastAsia="zh-CN"/>
              </w:rPr>
            </w:pPr>
            <w:r>
              <w:rPr>
                <w:rFonts w:hint="eastAsia" w:ascii="黑体" w:hAnsi="黑体" w:eastAsia="黑体" w:cs="黑体"/>
                <w:b w:val="0"/>
                <w:bCs w:val="0"/>
                <w:sz w:val="24"/>
                <w:szCs w:val="24"/>
                <w:vertAlign w:val="baseline"/>
                <w:lang w:val="en-US" w:eastAsia="zh-CN"/>
              </w:rPr>
              <w:t>第二十条 第（八）项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02" w:hRule="atLeast"/>
        </w:trPr>
        <w:tc>
          <w:tcPr>
            <w:tcW w:w="2007" w:type="dxa"/>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信息内容</w:t>
            </w:r>
          </w:p>
        </w:tc>
        <w:tc>
          <w:tcPr>
            <w:tcW w:w="7383" w:type="dxa"/>
            <w:gridSpan w:val="3"/>
            <w:shd w:val="clear" w:color="auto" w:fill="auto"/>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本年收费金额（单位：万元）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672" w:hRule="atLeast"/>
        </w:trPr>
        <w:tc>
          <w:tcPr>
            <w:tcW w:w="2007" w:type="dxa"/>
            <w:shd w:val="clear" w:color="auto" w:fill="auto"/>
            <w:vAlign w:val="center"/>
          </w:tcPr>
          <w:p>
            <w:pPr>
              <w:numPr>
                <w:ilvl w:val="0"/>
                <w:numId w:val="0"/>
              </w:numPr>
              <w:jc w:val="left"/>
              <w:rPr>
                <w:rFonts w:hint="default" w:asciiTheme="minorEastAsia" w:hAnsi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行政事业性收费</w:t>
            </w:r>
          </w:p>
        </w:tc>
        <w:tc>
          <w:tcPr>
            <w:tcW w:w="7383" w:type="dxa"/>
            <w:gridSpan w:val="3"/>
            <w:shd w:val="clear" w:color="auto" w:fill="auto"/>
            <w:vAlign w:val="center"/>
          </w:tcPr>
          <w:p>
            <w:pPr>
              <w:numPr>
                <w:ilvl w:val="0"/>
                <w:numId w:val="0"/>
              </w:numPr>
              <w:jc w:val="center"/>
              <w:rPr>
                <w:rFonts w:hint="default" w:asciiTheme="minorEastAsia" w:hAnsiTheme="minorEastAsia" w:cstheme="minorEastAsia"/>
                <w:b w:val="0"/>
                <w:bCs w:val="0"/>
                <w:sz w:val="18"/>
                <w:szCs w:val="18"/>
                <w:vertAlign w:val="baseline"/>
                <w:lang w:val="en-US" w:eastAsia="zh-CN"/>
              </w:rPr>
            </w:pPr>
            <w:r>
              <w:rPr>
                <w:rFonts w:hint="eastAsia" w:ascii="Times New Roman" w:hAnsi="Times New Roman" w:cs="Times New Roman"/>
                <w:b w:val="0"/>
                <w:bCs w:val="0"/>
                <w:sz w:val="21"/>
                <w:szCs w:val="21"/>
                <w:vertAlign w:val="baseline"/>
                <w:lang w:val="en-US" w:eastAsia="zh-CN"/>
              </w:rPr>
              <w:t>99.58153</w:t>
            </w:r>
          </w:p>
        </w:tc>
      </w:tr>
    </w:tbl>
    <w:p>
      <w:pPr>
        <w:numPr>
          <w:ilvl w:val="0"/>
          <w:numId w:val="0"/>
        </w:numPr>
        <w:ind w:leftChars="0"/>
        <w:jc w:val="left"/>
      </w:pPr>
      <w:r>
        <w:rPr>
          <w:rFonts w:hint="eastAsia" w:ascii="黑体" w:hAnsi="黑体" w:eastAsia="黑体" w:cs="黑体"/>
          <w:b w:val="0"/>
          <w:bCs w:val="0"/>
          <w:sz w:val="32"/>
          <w:szCs w:val="32"/>
          <w:lang w:val="en-US" w:eastAsia="zh-CN"/>
        </w:rPr>
        <w:t>三、收到和处理政府信息公开申请情况</w:t>
      </w:r>
    </w:p>
    <w:tbl>
      <w:tblPr>
        <w:tblStyle w:val="4"/>
        <w:tblW w:w="941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01"/>
        <w:gridCol w:w="1347"/>
        <w:gridCol w:w="2580"/>
        <w:gridCol w:w="825"/>
        <w:gridCol w:w="705"/>
        <w:gridCol w:w="680"/>
        <w:gridCol w:w="711"/>
        <w:gridCol w:w="644"/>
        <w:gridCol w:w="749"/>
        <w:gridCol w:w="77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45" w:hRule="atLeast"/>
          <w:jc w:val="center"/>
        </w:trPr>
        <w:tc>
          <w:tcPr>
            <w:tcW w:w="4328" w:type="dxa"/>
            <w:gridSpan w:val="3"/>
            <w:vMerge w:val="restart"/>
            <w:vAlign w:val="center"/>
          </w:tcPr>
          <w:p>
            <w:pPr>
              <w:numPr>
                <w:ilvl w:val="0"/>
                <w:numId w:val="0"/>
              </w:numPr>
              <w:ind w:leftChars="0"/>
              <w:jc w:val="center"/>
              <w:rPr>
                <w:rFonts w:hint="default" w:ascii="黑体" w:hAnsi="黑体" w:eastAsia="黑体" w:cs="黑体"/>
                <w:b w:val="0"/>
                <w:bCs w:val="0"/>
                <w:sz w:val="18"/>
                <w:szCs w:val="18"/>
                <w:vertAlign w:val="baseline"/>
                <w:lang w:val="en-US" w:eastAsia="zh-CN"/>
              </w:rPr>
            </w:pPr>
            <w:r>
              <w:rPr>
                <w:rFonts w:hint="eastAsia" w:asciiTheme="minorEastAsia" w:hAnsiTheme="minorEastAsia" w:eastAsiaTheme="minorEastAsia" w:cstheme="minorEastAsia"/>
                <w:b w:val="0"/>
                <w:bCs w:val="0"/>
                <w:sz w:val="18"/>
                <w:szCs w:val="18"/>
                <w:vertAlign w:val="baseline"/>
                <w:lang w:val="en-US" w:eastAsia="zh-CN"/>
              </w:rPr>
              <w:t>（</w:t>
            </w:r>
            <w:r>
              <w:rPr>
                <w:rFonts w:hint="eastAsia" w:ascii="楷体" w:hAnsi="楷体" w:eastAsia="楷体" w:cs="楷体"/>
                <w:b w:val="0"/>
                <w:bCs w:val="0"/>
                <w:sz w:val="21"/>
                <w:szCs w:val="21"/>
                <w:lang w:val="en-US" w:eastAsia="zh-CN"/>
              </w:rPr>
              <w:t>本列数据的勾稽关系为：第一项加第二项之和，等于第三项加第四项之和</w:t>
            </w:r>
            <w:r>
              <w:rPr>
                <w:rFonts w:hint="eastAsia" w:asciiTheme="minorEastAsia" w:hAnsiTheme="minorEastAsia" w:eastAsiaTheme="minorEastAsia" w:cstheme="minorEastAsia"/>
                <w:b w:val="0"/>
                <w:bCs w:val="0"/>
                <w:sz w:val="18"/>
                <w:szCs w:val="18"/>
                <w:vertAlign w:val="baseline"/>
                <w:lang w:val="en-US" w:eastAsia="zh-CN"/>
              </w:rPr>
              <w:t>）</w:t>
            </w:r>
          </w:p>
        </w:tc>
        <w:tc>
          <w:tcPr>
            <w:tcW w:w="5091" w:type="dxa"/>
            <w:gridSpan w:val="7"/>
            <w:vAlign w:val="center"/>
          </w:tcPr>
          <w:p>
            <w:pPr>
              <w:numPr>
                <w:ilvl w:val="0"/>
                <w:numId w:val="0"/>
              </w:numPr>
              <w:jc w:val="center"/>
              <w:rPr>
                <w:rFonts w:hint="eastAsia"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eastAsiaTheme="minorEastAsia" w:cstheme="minorEastAsia"/>
                <w:b w:val="0"/>
                <w:bCs w:val="0"/>
                <w:sz w:val="18"/>
                <w:szCs w:val="18"/>
                <w:vertAlign w:val="baseline"/>
                <w:lang w:val="en-US" w:eastAsia="zh-CN"/>
              </w:rPr>
              <w:t>申请人情况</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5" w:hRule="atLeast"/>
          <w:jc w:val="center"/>
        </w:trPr>
        <w:tc>
          <w:tcPr>
            <w:tcW w:w="4328" w:type="dxa"/>
            <w:gridSpan w:val="3"/>
            <w:vMerge w:val="continue"/>
            <w:vAlign w:val="center"/>
          </w:tcPr>
          <w:p>
            <w:pPr>
              <w:jc w:val="center"/>
              <w:rPr>
                <w:sz w:val="18"/>
                <w:szCs w:val="18"/>
              </w:rPr>
            </w:pPr>
          </w:p>
        </w:tc>
        <w:tc>
          <w:tcPr>
            <w:tcW w:w="825" w:type="dxa"/>
            <w:vMerge w:val="restart"/>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自然人</w:t>
            </w:r>
          </w:p>
        </w:tc>
        <w:tc>
          <w:tcPr>
            <w:tcW w:w="3489" w:type="dxa"/>
            <w:gridSpan w:val="5"/>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法人或其他组织</w:t>
            </w:r>
          </w:p>
        </w:tc>
        <w:tc>
          <w:tcPr>
            <w:tcW w:w="777" w:type="dxa"/>
            <w:vMerge w:val="restart"/>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总计</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10" w:hRule="atLeast"/>
          <w:jc w:val="center"/>
        </w:trPr>
        <w:tc>
          <w:tcPr>
            <w:tcW w:w="4328" w:type="dxa"/>
            <w:gridSpan w:val="3"/>
            <w:vMerge w:val="continue"/>
            <w:vAlign w:val="center"/>
          </w:tcPr>
          <w:p>
            <w:pPr>
              <w:jc w:val="center"/>
              <w:rPr>
                <w:sz w:val="18"/>
                <w:szCs w:val="18"/>
              </w:rPr>
            </w:pPr>
          </w:p>
        </w:tc>
        <w:tc>
          <w:tcPr>
            <w:tcW w:w="825" w:type="dxa"/>
            <w:vMerge w:val="continue"/>
            <w:vAlign w:val="center"/>
          </w:tcPr>
          <w:p>
            <w:pPr>
              <w:jc w:val="center"/>
              <w:rPr>
                <w:sz w:val="18"/>
                <w:szCs w:val="18"/>
              </w:rPr>
            </w:pPr>
          </w:p>
        </w:tc>
        <w:tc>
          <w:tcPr>
            <w:tcW w:w="705" w:type="dxa"/>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商业企业</w:t>
            </w:r>
          </w:p>
        </w:tc>
        <w:tc>
          <w:tcPr>
            <w:tcW w:w="680" w:type="dxa"/>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科研机构</w:t>
            </w:r>
          </w:p>
        </w:tc>
        <w:tc>
          <w:tcPr>
            <w:tcW w:w="711" w:type="dxa"/>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社会公益组织</w:t>
            </w:r>
          </w:p>
        </w:tc>
        <w:tc>
          <w:tcPr>
            <w:tcW w:w="644" w:type="dxa"/>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法律服务机构</w:t>
            </w:r>
          </w:p>
        </w:tc>
        <w:tc>
          <w:tcPr>
            <w:tcW w:w="749" w:type="dxa"/>
            <w:vAlign w:val="center"/>
          </w:tcPr>
          <w:p>
            <w:pPr>
              <w:numPr>
                <w:ilvl w:val="0"/>
                <w:numId w:val="0"/>
              </w:numPr>
              <w:jc w:val="center"/>
              <w:rPr>
                <w:rFonts w:hint="default" w:asciiTheme="minorEastAsia" w:hAnsiTheme="minorEastAsia" w:eastAsiaTheme="minorEastAsia" w:cstheme="minorEastAsia"/>
                <w:b w:val="0"/>
                <w:bCs w:val="0"/>
                <w:sz w:val="18"/>
                <w:szCs w:val="18"/>
                <w:vertAlign w:val="baseline"/>
                <w:lang w:val="en-US" w:eastAsia="zh-CN"/>
              </w:rPr>
            </w:pPr>
            <w:r>
              <w:rPr>
                <w:rFonts w:hint="eastAsia" w:asciiTheme="minorEastAsia" w:hAnsiTheme="minorEastAsia" w:cstheme="minorEastAsia"/>
                <w:b w:val="0"/>
                <w:bCs w:val="0"/>
                <w:sz w:val="18"/>
                <w:szCs w:val="18"/>
                <w:vertAlign w:val="baseline"/>
                <w:lang w:val="en-US" w:eastAsia="zh-CN"/>
              </w:rPr>
              <w:t>其他</w:t>
            </w:r>
          </w:p>
        </w:tc>
        <w:tc>
          <w:tcPr>
            <w:tcW w:w="777" w:type="dxa"/>
            <w:vMerge w:val="continue"/>
            <w:vAlign w:val="center"/>
          </w:tcPr>
          <w:p>
            <w:pPr>
              <w:jc w:val="center"/>
              <w:rPr>
                <w:rFonts w:hint="eastAsia" w:asciiTheme="minorEastAsia" w:hAnsiTheme="minorEastAsia" w:eastAsiaTheme="minorEastAsia" w:cstheme="minorEastAsia"/>
                <w:b w:val="0"/>
                <w:bCs w:val="0"/>
                <w:sz w:val="18"/>
                <w:szCs w:val="18"/>
                <w:vertAlign w:val="baseline"/>
                <w:lang w:val="en-US" w:eastAsia="zh-CN"/>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0" w:hRule="atLeast"/>
          <w:jc w:val="center"/>
        </w:trPr>
        <w:tc>
          <w:tcPr>
            <w:tcW w:w="4328" w:type="dxa"/>
            <w:gridSpan w:val="3"/>
            <w:vAlign w:val="top"/>
          </w:tcPr>
          <w:p>
            <w:pPr>
              <w:jc w:val="both"/>
              <w:rPr>
                <w:rFonts w:hint="default" w:eastAsiaTheme="minorEastAsia"/>
                <w:sz w:val="18"/>
                <w:szCs w:val="18"/>
                <w:lang w:val="en-US" w:eastAsia="zh-CN"/>
              </w:rPr>
            </w:pPr>
            <w:r>
              <w:rPr>
                <w:rFonts w:hint="eastAsia"/>
                <w:sz w:val="18"/>
                <w:szCs w:val="18"/>
                <w:lang w:val="en-US" w:eastAsia="zh-CN"/>
              </w:rPr>
              <w:t>一、本年新收政府信息公开申请数量</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32</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0" w:hRule="atLeast"/>
          <w:jc w:val="center"/>
        </w:trPr>
        <w:tc>
          <w:tcPr>
            <w:tcW w:w="4328" w:type="dxa"/>
            <w:gridSpan w:val="3"/>
            <w:vAlign w:val="top"/>
          </w:tcPr>
          <w:p>
            <w:pPr>
              <w:jc w:val="both"/>
              <w:rPr>
                <w:rFonts w:hint="default"/>
                <w:sz w:val="18"/>
                <w:szCs w:val="18"/>
                <w:lang w:val="en-US" w:eastAsia="zh-CN"/>
              </w:rPr>
            </w:pPr>
            <w:r>
              <w:rPr>
                <w:rFonts w:hint="eastAsia"/>
                <w:sz w:val="18"/>
                <w:szCs w:val="18"/>
                <w:lang w:val="en-US" w:eastAsia="zh-CN"/>
              </w:rPr>
              <w:t>二、上年结转政府信息公开申请数量</w:t>
            </w:r>
          </w:p>
        </w:tc>
        <w:tc>
          <w:tcPr>
            <w:tcW w:w="82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401" w:type="dxa"/>
            <w:vMerge w:val="restart"/>
            <w:vAlign w:val="center"/>
          </w:tcPr>
          <w:p>
            <w:pPr>
              <w:jc w:val="center"/>
              <w:rPr>
                <w:rFonts w:hint="default"/>
                <w:sz w:val="18"/>
                <w:szCs w:val="18"/>
                <w:lang w:val="en-US" w:eastAsia="zh-CN"/>
              </w:rPr>
            </w:pPr>
            <w:r>
              <w:rPr>
                <w:rFonts w:hint="eastAsia"/>
                <w:sz w:val="18"/>
                <w:szCs w:val="18"/>
                <w:lang w:val="en-US" w:eastAsia="zh-CN"/>
              </w:rPr>
              <w:t>三、本年度办理结果</w:t>
            </w:r>
          </w:p>
        </w:tc>
        <w:tc>
          <w:tcPr>
            <w:tcW w:w="3927" w:type="dxa"/>
            <w:gridSpan w:val="2"/>
            <w:vAlign w:val="top"/>
          </w:tcPr>
          <w:p>
            <w:pPr>
              <w:jc w:val="both"/>
              <w:rPr>
                <w:rFonts w:hint="default"/>
                <w:sz w:val="18"/>
                <w:szCs w:val="18"/>
                <w:lang w:val="en-US" w:eastAsia="zh-CN"/>
              </w:rPr>
            </w:pPr>
            <w:r>
              <w:rPr>
                <w:rFonts w:hint="eastAsia"/>
                <w:sz w:val="18"/>
                <w:szCs w:val="18"/>
                <w:lang w:val="en-US" w:eastAsia="zh-CN"/>
              </w:rPr>
              <w:t>（一）予以公开</w:t>
            </w:r>
          </w:p>
        </w:tc>
        <w:tc>
          <w:tcPr>
            <w:tcW w:w="82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9</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4" w:hRule="atLeast"/>
          <w:jc w:val="center"/>
        </w:trPr>
        <w:tc>
          <w:tcPr>
            <w:tcW w:w="401" w:type="dxa"/>
            <w:vMerge w:val="continue"/>
            <w:vAlign w:val="center"/>
          </w:tcPr>
          <w:p>
            <w:pPr>
              <w:jc w:val="center"/>
              <w:rPr>
                <w:sz w:val="18"/>
                <w:szCs w:val="18"/>
              </w:rPr>
            </w:pPr>
          </w:p>
        </w:tc>
        <w:tc>
          <w:tcPr>
            <w:tcW w:w="3927" w:type="dxa"/>
            <w:gridSpan w:val="2"/>
            <w:vAlign w:val="top"/>
          </w:tcPr>
          <w:p>
            <w:pPr>
              <w:jc w:val="both"/>
              <w:rPr>
                <w:rFonts w:hint="default"/>
                <w:sz w:val="18"/>
                <w:szCs w:val="18"/>
                <w:lang w:val="en-US" w:eastAsia="zh-CN"/>
              </w:rPr>
            </w:pPr>
            <w:r>
              <w:rPr>
                <w:rFonts w:hint="eastAsia"/>
                <w:sz w:val="18"/>
                <w:szCs w:val="18"/>
                <w:lang w:val="en-US" w:eastAsia="zh-CN"/>
              </w:rPr>
              <w:t>（二）部分公开（</w:t>
            </w:r>
            <w:r>
              <w:rPr>
                <w:rFonts w:hint="eastAsia" w:ascii="楷体" w:hAnsi="楷体" w:eastAsia="楷体" w:cs="楷体"/>
                <w:b/>
                <w:bCs/>
                <w:sz w:val="21"/>
                <w:szCs w:val="21"/>
                <w:lang w:val="en-US" w:eastAsia="zh-CN"/>
              </w:rPr>
              <w:t>区分处理的，只记这一情形，不计其他情形</w:t>
            </w:r>
            <w:r>
              <w:rPr>
                <w:rFonts w:hint="eastAsia"/>
                <w:sz w:val="18"/>
                <w:szCs w:val="18"/>
                <w:lang w:val="en-US" w:eastAsia="zh-CN"/>
              </w:rPr>
              <w:t>）</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6</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87" w:hRule="atLeast"/>
          <w:jc w:val="center"/>
        </w:trPr>
        <w:tc>
          <w:tcPr>
            <w:tcW w:w="401" w:type="dxa"/>
            <w:vMerge w:val="continue"/>
            <w:vAlign w:val="center"/>
          </w:tcPr>
          <w:p>
            <w:pPr>
              <w:jc w:val="center"/>
              <w:rPr>
                <w:rFonts w:hint="eastAsia"/>
                <w:sz w:val="18"/>
                <w:szCs w:val="18"/>
                <w:lang w:val="en-US" w:eastAsia="zh-CN"/>
              </w:rPr>
            </w:pPr>
          </w:p>
        </w:tc>
        <w:tc>
          <w:tcPr>
            <w:tcW w:w="1347" w:type="dxa"/>
            <w:vMerge w:val="restart"/>
            <w:vAlign w:val="center"/>
          </w:tcPr>
          <w:p>
            <w:pPr>
              <w:jc w:val="center"/>
              <w:rPr>
                <w:rFonts w:hint="default"/>
                <w:sz w:val="18"/>
                <w:szCs w:val="18"/>
                <w:lang w:val="en-US" w:eastAsia="zh-CN"/>
              </w:rPr>
            </w:pPr>
            <w:r>
              <w:rPr>
                <w:rFonts w:hint="eastAsia"/>
                <w:sz w:val="18"/>
                <w:szCs w:val="18"/>
                <w:lang w:val="en-US" w:eastAsia="zh-CN"/>
              </w:rPr>
              <w:t>（三）不予公开</w:t>
            </w:r>
          </w:p>
        </w:tc>
        <w:tc>
          <w:tcPr>
            <w:tcW w:w="2580" w:type="dxa"/>
            <w:vAlign w:val="center"/>
          </w:tcPr>
          <w:p>
            <w:pPr>
              <w:jc w:val="left"/>
              <w:rPr>
                <w:rFonts w:hint="default"/>
                <w:sz w:val="18"/>
                <w:szCs w:val="18"/>
                <w:lang w:val="en-US" w:eastAsia="zh-CN"/>
              </w:rPr>
            </w:pPr>
            <w:r>
              <w:rPr>
                <w:rFonts w:hint="eastAsia"/>
                <w:sz w:val="18"/>
                <w:szCs w:val="18"/>
                <w:lang w:val="en-US" w:eastAsia="zh-CN"/>
              </w:rPr>
              <w:t>1.属于国家机密</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dxa"/>
            <w:vMerge w:val="continue"/>
            <w:vAlign w:val="center"/>
          </w:tcPr>
          <w:p>
            <w:pPr>
              <w:jc w:val="center"/>
              <w:rPr>
                <w:sz w:val="18"/>
                <w:szCs w:val="18"/>
              </w:rPr>
            </w:pPr>
          </w:p>
        </w:tc>
        <w:tc>
          <w:tcPr>
            <w:tcW w:w="1347" w:type="dxa"/>
            <w:vMerge w:val="continue"/>
            <w:vAlign w:val="center"/>
          </w:tcPr>
          <w:p>
            <w:pPr>
              <w:jc w:val="center"/>
              <w:rPr>
                <w:sz w:val="18"/>
                <w:szCs w:val="18"/>
              </w:rPr>
            </w:pPr>
          </w:p>
        </w:tc>
        <w:tc>
          <w:tcPr>
            <w:tcW w:w="2580" w:type="dxa"/>
            <w:vAlign w:val="center"/>
          </w:tcPr>
          <w:p>
            <w:pPr>
              <w:jc w:val="left"/>
              <w:rPr>
                <w:rFonts w:hint="default"/>
                <w:sz w:val="18"/>
                <w:szCs w:val="18"/>
                <w:lang w:val="en-US" w:eastAsia="zh-CN"/>
              </w:rPr>
            </w:pPr>
            <w:r>
              <w:rPr>
                <w:rFonts w:hint="eastAsia"/>
                <w:sz w:val="18"/>
                <w:szCs w:val="18"/>
                <w:lang w:val="en-US" w:eastAsia="zh-CN"/>
              </w:rPr>
              <w:t>2.其他法律行政法规禁止公开</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dxa"/>
            <w:vMerge w:val="continue"/>
            <w:vAlign w:val="center"/>
          </w:tcPr>
          <w:p>
            <w:pPr>
              <w:jc w:val="center"/>
              <w:rPr>
                <w:rFonts w:hint="eastAsia"/>
                <w:sz w:val="18"/>
                <w:szCs w:val="18"/>
                <w:lang w:val="en-US" w:eastAsia="zh-CN"/>
              </w:rPr>
            </w:pPr>
          </w:p>
        </w:tc>
        <w:tc>
          <w:tcPr>
            <w:tcW w:w="1347" w:type="dxa"/>
            <w:vMerge w:val="continue"/>
            <w:vAlign w:val="center"/>
          </w:tcPr>
          <w:p>
            <w:pPr>
              <w:jc w:val="center"/>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3.危及“三安全一稳定”</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dxa"/>
            <w:vMerge w:val="continue"/>
            <w:vAlign w:val="center"/>
          </w:tcPr>
          <w:p>
            <w:pPr>
              <w:jc w:val="center"/>
              <w:rPr>
                <w:rFonts w:hint="eastAsia"/>
                <w:sz w:val="18"/>
                <w:szCs w:val="18"/>
                <w:lang w:val="en-US" w:eastAsia="zh-CN"/>
              </w:rPr>
            </w:pPr>
          </w:p>
        </w:tc>
        <w:tc>
          <w:tcPr>
            <w:tcW w:w="1347" w:type="dxa"/>
            <w:vMerge w:val="continue"/>
            <w:vAlign w:val="center"/>
          </w:tcPr>
          <w:p>
            <w:pPr>
              <w:jc w:val="center"/>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4.保护第三方合法权益</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4</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dxa"/>
            <w:vMerge w:val="continue"/>
            <w:vAlign w:val="center"/>
          </w:tcPr>
          <w:p>
            <w:pPr>
              <w:jc w:val="center"/>
              <w:rPr>
                <w:rFonts w:hint="eastAsia"/>
                <w:sz w:val="18"/>
                <w:szCs w:val="18"/>
                <w:lang w:val="en-US" w:eastAsia="zh-CN"/>
              </w:rPr>
            </w:pPr>
          </w:p>
        </w:tc>
        <w:tc>
          <w:tcPr>
            <w:tcW w:w="1347" w:type="dxa"/>
            <w:vMerge w:val="continue"/>
            <w:vAlign w:val="center"/>
          </w:tcPr>
          <w:p>
            <w:pPr>
              <w:jc w:val="center"/>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5.属于三类内部事务信息</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dxa"/>
            <w:vMerge w:val="continue"/>
            <w:vAlign w:val="center"/>
          </w:tcPr>
          <w:p>
            <w:pPr>
              <w:jc w:val="center"/>
              <w:rPr>
                <w:rFonts w:hint="eastAsia"/>
                <w:sz w:val="18"/>
                <w:szCs w:val="18"/>
                <w:lang w:val="en-US" w:eastAsia="zh-CN"/>
              </w:rPr>
            </w:pPr>
          </w:p>
        </w:tc>
        <w:tc>
          <w:tcPr>
            <w:tcW w:w="1347" w:type="dxa"/>
            <w:vMerge w:val="continue"/>
            <w:vAlign w:val="center"/>
          </w:tcPr>
          <w:p>
            <w:pPr>
              <w:jc w:val="center"/>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6.属于四类过程性信息</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7" w:hRule="atLeast"/>
          <w:jc w:val="center"/>
        </w:trPr>
        <w:tc>
          <w:tcPr>
            <w:tcW w:w="401" w:type="dxa"/>
            <w:vMerge w:val="continue"/>
            <w:vAlign w:val="center"/>
          </w:tcPr>
          <w:p>
            <w:pPr>
              <w:jc w:val="center"/>
              <w:rPr>
                <w:rFonts w:hint="eastAsia"/>
                <w:sz w:val="18"/>
                <w:szCs w:val="18"/>
                <w:lang w:val="en-US" w:eastAsia="zh-CN"/>
              </w:rPr>
            </w:pPr>
          </w:p>
        </w:tc>
        <w:tc>
          <w:tcPr>
            <w:tcW w:w="1347" w:type="dxa"/>
            <w:vMerge w:val="continue"/>
            <w:vAlign w:val="center"/>
          </w:tcPr>
          <w:p>
            <w:pPr>
              <w:jc w:val="center"/>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7.属于行政执法案卷</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2" w:hRule="atLeast"/>
          <w:jc w:val="center"/>
        </w:trPr>
        <w:tc>
          <w:tcPr>
            <w:tcW w:w="401" w:type="dxa"/>
            <w:vMerge w:val="continue"/>
            <w:vAlign w:val="center"/>
          </w:tcPr>
          <w:p>
            <w:pPr>
              <w:jc w:val="center"/>
              <w:rPr>
                <w:rFonts w:hint="eastAsia"/>
                <w:sz w:val="18"/>
                <w:szCs w:val="18"/>
                <w:lang w:val="en-US" w:eastAsia="zh-CN"/>
              </w:rPr>
            </w:pPr>
          </w:p>
        </w:tc>
        <w:tc>
          <w:tcPr>
            <w:tcW w:w="1347" w:type="dxa"/>
            <w:vMerge w:val="continue"/>
            <w:vAlign w:val="center"/>
          </w:tcPr>
          <w:p>
            <w:pPr>
              <w:jc w:val="center"/>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8.属于行政查询事项</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01" w:type="dxa"/>
            <w:vMerge w:val="continue"/>
            <w:vAlign w:val="center"/>
          </w:tcPr>
          <w:p>
            <w:pPr>
              <w:jc w:val="center"/>
              <w:rPr>
                <w:rFonts w:hint="eastAsia"/>
                <w:sz w:val="18"/>
                <w:szCs w:val="18"/>
                <w:lang w:val="en-US" w:eastAsia="zh-CN"/>
              </w:rPr>
            </w:pPr>
          </w:p>
        </w:tc>
        <w:tc>
          <w:tcPr>
            <w:tcW w:w="1347" w:type="dxa"/>
            <w:vMerge w:val="restart"/>
            <w:vAlign w:val="center"/>
          </w:tcPr>
          <w:p>
            <w:pPr>
              <w:jc w:val="center"/>
              <w:rPr>
                <w:rFonts w:hint="default"/>
                <w:sz w:val="18"/>
                <w:szCs w:val="18"/>
                <w:lang w:val="en-US" w:eastAsia="zh-CN"/>
              </w:rPr>
            </w:pPr>
            <w:r>
              <w:rPr>
                <w:rFonts w:hint="eastAsia"/>
                <w:sz w:val="18"/>
                <w:szCs w:val="18"/>
                <w:lang w:val="en-US" w:eastAsia="zh-CN"/>
              </w:rPr>
              <w:t>（四）无法提供</w:t>
            </w:r>
          </w:p>
        </w:tc>
        <w:tc>
          <w:tcPr>
            <w:tcW w:w="2580" w:type="dxa"/>
            <w:vAlign w:val="center"/>
          </w:tcPr>
          <w:p>
            <w:pPr>
              <w:jc w:val="left"/>
              <w:rPr>
                <w:rFonts w:hint="default"/>
                <w:sz w:val="18"/>
                <w:szCs w:val="18"/>
                <w:lang w:val="en-US" w:eastAsia="zh-CN"/>
              </w:rPr>
            </w:pPr>
            <w:r>
              <w:rPr>
                <w:rFonts w:hint="eastAsia"/>
                <w:sz w:val="18"/>
                <w:szCs w:val="18"/>
                <w:lang w:val="en-US" w:eastAsia="zh-CN"/>
              </w:rPr>
              <w:t>1.本机关不掌握相关政府信息</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8</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01" w:type="dxa"/>
            <w:vMerge w:val="continue"/>
            <w:vAlign w:val="center"/>
          </w:tcPr>
          <w:p>
            <w:pPr>
              <w:jc w:val="left"/>
            </w:pPr>
          </w:p>
        </w:tc>
        <w:tc>
          <w:tcPr>
            <w:tcW w:w="1347" w:type="dxa"/>
            <w:vMerge w:val="continue"/>
            <w:vAlign w:val="center"/>
          </w:tcPr>
          <w:p>
            <w:pPr>
              <w:jc w:val="left"/>
            </w:pPr>
          </w:p>
        </w:tc>
        <w:tc>
          <w:tcPr>
            <w:tcW w:w="2580" w:type="dxa"/>
            <w:vAlign w:val="center"/>
          </w:tcPr>
          <w:p>
            <w:pPr>
              <w:jc w:val="left"/>
              <w:rPr>
                <w:rFonts w:hint="default"/>
                <w:sz w:val="18"/>
                <w:szCs w:val="18"/>
                <w:lang w:val="en-US" w:eastAsia="zh-CN"/>
              </w:rPr>
            </w:pPr>
            <w:r>
              <w:rPr>
                <w:rFonts w:hint="eastAsia"/>
                <w:sz w:val="18"/>
                <w:szCs w:val="18"/>
                <w:lang w:val="en-US" w:eastAsia="zh-CN"/>
              </w:rPr>
              <w:t>2.没有现成信息需要另行制作</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01" w:type="dxa"/>
            <w:vMerge w:val="continue"/>
            <w:vAlign w:val="center"/>
          </w:tcPr>
          <w:p>
            <w:pPr>
              <w:jc w:val="left"/>
              <w:rPr>
                <w:rFonts w:hint="eastAsia"/>
                <w:sz w:val="18"/>
                <w:szCs w:val="18"/>
                <w:lang w:val="en-US" w:eastAsia="zh-CN"/>
              </w:rPr>
            </w:pPr>
          </w:p>
        </w:tc>
        <w:tc>
          <w:tcPr>
            <w:tcW w:w="1347" w:type="dxa"/>
            <w:vMerge w:val="continue"/>
            <w:vAlign w:val="center"/>
          </w:tcPr>
          <w:p>
            <w:pPr>
              <w:jc w:val="left"/>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3.补正后申请内容仍不明确</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1</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01" w:type="dxa"/>
            <w:vMerge w:val="continue"/>
            <w:vAlign w:val="center"/>
          </w:tcPr>
          <w:p>
            <w:pPr>
              <w:jc w:val="center"/>
              <w:rPr>
                <w:rFonts w:hint="eastAsia"/>
                <w:sz w:val="18"/>
                <w:szCs w:val="18"/>
                <w:lang w:val="en-US" w:eastAsia="zh-CN"/>
              </w:rPr>
            </w:pPr>
          </w:p>
        </w:tc>
        <w:tc>
          <w:tcPr>
            <w:tcW w:w="1347" w:type="dxa"/>
            <w:vMerge w:val="restart"/>
            <w:vAlign w:val="center"/>
          </w:tcPr>
          <w:p>
            <w:pPr>
              <w:jc w:val="center"/>
              <w:rPr>
                <w:rFonts w:hint="default"/>
                <w:sz w:val="18"/>
                <w:szCs w:val="18"/>
                <w:lang w:val="en-US" w:eastAsia="zh-CN"/>
              </w:rPr>
            </w:pPr>
            <w:r>
              <w:rPr>
                <w:rFonts w:hint="eastAsia"/>
                <w:sz w:val="18"/>
                <w:szCs w:val="18"/>
                <w:lang w:val="en-US" w:eastAsia="zh-CN"/>
              </w:rPr>
              <w:t>（五）不予处理</w:t>
            </w:r>
          </w:p>
        </w:tc>
        <w:tc>
          <w:tcPr>
            <w:tcW w:w="2580" w:type="dxa"/>
            <w:vAlign w:val="center"/>
          </w:tcPr>
          <w:p>
            <w:pPr>
              <w:jc w:val="left"/>
              <w:rPr>
                <w:rFonts w:hint="default"/>
                <w:sz w:val="18"/>
                <w:szCs w:val="18"/>
                <w:lang w:val="en-US" w:eastAsia="zh-CN"/>
              </w:rPr>
            </w:pPr>
            <w:r>
              <w:rPr>
                <w:rFonts w:hint="eastAsia"/>
                <w:sz w:val="18"/>
                <w:szCs w:val="18"/>
                <w:lang w:val="en-US" w:eastAsia="zh-CN"/>
              </w:rPr>
              <w:t>1.信访举报投诉类申请</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01" w:type="dxa"/>
            <w:vMerge w:val="continue"/>
            <w:vAlign w:val="center"/>
          </w:tcPr>
          <w:p>
            <w:pPr>
              <w:jc w:val="left"/>
            </w:pPr>
          </w:p>
        </w:tc>
        <w:tc>
          <w:tcPr>
            <w:tcW w:w="1347" w:type="dxa"/>
            <w:vMerge w:val="continue"/>
            <w:vAlign w:val="center"/>
          </w:tcPr>
          <w:p>
            <w:pPr>
              <w:jc w:val="left"/>
            </w:pPr>
          </w:p>
        </w:tc>
        <w:tc>
          <w:tcPr>
            <w:tcW w:w="2580" w:type="dxa"/>
            <w:vAlign w:val="center"/>
          </w:tcPr>
          <w:p>
            <w:pPr>
              <w:jc w:val="left"/>
              <w:rPr>
                <w:rFonts w:hint="default"/>
                <w:sz w:val="18"/>
                <w:szCs w:val="18"/>
                <w:lang w:val="en-US" w:eastAsia="zh-CN"/>
              </w:rPr>
            </w:pPr>
            <w:r>
              <w:rPr>
                <w:rFonts w:hint="eastAsia"/>
                <w:sz w:val="18"/>
                <w:szCs w:val="18"/>
                <w:lang w:val="en-US" w:eastAsia="zh-CN"/>
              </w:rPr>
              <w:t>2.重复申请</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01" w:type="dxa"/>
            <w:vMerge w:val="continue"/>
            <w:vAlign w:val="center"/>
          </w:tcPr>
          <w:p>
            <w:pPr>
              <w:jc w:val="left"/>
              <w:rPr>
                <w:rFonts w:hint="eastAsia"/>
                <w:sz w:val="18"/>
                <w:szCs w:val="18"/>
                <w:lang w:val="en-US" w:eastAsia="zh-CN"/>
              </w:rPr>
            </w:pPr>
          </w:p>
        </w:tc>
        <w:tc>
          <w:tcPr>
            <w:tcW w:w="1347" w:type="dxa"/>
            <w:vMerge w:val="continue"/>
            <w:vAlign w:val="center"/>
          </w:tcPr>
          <w:p>
            <w:pPr>
              <w:jc w:val="left"/>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3.要求提供公开出版物</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01" w:type="dxa"/>
            <w:vMerge w:val="continue"/>
            <w:vAlign w:val="center"/>
          </w:tcPr>
          <w:p>
            <w:pPr>
              <w:jc w:val="left"/>
              <w:rPr>
                <w:rFonts w:hint="eastAsia"/>
                <w:sz w:val="18"/>
                <w:szCs w:val="18"/>
                <w:lang w:val="en-US" w:eastAsia="zh-CN"/>
              </w:rPr>
            </w:pPr>
          </w:p>
        </w:tc>
        <w:tc>
          <w:tcPr>
            <w:tcW w:w="1347" w:type="dxa"/>
            <w:vMerge w:val="continue"/>
            <w:vAlign w:val="center"/>
          </w:tcPr>
          <w:p>
            <w:pPr>
              <w:jc w:val="left"/>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4.无正当理由大量反复申请</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85" w:hRule="atLeast"/>
          <w:jc w:val="center"/>
        </w:trPr>
        <w:tc>
          <w:tcPr>
            <w:tcW w:w="401" w:type="dxa"/>
            <w:vMerge w:val="continue"/>
            <w:vAlign w:val="center"/>
          </w:tcPr>
          <w:p>
            <w:pPr>
              <w:jc w:val="left"/>
              <w:rPr>
                <w:rFonts w:hint="eastAsia"/>
                <w:sz w:val="18"/>
                <w:szCs w:val="18"/>
                <w:lang w:val="en-US" w:eastAsia="zh-CN"/>
              </w:rPr>
            </w:pPr>
          </w:p>
        </w:tc>
        <w:tc>
          <w:tcPr>
            <w:tcW w:w="1347" w:type="dxa"/>
            <w:vMerge w:val="continue"/>
            <w:vAlign w:val="center"/>
          </w:tcPr>
          <w:p>
            <w:pPr>
              <w:jc w:val="left"/>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5.要求行政机关确认或重新出具已获取信息</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eastAsia"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01" w:type="dxa"/>
            <w:vMerge w:val="continue"/>
            <w:vAlign w:val="center"/>
          </w:tcPr>
          <w:p>
            <w:pPr>
              <w:jc w:val="center"/>
              <w:rPr>
                <w:rFonts w:hint="eastAsia"/>
                <w:sz w:val="18"/>
                <w:szCs w:val="18"/>
                <w:lang w:val="en-US" w:eastAsia="zh-CN"/>
              </w:rPr>
            </w:pPr>
          </w:p>
        </w:tc>
        <w:tc>
          <w:tcPr>
            <w:tcW w:w="1347" w:type="dxa"/>
            <w:vMerge w:val="restart"/>
            <w:vAlign w:val="center"/>
          </w:tcPr>
          <w:p>
            <w:pPr>
              <w:jc w:val="center"/>
              <w:rPr>
                <w:rFonts w:hint="default"/>
                <w:sz w:val="18"/>
                <w:szCs w:val="18"/>
                <w:lang w:val="en-US" w:eastAsia="zh-CN"/>
              </w:rPr>
            </w:pPr>
            <w:r>
              <w:rPr>
                <w:rFonts w:hint="eastAsia"/>
                <w:sz w:val="18"/>
                <w:szCs w:val="18"/>
                <w:lang w:val="en-US" w:eastAsia="zh-CN"/>
              </w:rPr>
              <w:t>（六）其他处理</w:t>
            </w:r>
          </w:p>
        </w:tc>
        <w:tc>
          <w:tcPr>
            <w:tcW w:w="2580" w:type="dxa"/>
            <w:vAlign w:val="center"/>
          </w:tcPr>
          <w:p>
            <w:pPr>
              <w:jc w:val="left"/>
              <w:rPr>
                <w:rFonts w:hint="default"/>
                <w:sz w:val="18"/>
                <w:szCs w:val="18"/>
                <w:lang w:val="en-US" w:eastAsia="zh-CN"/>
              </w:rPr>
            </w:pPr>
            <w:r>
              <w:rPr>
                <w:rFonts w:hint="eastAsia"/>
                <w:sz w:val="18"/>
                <w:szCs w:val="18"/>
                <w:lang w:val="en-US" w:eastAsia="zh-CN"/>
              </w:rPr>
              <w:t>1.申请人无正当理由逾期不补正、行政机关不再处理其政府信息公开申请</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8" w:hRule="atLeast"/>
          <w:jc w:val="center"/>
        </w:trPr>
        <w:tc>
          <w:tcPr>
            <w:tcW w:w="401" w:type="dxa"/>
            <w:vMerge w:val="continue"/>
            <w:vAlign w:val="center"/>
          </w:tcPr>
          <w:p>
            <w:pPr>
              <w:jc w:val="left"/>
            </w:pPr>
          </w:p>
        </w:tc>
        <w:tc>
          <w:tcPr>
            <w:tcW w:w="1347" w:type="dxa"/>
            <w:vMerge w:val="continue"/>
            <w:vAlign w:val="center"/>
          </w:tcPr>
          <w:p>
            <w:pPr>
              <w:jc w:val="left"/>
            </w:pPr>
          </w:p>
        </w:tc>
        <w:tc>
          <w:tcPr>
            <w:tcW w:w="2580" w:type="dxa"/>
            <w:vAlign w:val="center"/>
          </w:tcPr>
          <w:p>
            <w:pPr>
              <w:jc w:val="left"/>
              <w:rPr>
                <w:rFonts w:hint="default"/>
                <w:sz w:val="18"/>
                <w:szCs w:val="18"/>
                <w:lang w:val="en-US" w:eastAsia="zh-CN"/>
              </w:rPr>
            </w:pPr>
            <w:r>
              <w:rPr>
                <w:rFonts w:hint="eastAsia"/>
                <w:sz w:val="18"/>
                <w:szCs w:val="18"/>
                <w:lang w:val="en-US" w:eastAsia="zh-CN"/>
              </w:rPr>
              <w:t>2.申请人逾期未按收费通知要求缴纳费用、行政机关不再处理其他政府公开申请</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401" w:type="dxa"/>
            <w:vMerge w:val="continue"/>
            <w:vAlign w:val="center"/>
          </w:tcPr>
          <w:p>
            <w:pPr>
              <w:jc w:val="left"/>
              <w:rPr>
                <w:rFonts w:hint="eastAsia"/>
                <w:sz w:val="18"/>
                <w:szCs w:val="18"/>
                <w:lang w:val="en-US" w:eastAsia="zh-CN"/>
              </w:rPr>
            </w:pPr>
          </w:p>
        </w:tc>
        <w:tc>
          <w:tcPr>
            <w:tcW w:w="1347" w:type="dxa"/>
            <w:vMerge w:val="continue"/>
            <w:vAlign w:val="center"/>
          </w:tcPr>
          <w:p>
            <w:pPr>
              <w:jc w:val="left"/>
              <w:rPr>
                <w:rFonts w:hint="eastAsia"/>
                <w:sz w:val="18"/>
                <w:szCs w:val="18"/>
                <w:lang w:val="en-US" w:eastAsia="zh-CN"/>
              </w:rPr>
            </w:pPr>
          </w:p>
        </w:tc>
        <w:tc>
          <w:tcPr>
            <w:tcW w:w="2580" w:type="dxa"/>
            <w:vAlign w:val="center"/>
          </w:tcPr>
          <w:p>
            <w:pPr>
              <w:jc w:val="left"/>
              <w:rPr>
                <w:rFonts w:hint="default"/>
                <w:sz w:val="18"/>
                <w:szCs w:val="18"/>
                <w:lang w:val="en-US" w:eastAsia="zh-CN"/>
              </w:rPr>
            </w:pPr>
            <w:r>
              <w:rPr>
                <w:rFonts w:hint="eastAsia"/>
                <w:sz w:val="18"/>
                <w:szCs w:val="18"/>
                <w:lang w:val="en-US" w:eastAsia="zh-CN"/>
              </w:rPr>
              <w:t>3.其他</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7" w:hRule="atLeast"/>
          <w:jc w:val="center"/>
        </w:trPr>
        <w:tc>
          <w:tcPr>
            <w:tcW w:w="401" w:type="dxa"/>
            <w:vMerge w:val="continue"/>
            <w:vAlign w:val="center"/>
          </w:tcPr>
          <w:p>
            <w:pPr>
              <w:jc w:val="center"/>
              <w:rPr>
                <w:rFonts w:hint="eastAsia"/>
                <w:sz w:val="18"/>
                <w:szCs w:val="18"/>
                <w:lang w:val="en-US" w:eastAsia="zh-CN"/>
              </w:rPr>
            </w:pPr>
          </w:p>
        </w:tc>
        <w:tc>
          <w:tcPr>
            <w:tcW w:w="3927" w:type="dxa"/>
            <w:gridSpan w:val="2"/>
            <w:vAlign w:val="center"/>
          </w:tcPr>
          <w:p>
            <w:pPr>
              <w:jc w:val="left"/>
              <w:rPr>
                <w:rFonts w:hint="default"/>
                <w:sz w:val="18"/>
                <w:szCs w:val="18"/>
                <w:lang w:val="en-US" w:eastAsia="zh-CN"/>
              </w:rPr>
            </w:pPr>
            <w:r>
              <w:rPr>
                <w:rFonts w:hint="eastAsia"/>
                <w:sz w:val="18"/>
                <w:szCs w:val="18"/>
                <w:lang w:val="en-US" w:eastAsia="zh-CN"/>
              </w:rPr>
              <w:t>（七）总计</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32</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32</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82" w:hRule="atLeast"/>
          <w:jc w:val="center"/>
        </w:trPr>
        <w:tc>
          <w:tcPr>
            <w:tcW w:w="4328" w:type="dxa"/>
            <w:gridSpan w:val="3"/>
            <w:vAlign w:val="center"/>
          </w:tcPr>
          <w:p>
            <w:pPr>
              <w:jc w:val="left"/>
              <w:rPr>
                <w:rFonts w:hint="default"/>
                <w:sz w:val="18"/>
                <w:szCs w:val="18"/>
                <w:lang w:val="en-US" w:eastAsia="zh-CN"/>
              </w:rPr>
            </w:pPr>
            <w:r>
              <w:rPr>
                <w:rFonts w:hint="eastAsia"/>
                <w:sz w:val="18"/>
                <w:szCs w:val="18"/>
                <w:lang w:val="en-US" w:eastAsia="zh-CN"/>
              </w:rPr>
              <w:t>四、结转下年度继续办理</w:t>
            </w:r>
          </w:p>
        </w:tc>
        <w:tc>
          <w:tcPr>
            <w:tcW w:w="82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05"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80"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11"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644"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49"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c>
          <w:tcPr>
            <w:tcW w:w="777" w:type="dxa"/>
            <w:vAlign w:val="center"/>
          </w:tcPr>
          <w:p>
            <w:pPr>
              <w:numPr>
                <w:ilvl w:val="0"/>
                <w:numId w:val="0"/>
              </w:numPr>
              <w:jc w:val="center"/>
              <w:rPr>
                <w:rFonts w:hint="default" w:ascii="Times New Roman" w:hAnsi="Times New Roman" w:cs="Times New Roman"/>
                <w:b w:val="0"/>
                <w:bCs w:val="0"/>
                <w:sz w:val="21"/>
                <w:szCs w:val="21"/>
                <w:vertAlign w:val="baseline"/>
                <w:lang w:val="en-US" w:eastAsia="zh-CN"/>
              </w:rPr>
            </w:pPr>
            <w:r>
              <w:rPr>
                <w:rFonts w:hint="eastAsia" w:ascii="Times New Roman" w:hAnsi="Times New Roman" w:cs="Times New Roman"/>
                <w:b w:val="0"/>
                <w:bCs w:val="0"/>
                <w:sz w:val="21"/>
                <w:szCs w:val="21"/>
                <w:vertAlign w:val="baseline"/>
                <w:lang w:val="en-US" w:eastAsia="zh-CN"/>
              </w:rPr>
              <w:t>0</w:t>
            </w:r>
          </w:p>
        </w:tc>
      </w:tr>
    </w:tbl>
    <w:p>
      <w:pPr>
        <w:keepNext w:val="0"/>
        <w:keepLines w:val="0"/>
        <w:pageBreakBefore w:val="0"/>
        <w:widowControl w:val="0"/>
        <w:numPr>
          <w:ilvl w:val="0"/>
          <w:numId w:val="2"/>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政府信息公开行政复议、行政诉讼情况</w:t>
      </w:r>
    </w:p>
    <w:tbl>
      <w:tblPr>
        <w:tblStyle w:val="3"/>
        <w:tblW w:w="9265" w:type="dxa"/>
        <w:jc w:val="center"/>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Layout w:type="autofit"/>
        <w:tblCellMar>
          <w:top w:w="0" w:type="dxa"/>
          <w:left w:w="0" w:type="dxa"/>
          <w:bottom w:w="0" w:type="dxa"/>
          <w:right w:w="0" w:type="dxa"/>
        </w:tblCellMar>
      </w:tblPr>
      <w:tblGrid>
        <w:gridCol w:w="1326"/>
        <w:gridCol w:w="568"/>
        <w:gridCol w:w="567"/>
        <w:gridCol w:w="567"/>
        <w:gridCol w:w="567"/>
        <w:gridCol w:w="567"/>
        <w:gridCol w:w="567"/>
        <w:gridCol w:w="567"/>
        <w:gridCol w:w="567"/>
        <w:gridCol w:w="567"/>
        <w:gridCol w:w="567"/>
        <w:gridCol w:w="567"/>
        <w:gridCol w:w="567"/>
        <w:gridCol w:w="567"/>
        <w:gridCol w:w="567"/>
      </w:tblGrid>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tblCellMar>
            <w:top w:w="0" w:type="dxa"/>
            <w:left w:w="0" w:type="dxa"/>
            <w:bottom w:w="0" w:type="dxa"/>
            <w:right w:w="0" w:type="dxa"/>
          </w:tblCellMar>
        </w:tblPrEx>
        <w:trPr>
          <w:trHeight w:val="567" w:hRule="atLeast"/>
          <w:jc w:val="center"/>
        </w:trPr>
        <w:tc>
          <w:tcPr>
            <w:tcW w:w="3595" w:type="dxa"/>
            <w:gridSpan w:val="5"/>
            <w:tcBorders>
              <w:top w:val="single" w:color="auto" w:sz="8" w:space="0"/>
              <w:left w:val="single" w:color="auto" w:sz="8" w:space="0"/>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行政复议</w:t>
            </w:r>
          </w:p>
        </w:tc>
        <w:tc>
          <w:tcPr>
            <w:tcW w:w="5670" w:type="dxa"/>
            <w:gridSpan w:val="10"/>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行政诉讼</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7" w:hRule="atLeast"/>
          <w:jc w:val="center"/>
        </w:trPr>
        <w:tc>
          <w:tcPr>
            <w:tcW w:w="1326" w:type="dxa"/>
            <w:vMerge w:val="restart"/>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结果维持</w:t>
            </w:r>
          </w:p>
        </w:tc>
        <w:tc>
          <w:tcPr>
            <w:tcW w:w="568" w:type="dxa"/>
            <w:vMerge w:val="restart"/>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结果纠正</w:t>
            </w:r>
          </w:p>
        </w:tc>
        <w:tc>
          <w:tcPr>
            <w:tcW w:w="56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其他结果</w:t>
            </w:r>
          </w:p>
        </w:tc>
        <w:tc>
          <w:tcPr>
            <w:tcW w:w="56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尚未审结</w:t>
            </w:r>
          </w:p>
        </w:tc>
        <w:tc>
          <w:tcPr>
            <w:tcW w:w="567" w:type="dxa"/>
            <w:vMerge w:val="restart"/>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总计</w:t>
            </w:r>
          </w:p>
        </w:tc>
        <w:tc>
          <w:tcPr>
            <w:tcW w:w="2835"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未经复议直接起诉</w:t>
            </w:r>
          </w:p>
        </w:tc>
        <w:tc>
          <w:tcPr>
            <w:tcW w:w="2835" w:type="dxa"/>
            <w:gridSpan w:val="5"/>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复议后起诉</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1463" w:hRule="atLeast"/>
          <w:jc w:val="center"/>
        </w:trPr>
        <w:tc>
          <w:tcPr>
            <w:tcW w:w="1326" w:type="dxa"/>
            <w:vMerge w:val="continue"/>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rPr>
                <w:rFonts w:hint="eastAsia" w:ascii="宋体"/>
                <w:sz w:val="21"/>
                <w:szCs w:val="21"/>
              </w:rPr>
            </w:pPr>
          </w:p>
        </w:tc>
        <w:tc>
          <w:tcPr>
            <w:tcW w:w="568" w:type="dxa"/>
            <w:vMerge w:val="continue"/>
            <w:tcBorders>
              <w:top w:val="nil"/>
              <w:left w:val="nil"/>
              <w:bottom w:val="single" w:color="auto" w:sz="8" w:space="0"/>
              <w:right w:val="single" w:color="auto" w:sz="8" w:space="0"/>
            </w:tcBorders>
            <w:shd w:val="clear" w:color="auto" w:fill="auto"/>
            <w:tcMar>
              <w:left w:w="108" w:type="dxa"/>
              <w:right w:w="108" w:type="dxa"/>
            </w:tcMar>
            <w:vAlign w:val="center"/>
          </w:tcPr>
          <w:p>
            <w:pPr>
              <w:rPr>
                <w:rFonts w:hint="eastAsia" w:ascii="宋体"/>
                <w:sz w:val="21"/>
                <w:szCs w:val="21"/>
              </w:rPr>
            </w:pPr>
          </w:p>
        </w:tc>
        <w:tc>
          <w:tcPr>
            <w:tcW w:w="56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sz w:val="21"/>
                <w:szCs w:val="21"/>
              </w:rPr>
            </w:pPr>
          </w:p>
        </w:tc>
        <w:tc>
          <w:tcPr>
            <w:tcW w:w="56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sz w:val="21"/>
                <w:szCs w:val="21"/>
              </w:rPr>
            </w:pPr>
          </w:p>
        </w:tc>
        <w:tc>
          <w:tcPr>
            <w:tcW w:w="567" w:type="dxa"/>
            <w:vMerge w:val="continue"/>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rPr>
                <w:rFonts w:hint="eastAsia" w:ascii="宋体"/>
                <w:sz w:val="21"/>
                <w:szCs w:val="21"/>
              </w:rPr>
            </w:pP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结果维持</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结果纠正</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其他结果</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尚未审结</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总计</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结果维持</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结果纠正</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其他结果</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尚未审结</w:t>
            </w:r>
          </w:p>
        </w:tc>
        <w:tc>
          <w:tcPr>
            <w:tcW w:w="567" w:type="dxa"/>
            <w:tcBorders>
              <w:top w:val="single" w:color="auto" w:sz="8" w:space="0"/>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sz w:val="21"/>
                <w:szCs w:val="21"/>
              </w:rPr>
            </w:pPr>
            <w:r>
              <w:rPr>
                <w:rFonts w:hint="default" w:ascii="Times New Roman" w:hAnsi="Times New Roman" w:eastAsia="Times New Roman" w:cs="Times New Roman"/>
                <w:sz w:val="21"/>
                <w:szCs w:val="21"/>
              </w:rPr>
              <w:t>总计</w:t>
            </w:r>
          </w:p>
        </w:tc>
      </w:tr>
      <w:tr>
        <w:tblPrEx>
          <w:tblBorders>
            <w:top w:val="none" w:color="auto" w:sz="6" w:space="0"/>
            <w:left w:val="none" w:color="auto" w:sz="6" w:space="0"/>
            <w:bottom w:val="none" w:color="auto" w:sz="6" w:space="0"/>
            <w:right w:val="none" w:color="auto" w:sz="6" w:space="0"/>
            <w:insideH w:val="outset" w:color="auto" w:sz="6" w:space="0"/>
            <w:insideV w:val="outset" w:color="auto" w:sz="6" w:space="0"/>
          </w:tblBorders>
          <w:shd w:val="clear" w:color="auto" w:fill="auto"/>
          <w:tblCellMar>
            <w:top w:w="0" w:type="dxa"/>
            <w:left w:w="0" w:type="dxa"/>
            <w:bottom w:w="0" w:type="dxa"/>
            <w:right w:w="0" w:type="dxa"/>
          </w:tblCellMar>
        </w:tblPrEx>
        <w:trPr>
          <w:trHeight w:val="567" w:hRule="atLeast"/>
          <w:jc w:val="center"/>
        </w:trPr>
        <w:tc>
          <w:tcPr>
            <w:tcW w:w="1326" w:type="dxa"/>
            <w:tcBorders>
              <w:top w:val="nil"/>
              <w:left w:val="single" w:color="auto" w:sz="8" w:space="0"/>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eastAsiaTheme="minorEastAsia"/>
                <w:sz w:val="21"/>
                <w:szCs w:val="21"/>
                <w:lang w:eastAsia="zh-CN"/>
              </w:rPr>
            </w:pPr>
            <w:r>
              <w:rPr>
                <w:rFonts w:hint="eastAsia" w:ascii="Times New Roman" w:hAnsi="Times New Roman" w:eastAsia="宋体" w:cs="Times New Roman"/>
                <w:sz w:val="21"/>
                <w:szCs w:val="21"/>
                <w:lang w:val="en-US" w:eastAsia="zh-CN"/>
              </w:rPr>
              <w:t>1</w:t>
            </w:r>
          </w:p>
        </w:tc>
        <w:tc>
          <w:tcPr>
            <w:tcW w:w="568"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cs="Times New Roman"/>
                <w:sz w:val="21"/>
                <w:szCs w:val="21"/>
                <w:lang w:val="en-US" w:eastAsia="zh-CN"/>
              </w:rPr>
              <w:t>3</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eastAsiaTheme="minorEastAsia"/>
                <w:sz w:val="21"/>
                <w:szCs w:val="21"/>
                <w:lang w:val="en-US" w:eastAsia="zh-CN"/>
              </w:rPr>
            </w:pPr>
            <w:r>
              <w:rPr>
                <w:rFonts w:hint="eastAsia" w:ascii="Times New Roman" w:hAnsi="Times New Roman" w:eastAsia="宋体" w:cs="Times New Roman"/>
                <w:sz w:val="21"/>
                <w:szCs w:val="21"/>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eastAsia" w:ascii="Times New Roman" w:hAnsi="Times New Roman" w:cs="Times New Roman" w:eastAsiaTheme="minorEastAsia"/>
                <w:sz w:val="21"/>
                <w:szCs w:val="21"/>
                <w:lang w:eastAsia="zh-CN"/>
              </w:rPr>
            </w:pPr>
            <w:r>
              <w:rPr>
                <w:rFonts w:hint="eastAsia" w:ascii="Times New Roman" w:hAnsi="Times New Roman" w:eastAsia="宋体" w:cs="Times New Roman"/>
                <w:sz w:val="21"/>
                <w:szCs w:val="21"/>
                <w:lang w:val="en-US" w:eastAsia="zh-CN"/>
              </w:rPr>
              <w:t>1</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c>
          <w:tcPr>
            <w:tcW w:w="567" w:type="dxa"/>
            <w:tcBorders>
              <w:top w:val="nil"/>
              <w:left w:val="nil"/>
              <w:bottom w:val="single" w:color="auto" w:sz="8" w:space="0"/>
              <w:right w:val="single" w:color="auto" w:sz="8" w:space="0"/>
            </w:tcBorders>
            <w:shd w:val="clear" w:color="auto" w:fill="auto"/>
            <w:tcMar>
              <w:left w:w="108" w:type="dxa"/>
              <w:right w:w="108" w:type="dxa"/>
            </w:tcMar>
            <w:vAlign w:val="center"/>
          </w:tcPr>
          <w:p>
            <w:pPr>
              <w:pStyle w:val="2"/>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ind w:left="0" w:right="0"/>
              <w:jc w:val="center"/>
              <w:rPr>
                <w:rFonts w:hint="default" w:ascii="Times New Roman" w:hAnsi="Times New Roman" w:cs="Times New Roman"/>
                <w:sz w:val="21"/>
                <w:szCs w:val="21"/>
              </w:rPr>
            </w:pPr>
            <w:r>
              <w:rPr>
                <w:rFonts w:hint="default" w:ascii="Times New Roman" w:hAnsi="Times New Roman" w:eastAsia="Times New Roman" w:cs="Times New Roman"/>
                <w:sz w:val="21"/>
                <w:szCs w:val="21"/>
              </w:rPr>
              <w:t>0</w:t>
            </w:r>
          </w:p>
        </w:tc>
      </w:tr>
    </w:tbl>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五、存在的主要问题及改进情况</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0" w:firstLineChars="200"/>
        <w:jc w:val="left"/>
        <w:textAlignment w:val="auto"/>
        <w:rPr>
          <w:rFonts w:hint="eastAsia" w:ascii="仿宋_GB2312" w:hAnsi="仿宋_GB2312" w:eastAsia="仿宋_GB2312" w:cs="仿宋_GB2312"/>
          <w:b w:val="0"/>
          <w:bCs w:val="0"/>
          <w:color w:val="auto"/>
          <w:sz w:val="32"/>
          <w:szCs w:val="32"/>
          <w:lang w:val="en-US" w:eastAsia="zh-CN"/>
        </w:rPr>
      </w:pPr>
      <w:r>
        <w:rPr>
          <w:rFonts w:hint="default" w:ascii="Times New Roman" w:hAnsi="Times New Roman" w:eastAsia="仿宋_GB2312" w:cs="Times New Roman"/>
          <w:b w:val="0"/>
          <w:bCs w:val="0"/>
          <w:color w:val="auto"/>
          <w:sz w:val="32"/>
          <w:szCs w:val="32"/>
          <w:lang w:val="en-US" w:eastAsia="zh-CN"/>
        </w:rPr>
        <w:t>2021</w:t>
      </w:r>
      <w:r>
        <w:rPr>
          <w:rFonts w:hint="eastAsia" w:ascii="仿宋_GB2312" w:hAnsi="仿宋_GB2312" w:eastAsia="仿宋_GB2312" w:cs="仿宋_GB2312"/>
          <w:b w:val="0"/>
          <w:bCs w:val="0"/>
          <w:color w:val="auto"/>
          <w:sz w:val="32"/>
          <w:szCs w:val="32"/>
          <w:lang w:val="en-US" w:eastAsia="zh-CN"/>
        </w:rPr>
        <w:t>年，管委会在推进政务公开工作的过程中落实整改了大量的工作，取得了一定的成效。但与此同时，也存在着许多不足，主要表现在：一是工作队伍的专业性和稳定性有待进一步提高，各部门负责政务公开工作的人员多为一人多职，水平参差不齐，工作主动性不够，责任心有待提高。二是信息内容更新不及时、不全面，发布质量有待加强，对于广大群众的要求有一定的差距。三是发布渠道的应用需要多多加强。下一步，我们将从以下方面切实改进：</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firstLine="643" w:firstLineChars="200"/>
        <w:jc w:val="left"/>
        <w:textAlignment w:val="auto"/>
        <w:rPr>
          <w:rFonts w:hint="eastAsia" w:ascii="仿宋_GB2312" w:hAnsi="仿宋_GB2312" w:eastAsia="仿宋_GB2312" w:cs="仿宋_GB2312"/>
          <w:i w:val="0"/>
          <w:iCs w:val="0"/>
          <w:caps w:val="0"/>
          <w:color w:val="000000"/>
          <w:spacing w:val="0"/>
          <w:sz w:val="32"/>
          <w:szCs w:val="32"/>
          <w:shd w:val="clear" w:fill="FFFFFF"/>
          <w:lang w:eastAsia="zh-CN"/>
        </w:rPr>
      </w:pPr>
      <w:r>
        <w:rPr>
          <w:rFonts w:hint="eastAsia" w:ascii="楷体_GB2312" w:hAnsi="楷体_GB2312" w:eastAsia="楷体_GB2312" w:cs="楷体_GB2312"/>
          <w:b/>
          <w:bCs/>
          <w:sz w:val="32"/>
          <w:szCs w:val="32"/>
          <w:lang w:val="en-US" w:eastAsia="zh-CN"/>
        </w:rPr>
        <w:t>（一）是加强队伍的建设</w:t>
      </w:r>
      <w:r>
        <w:rPr>
          <w:rFonts w:hint="eastAsia" w:ascii="仿宋_GB2312" w:hAnsi="仿宋_GB2312" w:eastAsia="仿宋_GB2312" w:cs="仿宋_GB2312"/>
          <w:b w:val="0"/>
          <w:bCs w:val="0"/>
          <w:sz w:val="32"/>
          <w:szCs w:val="32"/>
          <w:lang w:val="en-US" w:eastAsia="zh-CN"/>
        </w:rPr>
        <w:t>。</w:t>
      </w:r>
      <w:r>
        <w:rPr>
          <w:rFonts w:hint="eastAsia" w:ascii="仿宋_GB2312" w:hAnsi="仿宋_GB2312" w:eastAsia="仿宋_GB2312" w:cs="仿宋_GB2312"/>
          <w:b w:val="0"/>
          <w:bCs w:val="0"/>
          <w:color w:val="auto"/>
          <w:sz w:val="32"/>
          <w:szCs w:val="32"/>
          <w:lang w:val="en-US" w:eastAsia="zh-CN"/>
        </w:rPr>
        <w:t>定期开展政务公开工作培训，强化政务公开队伍的建设，增进政务公开业务人员的业务能力，通过培训等</w:t>
      </w:r>
      <w:r>
        <w:rPr>
          <w:rFonts w:hint="eastAsia" w:ascii="仿宋_GB2312" w:hAnsi="仿宋_GB2312" w:eastAsia="仿宋_GB2312" w:cs="仿宋_GB2312"/>
          <w:i w:val="0"/>
          <w:iCs w:val="0"/>
          <w:caps w:val="0"/>
          <w:color w:val="auto"/>
          <w:spacing w:val="0"/>
          <w:sz w:val="32"/>
          <w:szCs w:val="32"/>
          <w:shd w:val="clear" w:fill="FFFFFF"/>
        </w:rPr>
        <w:t>不断增强主动公开意识，</w:t>
      </w:r>
      <w:r>
        <w:rPr>
          <w:rFonts w:hint="eastAsia" w:ascii="仿宋_GB2312" w:hAnsi="仿宋_GB2312" w:eastAsia="仿宋_GB2312" w:cs="仿宋_GB2312"/>
          <w:i w:val="0"/>
          <w:iCs w:val="0"/>
          <w:caps w:val="0"/>
          <w:color w:val="auto"/>
          <w:spacing w:val="0"/>
          <w:sz w:val="32"/>
          <w:szCs w:val="32"/>
          <w:shd w:val="clear" w:fill="FFFFFF"/>
          <w:lang w:val="en-US" w:eastAsia="zh-CN"/>
        </w:rPr>
        <w:t>提高政务公开思想觉悟，</w:t>
      </w:r>
      <w:r>
        <w:rPr>
          <w:rFonts w:hint="eastAsia" w:ascii="仿宋_GB2312" w:hAnsi="仿宋_GB2312" w:eastAsia="仿宋_GB2312" w:cs="仿宋_GB2312"/>
          <w:i w:val="0"/>
          <w:iCs w:val="0"/>
          <w:caps w:val="0"/>
          <w:color w:val="auto"/>
          <w:spacing w:val="0"/>
          <w:sz w:val="32"/>
          <w:szCs w:val="32"/>
          <w:shd w:val="clear" w:fill="FFFFFF"/>
        </w:rPr>
        <w:t>提升政务公开工作队伍专业能力和水平</w:t>
      </w:r>
      <w:r>
        <w:rPr>
          <w:rFonts w:hint="eastAsia" w:ascii="仿宋_GB2312" w:hAnsi="仿宋_GB2312" w:eastAsia="仿宋_GB2312" w:cs="仿宋_GB2312"/>
          <w:i w:val="0"/>
          <w:iCs w:val="0"/>
          <w:caps w:val="0"/>
          <w:color w:val="auto"/>
          <w:spacing w:val="0"/>
          <w:sz w:val="32"/>
          <w:szCs w:val="32"/>
          <w:shd w:val="clear" w:fill="FFFFFF"/>
          <w:lang w:eastAsia="zh-CN"/>
        </w:rPr>
        <w:t>。</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0" w:leftChars="0" w:firstLine="643" w:firstLineChars="200"/>
        <w:jc w:val="left"/>
        <w:textAlignment w:val="auto"/>
        <w:rPr>
          <w:rFonts w:hint="eastAsia" w:ascii="仿宋_GB2312" w:hAnsi="仿宋_GB2312" w:eastAsia="仿宋_GB2312" w:cs="仿宋_GB2312"/>
          <w:i w:val="0"/>
          <w:iCs w:val="0"/>
          <w:caps w:val="0"/>
          <w:color w:val="000000"/>
          <w:spacing w:val="0"/>
          <w:sz w:val="32"/>
          <w:szCs w:val="32"/>
          <w:shd w:val="clear" w:fill="FFFFFF"/>
          <w:lang w:val="en-US" w:eastAsia="zh-CN"/>
        </w:rPr>
      </w:pPr>
      <w:r>
        <w:rPr>
          <w:rFonts w:hint="eastAsia" w:ascii="楷体_GB2312" w:hAnsi="楷体_GB2312" w:eastAsia="楷体_GB2312" w:cs="楷体_GB2312"/>
          <w:b/>
          <w:bCs/>
          <w:i w:val="0"/>
          <w:iCs w:val="0"/>
          <w:caps w:val="0"/>
          <w:color w:val="000000"/>
          <w:spacing w:val="0"/>
          <w:sz w:val="32"/>
          <w:szCs w:val="32"/>
          <w:shd w:val="clear" w:fill="FFFFFF"/>
          <w:lang w:val="en-US" w:eastAsia="zh-CN"/>
        </w:rPr>
        <w:t>（二）是强化监督检查</w:t>
      </w:r>
      <w:r>
        <w:rPr>
          <w:rFonts w:hint="eastAsia" w:ascii="仿宋_GB2312" w:hAnsi="仿宋_GB2312" w:eastAsia="仿宋_GB2312" w:cs="仿宋_GB2312"/>
          <w:i w:val="0"/>
          <w:iCs w:val="0"/>
          <w:caps w:val="0"/>
          <w:color w:val="000000"/>
          <w:spacing w:val="0"/>
          <w:sz w:val="32"/>
          <w:szCs w:val="32"/>
          <w:shd w:val="clear" w:fill="FFFFFF"/>
          <w:lang w:val="en-US"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针对政务公开发布信息内容的问题，加强定期开展监督检查工作，建立相关政务公开考核机制。及时将待整改落实的问题给予反馈，在遇到的相关问题中及时协调梳理，保质保量的同时保障政务公开工作内容的及时性、全面性。</w:t>
      </w:r>
    </w:p>
    <w:p>
      <w:pPr>
        <w:keepNext w:val="0"/>
        <w:keepLines w:val="0"/>
        <w:pageBreakBefore w:val="0"/>
        <w:widowControl w:val="0"/>
        <w:numPr>
          <w:ilvl w:val="0"/>
          <w:numId w:val="0"/>
        </w:numPr>
        <w:tabs>
          <w:tab w:val="left" w:pos="0"/>
        </w:tabs>
        <w:kinsoku/>
        <w:wordWrap/>
        <w:overflowPunct/>
        <w:topLinePunct w:val="0"/>
        <w:autoSpaceDE/>
        <w:autoSpaceDN/>
        <w:bidi w:val="0"/>
        <w:adjustRightInd/>
        <w:snapToGrid/>
        <w:spacing w:line="600" w:lineRule="exact"/>
        <w:ind w:firstLine="643" w:firstLineChars="200"/>
        <w:jc w:val="left"/>
        <w:textAlignment w:val="auto"/>
        <w:rPr>
          <w:rFonts w:hint="default" w:ascii="仿宋_GB2312" w:hAnsi="仿宋_GB2312" w:eastAsia="仿宋_GB2312" w:cs="仿宋_GB2312"/>
          <w:i w:val="0"/>
          <w:iCs w:val="0"/>
          <w:caps w:val="0"/>
          <w:color w:val="auto"/>
          <w:spacing w:val="0"/>
          <w:sz w:val="32"/>
          <w:szCs w:val="32"/>
          <w:shd w:val="clear" w:fill="FFFFFF"/>
          <w:lang w:val="en-US" w:eastAsia="zh-CN"/>
        </w:rPr>
      </w:pPr>
      <w:r>
        <w:rPr>
          <w:rFonts w:hint="eastAsia" w:ascii="楷体_GB2312" w:hAnsi="楷体_GB2312" w:eastAsia="楷体_GB2312" w:cs="楷体_GB2312"/>
          <w:b/>
          <w:bCs/>
          <w:i w:val="0"/>
          <w:iCs w:val="0"/>
          <w:caps w:val="0"/>
          <w:color w:val="000000"/>
          <w:spacing w:val="0"/>
          <w:sz w:val="32"/>
          <w:szCs w:val="32"/>
          <w:shd w:val="clear" w:fill="FFFFFF"/>
          <w:lang w:val="en-US" w:eastAsia="zh-CN"/>
        </w:rPr>
        <w:t>（三）是充分利用公开宣传的载体</w:t>
      </w:r>
      <w:r>
        <w:rPr>
          <w:rFonts w:hint="eastAsia" w:ascii="仿宋_GB2312" w:hAnsi="仿宋_GB2312" w:eastAsia="仿宋_GB2312" w:cs="仿宋_GB2312"/>
          <w:i w:val="0"/>
          <w:iCs w:val="0"/>
          <w:caps w:val="0"/>
          <w:color w:val="000000"/>
          <w:spacing w:val="0"/>
          <w:sz w:val="32"/>
          <w:szCs w:val="32"/>
          <w:shd w:val="clear" w:fill="FFFFFF"/>
          <w:lang w:val="en-US" w:eastAsia="zh-CN"/>
        </w:rPr>
        <w:t>。</w:t>
      </w:r>
      <w:r>
        <w:rPr>
          <w:rFonts w:hint="eastAsia" w:ascii="仿宋_GB2312" w:hAnsi="仿宋_GB2312" w:eastAsia="仿宋_GB2312" w:cs="仿宋_GB2312"/>
          <w:i w:val="0"/>
          <w:iCs w:val="0"/>
          <w:caps w:val="0"/>
          <w:color w:val="auto"/>
          <w:spacing w:val="0"/>
          <w:sz w:val="32"/>
          <w:szCs w:val="32"/>
          <w:shd w:val="clear" w:fill="FFFFFF"/>
          <w:lang w:val="en-US" w:eastAsia="zh-CN"/>
        </w:rPr>
        <w:t>加强利用传播快、受众面广、互动性强的公开渠道，让广大群众能够在第一时间了解相关动态，</w:t>
      </w:r>
      <w:r>
        <w:rPr>
          <w:rFonts w:hint="eastAsia" w:ascii="仿宋_GB2312" w:hAnsi="仿宋_GB2312" w:eastAsia="仿宋_GB2312" w:cs="仿宋_GB2312"/>
          <w:i w:val="0"/>
          <w:iCs w:val="0"/>
          <w:caps w:val="0"/>
          <w:color w:val="auto"/>
          <w:spacing w:val="12"/>
          <w:sz w:val="32"/>
          <w:szCs w:val="32"/>
          <w:shd w:val="clear" w:fill="FFFFFF"/>
        </w:rPr>
        <w:t>政府</w:t>
      </w:r>
      <w:r>
        <w:rPr>
          <w:rFonts w:hint="eastAsia" w:ascii="仿宋_GB2312" w:hAnsi="仿宋_GB2312" w:eastAsia="仿宋_GB2312" w:cs="仿宋_GB2312"/>
          <w:i w:val="0"/>
          <w:iCs w:val="0"/>
          <w:caps w:val="0"/>
          <w:color w:val="auto"/>
          <w:spacing w:val="12"/>
          <w:sz w:val="32"/>
          <w:szCs w:val="32"/>
          <w:shd w:val="clear" w:fill="FFFFFF"/>
          <w:lang w:val="en-US" w:eastAsia="zh-CN"/>
        </w:rPr>
        <w:t>也可以</w:t>
      </w:r>
      <w:r>
        <w:rPr>
          <w:rFonts w:hint="eastAsia" w:ascii="仿宋_GB2312" w:hAnsi="仿宋_GB2312" w:eastAsia="仿宋_GB2312" w:cs="仿宋_GB2312"/>
          <w:i w:val="0"/>
          <w:iCs w:val="0"/>
          <w:caps w:val="0"/>
          <w:color w:val="auto"/>
          <w:spacing w:val="12"/>
          <w:sz w:val="32"/>
          <w:szCs w:val="32"/>
          <w:shd w:val="clear" w:fill="FFFFFF"/>
        </w:rPr>
        <w:t>倾听到人民群众的意见和心声，</w:t>
      </w:r>
      <w:r>
        <w:rPr>
          <w:rFonts w:hint="eastAsia" w:ascii="仿宋_GB2312" w:hAnsi="仿宋_GB2312" w:eastAsia="仿宋_GB2312" w:cs="仿宋_GB2312"/>
          <w:i w:val="0"/>
          <w:iCs w:val="0"/>
          <w:caps w:val="0"/>
          <w:color w:val="auto"/>
          <w:spacing w:val="12"/>
          <w:sz w:val="32"/>
          <w:szCs w:val="32"/>
          <w:shd w:val="clear" w:fill="FFFFFF"/>
          <w:lang w:val="en-US" w:eastAsia="zh-CN"/>
        </w:rPr>
        <w:t>二者紧紧联系互动，从而完善政务公开工作的内容和方法，促进政务公开工作更好的开展。</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rPr>
          <w:rFonts w:hint="eastAsia" w:ascii="黑体" w:hAnsi="黑体" w:eastAsia="黑体" w:cs="黑体"/>
          <w:b w:val="0"/>
          <w:bCs w:val="0"/>
          <w:sz w:val="32"/>
          <w:szCs w:val="32"/>
          <w:lang w:val="en-US" w:eastAsia="zh-CN"/>
        </w:rPr>
      </w:pPr>
      <w:r>
        <w:rPr>
          <w:rFonts w:hint="eastAsia" w:ascii="黑体" w:hAnsi="黑体" w:eastAsia="黑体" w:cs="黑体"/>
          <w:b w:val="0"/>
          <w:bCs w:val="0"/>
          <w:sz w:val="32"/>
          <w:szCs w:val="32"/>
          <w:lang w:val="en-US" w:eastAsia="zh-CN"/>
        </w:rPr>
        <w:t>六、其他需要报告的事项</w:t>
      </w:r>
    </w:p>
    <w:p>
      <w:pPr>
        <w:keepNext w:val="0"/>
        <w:keepLines w:val="0"/>
        <w:pageBreakBefore w:val="0"/>
        <w:widowControl w:val="0"/>
        <w:numPr>
          <w:ilvl w:val="0"/>
          <w:numId w:val="0"/>
        </w:numPr>
        <w:kinsoku/>
        <w:wordWrap/>
        <w:overflowPunct/>
        <w:topLinePunct w:val="0"/>
        <w:autoSpaceDE/>
        <w:autoSpaceDN/>
        <w:bidi w:val="0"/>
        <w:adjustRightInd/>
        <w:snapToGrid/>
        <w:spacing w:line="600" w:lineRule="exact"/>
        <w:ind w:leftChars="0" w:firstLine="640" w:firstLineChars="200"/>
        <w:jc w:val="left"/>
        <w:textAlignment w:val="auto"/>
        <w:rPr>
          <w:rFonts w:hint="eastAsia" w:ascii="微软雅黑" w:hAnsi="微软雅黑" w:eastAsia="微软雅黑" w:cs="微软雅黑"/>
          <w:i w:val="0"/>
          <w:iCs w:val="0"/>
          <w:caps w:val="0"/>
          <w:color w:val="000000"/>
          <w:spacing w:val="0"/>
          <w:sz w:val="24"/>
          <w:szCs w:val="24"/>
        </w:rPr>
      </w:pPr>
      <w:r>
        <w:rPr>
          <w:rFonts w:hint="eastAsia" w:ascii="楷体_GB2312" w:hAnsi="楷体_GB2312" w:eastAsia="楷体_GB2312" w:cs="楷体_GB2312"/>
          <w:b w:val="0"/>
          <w:bCs w:val="0"/>
          <w:sz w:val="32"/>
          <w:szCs w:val="32"/>
          <w:lang w:val="en-US" w:eastAsia="zh-CN"/>
        </w:rPr>
        <w:t>（一）信息处理收费情况。</w:t>
      </w:r>
      <w:r>
        <w:rPr>
          <w:rFonts w:hint="eastAsia" w:ascii="仿宋_GB2312" w:hAnsi="微软雅黑" w:eastAsia="仿宋_GB2312" w:cs="仿宋_GB2312"/>
          <w:i w:val="0"/>
          <w:iCs w:val="0"/>
          <w:caps w:val="0"/>
          <w:color w:val="000000"/>
          <w:spacing w:val="0"/>
          <w:sz w:val="32"/>
          <w:szCs w:val="32"/>
          <w:shd w:val="clear" w:fill="FFFFFF"/>
          <w:lang w:val="en-US" w:eastAsia="zh-CN"/>
        </w:rPr>
        <w:t>淄博经开区</w:t>
      </w:r>
      <w:r>
        <w:rPr>
          <w:rFonts w:hint="eastAsia" w:ascii="仿宋_GB2312" w:hAnsi="Times New Roman" w:eastAsia="仿宋_GB2312" w:cs="仿宋_GB2312"/>
          <w:i w:val="0"/>
          <w:iCs w:val="0"/>
          <w:caps w:val="0"/>
          <w:color w:val="000000"/>
          <w:spacing w:val="0"/>
          <w:sz w:val="32"/>
          <w:szCs w:val="32"/>
          <w:shd w:val="clear" w:fill="FFFFFF"/>
        </w:rPr>
        <w:t>管委会依据《国务院办公厅关于印发</w:t>
      </w:r>
      <w:r>
        <w:rPr>
          <w:rFonts w:hint="default" w:ascii="Times New Roman" w:hAnsi="Times New Roman" w:eastAsia="微软雅黑" w:cs="Times New Roman"/>
          <w:i w:val="0"/>
          <w:iCs w:val="0"/>
          <w:caps w:val="0"/>
          <w:color w:val="000000"/>
          <w:spacing w:val="0"/>
          <w:sz w:val="32"/>
          <w:szCs w:val="32"/>
          <w:shd w:val="clear" w:fill="FFFFFF"/>
        </w:rPr>
        <w:t>&lt;</w:t>
      </w:r>
      <w:r>
        <w:rPr>
          <w:rFonts w:hint="eastAsia" w:ascii="仿宋_GB2312" w:hAnsi="Times New Roman" w:eastAsia="仿宋_GB2312" w:cs="仿宋_GB2312"/>
          <w:i w:val="0"/>
          <w:iCs w:val="0"/>
          <w:caps w:val="0"/>
          <w:color w:val="000000"/>
          <w:spacing w:val="0"/>
          <w:sz w:val="32"/>
          <w:szCs w:val="32"/>
          <w:shd w:val="clear" w:fill="FFFFFF"/>
        </w:rPr>
        <w:t>政府信息公开信息处理费管理办法</w:t>
      </w:r>
      <w:r>
        <w:rPr>
          <w:rFonts w:hint="default" w:ascii="Times New Roman" w:hAnsi="Times New Roman" w:eastAsia="微软雅黑" w:cs="Times New Roman"/>
          <w:i w:val="0"/>
          <w:iCs w:val="0"/>
          <w:caps w:val="0"/>
          <w:color w:val="000000"/>
          <w:spacing w:val="0"/>
          <w:sz w:val="32"/>
          <w:szCs w:val="32"/>
          <w:shd w:val="clear" w:fill="FFFFFF"/>
        </w:rPr>
        <w:t>&gt;</w:t>
      </w:r>
      <w:r>
        <w:rPr>
          <w:rFonts w:hint="eastAsia" w:ascii="仿宋_GB2312" w:hAnsi="Times New Roman" w:eastAsia="仿宋_GB2312" w:cs="仿宋_GB2312"/>
          <w:i w:val="0"/>
          <w:iCs w:val="0"/>
          <w:caps w:val="0"/>
          <w:color w:val="000000"/>
          <w:spacing w:val="0"/>
          <w:sz w:val="32"/>
          <w:szCs w:val="32"/>
          <w:shd w:val="clear" w:fill="FFFFFF"/>
        </w:rPr>
        <w:t>的通知》（国办函〔</w:t>
      </w:r>
      <w:r>
        <w:rPr>
          <w:rFonts w:hint="default" w:ascii="Times New Roman" w:hAnsi="Times New Roman" w:eastAsia="微软雅黑" w:cs="Times New Roman"/>
          <w:i w:val="0"/>
          <w:iCs w:val="0"/>
          <w:caps w:val="0"/>
          <w:color w:val="000000"/>
          <w:spacing w:val="0"/>
          <w:sz w:val="32"/>
          <w:szCs w:val="32"/>
          <w:shd w:val="clear" w:fill="FFFFFF"/>
        </w:rPr>
        <w:t>2020</w:t>
      </w:r>
      <w:r>
        <w:rPr>
          <w:rFonts w:hint="eastAsia" w:ascii="仿宋_GB2312" w:hAnsi="Times New Roman" w:eastAsia="仿宋_GB2312" w:cs="仿宋_GB2312"/>
          <w:i w:val="0"/>
          <w:iCs w:val="0"/>
          <w:caps w:val="0"/>
          <w:color w:val="000000"/>
          <w:spacing w:val="0"/>
          <w:sz w:val="32"/>
          <w:szCs w:val="32"/>
          <w:shd w:val="clear" w:fill="FFFFFF"/>
        </w:rPr>
        <w:t>〕</w:t>
      </w:r>
      <w:r>
        <w:rPr>
          <w:rFonts w:hint="default" w:ascii="Times New Roman" w:hAnsi="Times New Roman" w:eastAsia="微软雅黑" w:cs="Times New Roman"/>
          <w:i w:val="0"/>
          <w:iCs w:val="0"/>
          <w:caps w:val="0"/>
          <w:color w:val="000000"/>
          <w:spacing w:val="0"/>
          <w:sz w:val="32"/>
          <w:szCs w:val="32"/>
          <w:shd w:val="clear" w:fill="FFFFFF"/>
        </w:rPr>
        <w:t>109</w:t>
      </w:r>
      <w:r>
        <w:rPr>
          <w:rFonts w:hint="eastAsia" w:ascii="仿宋_GB2312" w:hAnsi="Times New Roman" w:eastAsia="仿宋_GB2312" w:cs="仿宋_GB2312"/>
          <w:i w:val="0"/>
          <w:iCs w:val="0"/>
          <w:caps w:val="0"/>
          <w:color w:val="000000"/>
          <w:spacing w:val="0"/>
          <w:sz w:val="32"/>
          <w:szCs w:val="32"/>
          <w:shd w:val="clear" w:fill="FFFFFF"/>
        </w:rPr>
        <w:t>号）和《山东省人民政府办公厅关于做好政府信息公开信息处理费管理工作有关事项的通知》（鲁政办字〔</w:t>
      </w:r>
      <w:r>
        <w:rPr>
          <w:rFonts w:hint="default" w:ascii="Times New Roman" w:hAnsi="Times New Roman" w:eastAsia="微软雅黑" w:cs="Times New Roman"/>
          <w:i w:val="0"/>
          <w:iCs w:val="0"/>
          <w:caps w:val="0"/>
          <w:color w:val="000000"/>
          <w:spacing w:val="0"/>
          <w:sz w:val="32"/>
          <w:szCs w:val="32"/>
          <w:shd w:val="clear" w:fill="FFFFFF"/>
        </w:rPr>
        <w:t>2020</w:t>
      </w:r>
      <w:r>
        <w:rPr>
          <w:rFonts w:hint="eastAsia" w:ascii="仿宋_GB2312" w:hAnsi="Times New Roman" w:eastAsia="仿宋_GB2312" w:cs="仿宋_GB2312"/>
          <w:i w:val="0"/>
          <w:iCs w:val="0"/>
          <w:caps w:val="0"/>
          <w:color w:val="000000"/>
          <w:spacing w:val="0"/>
          <w:sz w:val="32"/>
          <w:szCs w:val="32"/>
          <w:shd w:val="clear" w:fill="FFFFFF"/>
        </w:rPr>
        <w:t>〕</w:t>
      </w:r>
      <w:r>
        <w:rPr>
          <w:rFonts w:hint="default" w:ascii="Times New Roman" w:hAnsi="Times New Roman" w:eastAsia="微软雅黑" w:cs="Times New Roman"/>
          <w:i w:val="0"/>
          <w:iCs w:val="0"/>
          <w:caps w:val="0"/>
          <w:color w:val="000000"/>
          <w:spacing w:val="0"/>
          <w:sz w:val="32"/>
          <w:szCs w:val="32"/>
          <w:shd w:val="clear" w:fill="FFFFFF"/>
        </w:rPr>
        <w:t>179</w:t>
      </w:r>
      <w:r>
        <w:rPr>
          <w:rFonts w:hint="eastAsia" w:ascii="仿宋_GB2312" w:hAnsi="Times New Roman" w:eastAsia="仿宋_GB2312" w:cs="仿宋_GB2312"/>
          <w:i w:val="0"/>
          <w:iCs w:val="0"/>
          <w:caps w:val="0"/>
          <w:color w:val="000000"/>
          <w:spacing w:val="0"/>
          <w:sz w:val="32"/>
          <w:szCs w:val="32"/>
          <w:shd w:val="clear" w:fill="FFFFFF"/>
        </w:rPr>
        <w:t>号）规定收取信息处理费。</w:t>
      </w:r>
      <w:r>
        <w:rPr>
          <w:rFonts w:hint="default" w:ascii="Times New Roman" w:hAnsi="Times New Roman" w:eastAsia="微软雅黑" w:cs="Times New Roman"/>
          <w:i w:val="0"/>
          <w:iCs w:val="0"/>
          <w:caps w:val="0"/>
          <w:color w:val="000000"/>
          <w:spacing w:val="0"/>
          <w:sz w:val="32"/>
          <w:szCs w:val="32"/>
          <w:shd w:val="clear" w:fill="FFFFFF"/>
        </w:rPr>
        <w:t>2021</w:t>
      </w:r>
      <w:r>
        <w:rPr>
          <w:rFonts w:hint="eastAsia" w:ascii="仿宋_GB2312" w:hAnsi="Times New Roman" w:eastAsia="仿宋_GB2312" w:cs="仿宋_GB2312"/>
          <w:i w:val="0"/>
          <w:iCs w:val="0"/>
          <w:caps w:val="0"/>
          <w:color w:val="000000"/>
          <w:spacing w:val="0"/>
          <w:sz w:val="32"/>
          <w:szCs w:val="32"/>
          <w:shd w:val="clear" w:fill="FFFFFF"/>
        </w:rPr>
        <w:t>年，全区依申请公开政府信息未收取信息处理费用。</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eastAsia" w:ascii="仿宋_GB2312" w:hAnsi="仿宋_GB2312" w:eastAsia="仿宋_GB2312" w:cs="仿宋_GB2312"/>
          <w:b w:val="0"/>
          <w:bCs w:val="0"/>
          <w:color w:val="auto"/>
          <w:kern w:val="0"/>
          <w:sz w:val="32"/>
          <w:szCs w:val="32"/>
          <w:u w:val="none"/>
          <w:lang w:val="en-US" w:eastAsia="zh-CN" w:bidi="ar"/>
        </w:rPr>
      </w:pPr>
      <w:r>
        <w:rPr>
          <w:rFonts w:hint="eastAsia" w:ascii="楷体_GB2312" w:hAnsi="楷体_GB2312" w:eastAsia="楷体_GB2312" w:cs="楷体_GB2312"/>
          <w:b w:val="0"/>
          <w:bCs w:val="0"/>
          <w:color w:val="auto"/>
          <w:kern w:val="0"/>
          <w:sz w:val="32"/>
          <w:szCs w:val="32"/>
          <w:u w:val="none"/>
          <w:lang w:val="en-US" w:eastAsia="zh-CN" w:bidi="ar"/>
        </w:rPr>
        <w:t>（二）落实上级工作要点情况。</w:t>
      </w:r>
      <w:r>
        <w:rPr>
          <w:rFonts w:hint="default" w:ascii="Times New Roman" w:hAnsi="Times New Roman" w:eastAsia="仿宋_GB2312" w:cs="Times New Roman"/>
          <w:b w:val="0"/>
          <w:bCs w:val="0"/>
          <w:color w:val="auto"/>
          <w:kern w:val="0"/>
          <w:sz w:val="32"/>
          <w:szCs w:val="32"/>
          <w:u w:val="none"/>
          <w:lang w:val="en-US" w:eastAsia="zh-CN" w:bidi="ar"/>
        </w:rPr>
        <w:t>2021</w:t>
      </w:r>
      <w:r>
        <w:rPr>
          <w:rFonts w:hint="eastAsia" w:ascii="仿宋_GB2312" w:hAnsi="仿宋_GB2312" w:eastAsia="仿宋_GB2312" w:cs="仿宋_GB2312"/>
          <w:b w:val="0"/>
          <w:bCs w:val="0"/>
          <w:color w:val="auto"/>
          <w:kern w:val="0"/>
          <w:sz w:val="32"/>
          <w:szCs w:val="32"/>
          <w:u w:val="none"/>
          <w:lang w:val="en-US" w:eastAsia="zh-CN" w:bidi="ar"/>
        </w:rPr>
        <w:t>年经开区管委会认真贯彻落实国家、省、市政务公开工作要点部署和要求，与各部门单位落实好工作任务，及时进行督导和指导，积极落实整改政务公开工作中出现的问题，较好完成了上级政务公开工作要点部署的任务。</w:t>
      </w:r>
    </w:p>
    <w:p>
      <w:pPr>
        <w:keepNext w:val="0"/>
        <w:keepLines w:val="0"/>
        <w:pageBreakBefore w:val="0"/>
        <w:widowControl w:val="0"/>
        <w:numPr>
          <w:ilvl w:val="0"/>
          <w:numId w:val="0"/>
        </w:numPr>
        <w:kinsoku/>
        <w:wordWrap/>
        <w:overflowPunct/>
        <w:topLinePunct w:val="0"/>
        <w:autoSpaceDE/>
        <w:autoSpaceDN/>
        <w:bidi w:val="0"/>
        <w:adjustRightInd/>
        <w:snapToGrid/>
        <w:spacing w:line="560" w:lineRule="exact"/>
        <w:ind w:firstLine="640" w:firstLineChars="200"/>
        <w:jc w:val="left"/>
        <w:textAlignment w:val="auto"/>
        <w:rPr>
          <w:rFonts w:hint="default" w:ascii="仿宋_GB2312" w:hAnsi="仿宋_GB2312" w:eastAsia="仿宋_GB2312" w:cs="仿宋_GB2312"/>
          <w:b w:val="0"/>
          <w:bCs w:val="0"/>
          <w:color w:val="auto"/>
          <w:kern w:val="0"/>
          <w:sz w:val="32"/>
          <w:szCs w:val="32"/>
          <w:u w:val="none"/>
          <w:lang w:val="en-US" w:eastAsia="zh-CN" w:bidi="ar"/>
        </w:rPr>
      </w:pPr>
      <w:r>
        <w:rPr>
          <w:rFonts w:hint="eastAsia" w:ascii="楷体_GB2312" w:hAnsi="楷体_GB2312" w:eastAsia="楷体_GB2312" w:cs="楷体_GB2312"/>
          <w:b w:val="0"/>
          <w:bCs w:val="0"/>
          <w:color w:val="auto"/>
          <w:kern w:val="0"/>
          <w:sz w:val="32"/>
          <w:szCs w:val="32"/>
          <w:u w:val="none"/>
          <w:lang w:val="en-US" w:eastAsia="zh-CN" w:bidi="ar"/>
        </w:rPr>
        <w:t>（三）政府人大代表建议和政协提案办理结果公开情况。</w:t>
      </w:r>
      <w:r>
        <w:rPr>
          <w:rFonts w:hint="default" w:ascii="Times New Roman" w:hAnsi="Times New Roman" w:eastAsia="仿宋_GB2312" w:cs="Times New Roman"/>
          <w:b w:val="0"/>
          <w:bCs w:val="0"/>
          <w:color w:val="auto"/>
          <w:kern w:val="0"/>
          <w:sz w:val="32"/>
          <w:szCs w:val="32"/>
          <w:u w:val="none"/>
          <w:lang w:val="en-US" w:eastAsia="zh-CN" w:bidi="ar"/>
        </w:rPr>
        <w:t>2021</w:t>
      </w:r>
      <w:r>
        <w:rPr>
          <w:rFonts w:hint="eastAsia" w:ascii="仿宋_GB2312" w:hAnsi="仿宋_GB2312" w:eastAsia="仿宋_GB2312" w:cs="仿宋_GB2312"/>
          <w:b w:val="0"/>
          <w:bCs w:val="0"/>
          <w:color w:val="auto"/>
          <w:kern w:val="0"/>
          <w:sz w:val="32"/>
          <w:szCs w:val="32"/>
          <w:u w:val="none"/>
          <w:lang w:val="en-US" w:eastAsia="zh-CN" w:bidi="ar"/>
        </w:rPr>
        <w:t>年，经开区无人大代表建议和政协</w:t>
      </w:r>
      <w:bookmarkStart w:id="0" w:name="_GoBack"/>
      <w:bookmarkEnd w:id="0"/>
      <w:r>
        <w:rPr>
          <w:rFonts w:hint="eastAsia" w:ascii="仿宋_GB2312" w:hAnsi="仿宋_GB2312" w:eastAsia="仿宋_GB2312" w:cs="仿宋_GB2312"/>
          <w:b w:val="0"/>
          <w:bCs w:val="0"/>
          <w:color w:val="auto"/>
          <w:kern w:val="0"/>
          <w:sz w:val="32"/>
          <w:szCs w:val="32"/>
          <w:u w:val="none"/>
          <w:lang w:val="en-US" w:eastAsia="zh-CN" w:bidi="ar"/>
        </w:rPr>
        <w:t>提案办理情况。</w:t>
      </w:r>
    </w:p>
    <w:sectPr>
      <w:pgSz w:w="11906" w:h="16838"/>
      <w:pgMar w:top="2098" w:right="1474" w:bottom="1984" w:left="1587"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EFF" w:usb1="C000785B"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方正小标宋简体">
    <w:panose1 w:val="03000509000000000000"/>
    <w:charset w:val="86"/>
    <w:family w:val="auto"/>
    <w:pitch w:val="default"/>
    <w:sig w:usb0="00000001" w:usb1="080E0000" w:usb2="00000000" w:usb3="00000000" w:csb0="00040000" w:csb1="00000000"/>
  </w:font>
  <w:font w:name="仿宋_GB2312">
    <w:panose1 w:val="02010609030101010101"/>
    <w:charset w:val="86"/>
    <w:family w:val="auto"/>
    <w:pitch w:val="default"/>
    <w:sig w:usb0="00000001" w:usb1="080E0000" w:usb2="00000000" w:usb3="00000000" w:csb0="00040000" w:csb1="00000000"/>
  </w:font>
  <w:font w:name="楷体_GB2312">
    <w:panose1 w:val="02010609030101010101"/>
    <w:charset w:val="86"/>
    <w:family w:val="auto"/>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楷体">
    <w:panose1 w:val="02010609060101010101"/>
    <w:charset w:val="86"/>
    <w:family w:val="auto"/>
    <w:pitch w:val="default"/>
    <w:sig w:usb0="800002BF" w:usb1="38CF7CFA" w:usb2="00000016" w:usb3="00000000" w:csb0="00040001" w:csb1="00000000"/>
  </w:font>
  <w:font w:name="Times New Roman">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微软雅黑">
    <w:panose1 w:val="020B0503020204020204"/>
    <w:charset w:val="86"/>
    <w:family w:val="auto"/>
    <w:pitch w:val="default"/>
    <w:sig w:usb0="80000287" w:usb1="2ACF3C50" w:usb2="00000016" w:usb3="00000000" w:csb0="0004001F" w:csb1="00000000"/>
  </w:font>
  <w:font w:name="Calibri Light">
    <w:panose1 w:val="020F0302020204030204"/>
    <w:charset w:val="00"/>
    <w:family w:val="auto"/>
    <w:pitch w:val="default"/>
    <w:sig w:usb0="E4002EFF" w:usb1="C000247B" w:usb2="00000009" w:usb3="00000000" w:csb0="2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F54F8B"/>
    <w:multiLevelType w:val="singleLevel"/>
    <w:tmpl w:val="ABF54F8B"/>
    <w:lvl w:ilvl="0" w:tentative="0">
      <w:start w:val="4"/>
      <w:numFmt w:val="chineseCounting"/>
      <w:suff w:val="nothing"/>
      <w:lvlText w:val="%1、"/>
      <w:lvlJc w:val="left"/>
      <w:rPr>
        <w:rFonts w:hint="eastAsia"/>
      </w:rPr>
    </w:lvl>
  </w:abstractNum>
  <w:abstractNum w:abstractNumId="1">
    <w:nsid w:val="D5070C15"/>
    <w:multiLevelType w:val="singleLevel"/>
    <w:tmpl w:val="D5070C15"/>
    <w:lvl w:ilvl="0" w:tentative="0">
      <w:start w:val="1"/>
      <w:numFmt w:val="chineseCounting"/>
      <w:suff w:val="nothing"/>
      <w:lvlText w:val="%1、"/>
      <w:lvlJc w:val="left"/>
      <w:pPr>
        <w:ind w:left="-10"/>
      </w:pPr>
      <w:rPr>
        <w:rFonts w:hint="eastAsia"/>
      </w:rPr>
    </w:lvl>
  </w:abstractNum>
  <w:num w:numId="1">
    <w:abstractNumId w:val="1"/>
  </w:num>
  <w:num w:numId="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YWUzODMwZmQ0OWRjNjI2MjRjMDVhZGE0NmIzNmIzNzEifQ=="/>
  </w:docVars>
  <w:rsids>
    <w:rsidRoot w:val="00000000"/>
    <w:rsid w:val="02494095"/>
    <w:rsid w:val="03F07987"/>
    <w:rsid w:val="047A0723"/>
    <w:rsid w:val="04CC22D1"/>
    <w:rsid w:val="061B46EB"/>
    <w:rsid w:val="09815214"/>
    <w:rsid w:val="0ABB16FD"/>
    <w:rsid w:val="0D8237A1"/>
    <w:rsid w:val="10137148"/>
    <w:rsid w:val="10A8404B"/>
    <w:rsid w:val="11CD0BE3"/>
    <w:rsid w:val="140E6EB1"/>
    <w:rsid w:val="14B91706"/>
    <w:rsid w:val="15342B99"/>
    <w:rsid w:val="1573515B"/>
    <w:rsid w:val="19F21F5A"/>
    <w:rsid w:val="1A2E2355"/>
    <w:rsid w:val="1C4A5BA1"/>
    <w:rsid w:val="1D556162"/>
    <w:rsid w:val="1FBE07C2"/>
    <w:rsid w:val="224C4C27"/>
    <w:rsid w:val="299A4B8D"/>
    <w:rsid w:val="299E719D"/>
    <w:rsid w:val="29F8241E"/>
    <w:rsid w:val="2A515A10"/>
    <w:rsid w:val="2B6B46C4"/>
    <w:rsid w:val="2CC31B0E"/>
    <w:rsid w:val="326007C8"/>
    <w:rsid w:val="360A1B16"/>
    <w:rsid w:val="36D27FF3"/>
    <w:rsid w:val="37B37981"/>
    <w:rsid w:val="38F11738"/>
    <w:rsid w:val="392C54EA"/>
    <w:rsid w:val="395319FE"/>
    <w:rsid w:val="3AD23389"/>
    <w:rsid w:val="3B15796E"/>
    <w:rsid w:val="3BA743A8"/>
    <w:rsid w:val="3BDF4925"/>
    <w:rsid w:val="3D580E2E"/>
    <w:rsid w:val="3E0C20CD"/>
    <w:rsid w:val="3F495455"/>
    <w:rsid w:val="40227DD0"/>
    <w:rsid w:val="40A8087E"/>
    <w:rsid w:val="415820EB"/>
    <w:rsid w:val="41B54513"/>
    <w:rsid w:val="42E03C1D"/>
    <w:rsid w:val="43614A2D"/>
    <w:rsid w:val="448A2191"/>
    <w:rsid w:val="45654B56"/>
    <w:rsid w:val="47DE421C"/>
    <w:rsid w:val="49854FD7"/>
    <w:rsid w:val="499279B0"/>
    <w:rsid w:val="4A15430D"/>
    <w:rsid w:val="4AA85DD1"/>
    <w:rsid w:val="4CF40A13"/>
    <w:rsid w:val="4E53036B"/>
    <w:rsid w:val="50290169"/>
    <w:rsid w:val="50461888"/>
    <w:rsid w:val="515607C8"/>
    <w:rsid w:val="547E3A4E"/>
    <w:rsid w:val="58D00911"/>
    <w:rsid w:val="59697210"/>
    <w:rsid w:val="5AC75656"/>
    <w:rsid w:val="5BAA01E7"/>
    <w:rsid w:val="5BAD2A2B"/>
    <w:rsid w:val="5BC41934"/>
    <w:rsid w:val="5CE86853"/>
    <w:rsid w:val="5CFB4285"/>
    <w:rsid w:val="5E0C587E"/>
    <w:rsid w:val="5F5B2396"/>
    <w:rsid w:val="62AB795A"/>
    <w:rsid w:val="62CB42AF"/>
    <w:rsid w:val="63D346D9"/>
    <w:rsid w:val="66D32B42"/>
    <w:rsid w:val="66D564E3"/>
    <w:rsid w:val="676F5E7D"/>
    <w:rsid w:val="6C387162"/>
    <w:rsid w:val="6CC13DE6"/>
    <w:rsid w:val="6D134651"/>
    <w:rsid w:val="6D2D6034"/>
    <w:rsid w:val="6D547936"/>
    <w:rsid w:val="6E2219E0"/>
    <w:rsid w:val="6E9758D2"/>
    <w:rsid w:val="6FFD48DD"/>
    <w:rsid w:val="726E2B45"/>
    <w:rsid w:val="73B35CF0"/>
    <w:rsid w:val="75AA3F51"/>
    <w:rsid w:val="76E650A7"/>
    <w:rsid w:val="77C80145"/>
    <w:rsid w:val="7A6E38A0"/>
    <w:rsid w:val="7C6F52BF"/>
    <w:rsid w:val="7CB47DAA"/>
    <w:rsid w:val="7E830EB2"/>
    <w:rsid w:val="7FB5625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5">
    <w:name w:val="Default Paragraph Font"/>
    <w:semiHidden/>
    <w:qFormat/>
    <w:uiPriority w:val="0"/>
  </w:style>
  <w:style w:type="table" w:default="1" w:styleId="3">
    <w:name w:val="Normal Table"/>
    <w:semiHidden/>
    <w:qFormat/>
    <w:uiPriority w:val="0"/>
    <w:tblPr>
      <w:tblCellMar>
        <w:top w:w="0" w:type="dxa"/>
        <w:left w:w="108" w:type="dxa"/>
        <w:bottom w:w="0" w:type="dxa"/>
        <w:right w:w="108" w:type="dxa"/>
      </w:tblCellMar>
    </w:tblPr>
  </w:style>
  <w:style w:type="paragraph" w:styleId="2">
    <w:name w:val="Normal (Web)"/>
    <w:basedOn w:val="1"/>
    <w:qFormat/>
    <w:uiPriority w:val="0"/>
    <w:pPr>
      <w:spacing w:before="0" w:beforeAutospacing="1" w:after="0" w:afterAutospacing="1"/>
      <w:ind w:left="0" w:right="0"/>
      <w:jc w:val="left"/>
    </w:pPr>
    <w:rPr>
      <w:kern w:val="0"/>
      <w:sz w:val="24"/>
      <w:lang w:val="en-US" w:eastAsia="zh-CN" w:bidi="ar"/>
    </w:rPr>
  </w:style>
  <w:style w:type="table" w:styleId="4">
    <w:name w:val="Table Grid"/>
    <w:basedOn w:val="3"/>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6">
    <w:name w:val="Strong"/>
    <w:basedOn w:val="5"/>
    <w:qFormat/>
    <w:uiPriority w:val="0"/>
    <w:rPr>
      <w:b/>
    </w:rPr>
  </w:style>
  <w:style w:type="character" w:styleId="7">
    <w:name w:val="FollowedHyperlink"/>
    <w:basedOn w:val="5"/>
    <w:qFormat/>
    <w:uiPriority w:val="0"/>
    <w:rPr>
      <w:color w:val="333333"/>
      <w:u w:val="none"/>
    </w:rPr>
  </w:style>
  <w:style w:type="character" w:styleId="8">
    <w:name w:val="Emphasis"/>
    <w:basedOn w:val="5"/>
    <w:qFormat/>
    <w:uiPriority w:val="0"/>
    <w:rPr>
      <w:sz w:val="24"/>
      <w:szCs w:val="24"/>
    </w:rPr>
  </w:style>
  <w:style w:type="character" w:styleId="9">
    <w:name w:val="Hyperlink"/>
    <w:basedOn w:val="5"/>
    <w:qFormat/>
    <w:uiPriority w:val="0"/>
    <w:rPr>
      <w:color w:val="333333"/>
      <w:u w:val="none"/>
    </w:rPr>
  </w:style>
  <w:style w:type="character" w:customStyle="1" w:styleId="10">
    <w:name w:val="o7"/>
    <w:basedOn w:val="5"/>
    <w:qFormat/>
    <w:uiPriority w:val="0"/>
  </w:style>
  <w:style w:type="character" w:customStyle="1" w:styleId="11">
    <w:name w:val="o2"/>
    <w:basedOn w:val="5"/>
    <w:qFormat/>
    <w:uiPriority w:val="0"/>
  </w:style>
  <w:style w:type="character" w:customStyle="1" w:styleId="12">
    <w:name w:val="o6"/>
    <w:basedOn w:val="5"/>
    <w:qFormat/>
    <w:uiPriority w:val="0"/>
  </w:style>
  <w:style w:type="character" w:customStyle="1" w:styleId="13">
    <w:name w:val="o5"/>
    <w:basedOn w:val="5"/>
    <w:qFormat/>
    <w:uiPriority w:val="0"/>
  </w:style>
  <w:style w:type="character" w:customStyle="1" w:styleId="14">
    <w:name w:val="o8"/>
    <w:basedOn w:val="5"/>
    <w:qFormat/>
    <w:uiPriority w:val="0"/>
  </w:style>
  <w:style w:type="character" w:customStyle="1" w:styleId="15">
    <w:name w:val="o1"/>
    <w:basedOn w:val="5"/>
    <w:qFormat/>
    <w:uiPriority w:val="0"/>
  </w:style>
  <w:style w:type="character" w:customStyle="1" w:styleId="16">
    <w:name w:val="hover3"/>
    <w:basedOn w:val="5"/>
    <w:qFormat/>
    <w:uiPriority w:val="0"/>
    <w:rPr>
      <w:color w:val="FF7400"/>
    </w:rPr>
  </w:style>
  <w:style w:type="character" w:customStyle="1" w:styleId="17">
    <w:name w:val="hover4"/>
    <w:basedOn w:val="5"/>
    <w:qFormat/>
    <w:uiPriority w:val="0"/>
    <w:rPr>
      <w:color w:val="FF7400"/>
    </w:rPr>
  </w:style>
  <w:style w:type="character" w:customStyle="1" w:styleId="18">
    <w:name w:val="active2"/>
    <w:basedOn w:val="5"/>
    <w:qFormat/>
    <w:uiPriority w:val="0"/>
    <w:rPr>
      <w:color w:val="FF7400"/>
    </w:rPr>
  </w:style>
  <w:style w:type="character" w:customStyle="1" w:styleId="19">
    <w:name w:val="selecttime"/>
    <w:basedOn w:val="5"/>
    <w:qFormat/>
    <w:uiPriority w:val="0"/>
    <w:rPr>
      <w:color w:val="555555"/>
    </w:rPr>
  </w:style>
  <w:style w:type="character" w:customStyle="1" w:styleId="20">
    <w:name w:val="o4"/>
    <w:basedOn w:val="5"/>
    <w:qFormat/>
    <w:uiPriority w:val="0"/>
  </w:style>
  <w:style w:type="character" w:customStyle="1" w:styleId="21">
    <w:name w:val="o3"/>
    <w:basedOn w:val="5"/>
    <w:qFormat/>
    <w:uiPriority w:val="0"/>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jpeg"/><Relationship Id="rId7" Type="http://schemas.openxmlformats.org/officeDocument/2006/relationships/image" Target="media/image4.pn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1" Type="http://schemas.openxmlformats.org/officeDocument/2006/relationships/fontTable" Target="fontTable.xml"/><Relationship Id="rId10" Type="http://schemas.openxmlformats.org/officeDocument/2006/relationships/numbering" Target="numbering.xml"/><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10</Pages>
  <Words>2760</Words>
  <Characters>2870</Characters>
  <Lines>0</Lines>
  <Paragraphs>0</Paragraphs>
  <TotalTime>13</TotalTime>
  <ScaleCrop>false</ScaleCrop>
  <LinksUpToDate>false</LinksUpToDate>
  <CharactersWithSpaces>2874</CharactersWithSpaces>
  <Application>WPS Office_11.1.0.12019_F1E327BC-269C-435d-A152-05C5408002CA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2022-01-04T07:01:00Z</dcterms:created>
  <dc:creator>Lenovo009</dc:creator>
  <cp:lastModifiedBy>一依</cp:lastModifiedBy>
  <dcterms:modified xsi:type="dcterms:W3CDTF">2022-08-31T08:33:31Z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2052-11.1.0.12019</vt:lpwstr>
  </property>
  <property fmtid="{D5CDD505-2E9C-101B-9397-08002B2CF9AE}" pid="3" name="ICV">
    <vt:lpwstr>CC71305723C8446D9798C3FD46A714D0</vt:lpwstr>
  </property>
</Properties>
</file>