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淄博经济开发区管理委员会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2</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年政府信息公开工作年度报告</w:t>
      </w:r>
    </w:p>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560" w:lineRule="exact"/>
        <w:ind w:left="0" w:leftChars="0" w:right="0" w:firstLine="688"/>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本年度报告根据《中华人民共和国政府信息公开条例》和《国务院办公厅政府信息与政务公开办公室关于印发&lt;中华人民共和国政府信息公开工作年度报告格式&gt;的通知》（国办公开办函〔2021〕30号）相关要求编制并向社会公开。</w:t>
      </w:r>
      <w:r>
        <w:rPr>
          <w:rFonts w:hint="default" w:ascii="Times New Roman" w:hAnsi="Times New Roman" w:eastAsia="仿宋_GB2312" w:cs="Times New Roman"/>
          <w:caps w:val="0"/>
          <w:color w:val="000000" w:themeColor="text1"/>
          <w:spacing w:val="12"/>
          <w:sz w:val="32"/>
          <w:szCs w:val="32"/>
          <w14:textFill>
            <w14:solidFill>
              <w14:schemeClr w14:val="tx1"/>
            </w14:solidFill>
          </w14:textFill>
        </w:rPr>
        <w:t>报告全文由总体情况，主动公开政府信息情况，收到和处理政府信息公开申请情况，政府信息公开行政复议</w:t>
      </w:r>
      <w:r>
        <w:rPr>
          <w:rFonts w:hint="default" w:ascii="Times New Roman" w:hAnsi="Times New Roman" w:eastAsia="仿宋_GB2312" w:cs="Times New Roman"/>
          <w:caps w:val="0"/>
          <w:color w:val="000000" w:themeColor="text1"/>
          <w:spacing w:val="12"/>
          <w:sz w:val="32"/>
          <w:szCs w:val="32"/>
          <w:lang w:val="en-US" w:eastAsia="zh-CN"/>
          <w14:textFill>
            <w14:solidFill>
              <w14:schemeClr w14:val="tx1"/>
            </w14:solidFill>
          </w14:textFill>
        </w:rPr>
        <w:t>和</w:t>
      </w:r>
      <w:r>
        <w:rPr>
          <w:rFonts w:hint="default" w:ascii="Times New Roman" w:hAnsi="Times New Roman" w:eastAsia="仿宋_GB2312" w:cs="Times New Roman"/>
          <w:caps w:val="0"/>
          <w:color w:val="000000" w:themeColor="text1"/>
          <w:spacing w:val="12"/>
          <w:sz w:val="32"/>
          <w:szCs w:val="32"/>
          <w14:textFill>
            <w14:solidFill>
              <w14:schemeClr w14:val="tx1"/>
            </w14:solidFill>
          </w14:textFill>
        </w:rPr>
        <w:t>行政诉讼情况，存在的主要问题及改进情况，其他需要报告的事项六个部分组成。</w:t>
      </w: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统计数据的期限自202</w:t>
      </w:r>
      <w:r>
        <w:rPr>
          <w:rFonts w:hint="default" w:ascii="Times New Roman" w:hAnsi="Times New Roman" w:eastAsia="仿宋_GB2312" w:cs="Times New Roman"/>
          <w:caps w:val="0"/>
          <w:color w:val="000000" w:themeColor="text1"/>
          <w:spacing w:val="12"/>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年1月1日至202</w:t>
      </w:r>
      <w:r>
        <w:rPr>
          <w:rFonts w:hint="default" w:ascii="Times New Roman" w:hAnsi="Times New Roman" w:eastAsia="仿宋_GB2312" w:cs="Times New Roman"/>
          <w:caps w:val="0"/>
          <w:color w:val="000000" w:themeColor="text1"/>
          <w:spacing w:val="12"/>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560" w:lineRule="exact"/>
        <w:ind w:left="0" w:leftChars="0" w:right="0" w:firstLine="686"/>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本报告电子版可在</w:t>
      </w:r>
      <w:r>
        <w:rPr>
          <w:rFonts w:hint="default" w:ascii="Times New Roman" w:hAnsi="Times New Roman" w:eastAsia="仿宋_GB2312" w:cs="Times New Roman"/>
          <w:caps w:val="0"/>
          <w:color w:val="000000" w:themeColor="text1"/>
          <w:spacing w:val="0"/>
          <w:sz w:val="32"/>
          <w:szCs w:val="32"/>
          <w:shd w:val="clear" w:fill="FFFFFF"/>
          <w14:textFill>
            <w14:solidFill>
              <w14:schemeClr w14:val="tx1"/>
            </w14:solidFill>
          </w14:textFill>
        </w:rPr>
        <w:t>淄博经济开发管理委员会官网(http://www.zbjkq.gov.cn)下载</w:t>
      </w: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。如对报告内容有疑问，请与经开区管理委员会办公室联系（地址：</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淄博市张店区</w:t>
      </w:r>
      <w:r>
        <w:rPr>
          <w:rFonts w:hint="default" w:ascii="Times New Roman" w:hAnsi="Times New Roman" w:eastAsia="仿宋_GB2312" w:cs="Times New Roman"/>
          <w:caps w:val="0"/>
          <w:color w:val="000000" w:themeColor="text1"/>
          <w:spacing w:val="0"/>
          <w:sz w:val="32"/>
          <w:szCs w:val="32"/>
          <w:lang w:val="en-US" w:eastAsia="zh-CN"/>
          <w14:textFill>
            <w14:solidFill>
              <w14:schemeClr w14:val="tx1"/>
            </w14:solidFill>
          </w14:textFill>
        </w:rPr>
        <w:t>复兴路</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和</w:t>
      </w:r>
      <w:r>
        <w:rPr>
          <w:rFonts w:hint="default" w:ascii="Times New Roman" w:hAnsi="Times New Roman" w:eastAsia="仿宋_GB2312" w:cs="Times New Roman"/>
          <w:caps w:val="0"/>
          <w:color w:val="000000" w:themeColor="text1"/>
          <w:spacing w:val="0"/>
          <w:sz w:val="32"/>
          <w:szCs w:val="32"/>
          <w:lang w:val="en-US" w:eastAsia="zh-CN"/>
          <w14:textFill>
            <w14:solidFill>
              <w14:schemeClr w14:val="tx1"/>
            </w14:solidFill>
          </w14:textFill>
        </w:rPr>
        <w:t>重庆</w:t>
      </w:r>
      <w:r>
        <w:rPr>
          <w:rFonts w:hint="default" w:ascii="Times New Roman" w:hAnsi="Times New Roman" w:eastAsia="仿宋_GB2312" w:cs="Times New Roman"/>
          <w:caps w:val="0"/>
          <w:color w:val="000000" w:themeColor="text1"/>
          <w:spacing w:val="0"/>
          <w:sz w:val="32"/>
          <w:szCs w:val="32"/>
          <w14:textFill>
            <w14:solidFill>
              <w14:schemeClr w14:val="tx1"/>
            </w14:solidFill>
          </w14:textFill>
        </w:rPr>
        <w:t>路路口东</w:t>
      </w:r>
      <w:r>
        <w:rPr>
          <w:rFonts w:hint="default" w:ascii="Times New Roman" w:hAnsi="Times New Roman" w:eastAsia="仿宋_GB2312" w:cs="Times New Roman"/>
          <w:caps w:val="0"/>
          <w:color w:val="000000" w:themeColor="text1"/>
          <w:spacing w:val="0"/>
          <w:sz w:val="32"/>
          <w:szCs w:val="32"/>
          <w:lang w:val="en-US" w:eastAsia="zh-CN"/>
          <w14:textFill>
            <w14:solidFill>
              <w14:schemeClr w14:val="tx1"/>
            </w14:solidFill>
          </w14:textFill>
        </w:rPr>
        <w:t>南角</w:t>
      </w:r>
      <w:r>
        <w:rPr>
          <w:rFonts w:hint="default" w:ascii="Times New Roman" w:hAnsi="Times New Roman" w:eastAsia="仿宋_GB2312" w:cs="Times New Roman"/>
          <w:caps w:val="0"/>
          <w:color w:val="000000" w:themeColor="text1"/>
          <w:spacing w:val="0"/>
          <w:sz w:val="32"/>
          <w:szCs w:val="32"/>
          <w:shd w:val="clear" w:fill="FFFFFF"/>
          <w14:textFill>
            <w14:solidFill>
              <w14:schemeClr w14:val="tx1"/>
            </w14:solidFill>
          </w14:textFill>
        </w:rPr>
        <w:t>；邮编：255000；联系电话：0533-78</w:t>
      </w:r>
      <w:r>
        <w:rPr>
          <w:rFonts w:hint="default" w:ascii="Times New Roman" w:hAnsi="Times New Roman" w:eastAsia="仿宋_GB2312" w:cs="Times New Roman"/>
          <w:caps w:val="0"/>
          <w:color w:val="000000" w:themeColor="text1"/>
          <w:spacing w:val="0"/>
          <w:sz w:val="32"/>
          <w:szCs w:val="32"/>
          <w:shd w:val="clear" w:fill="FFFFFF"/>
          <w:lang w:val="en-US" w:eastAsia="zh-CN"/>
          <w14:textFill>
            <w14:solidFill>
              <w14:schemeClr w14:val="tx1"/>
            </w14:solidFill>
          </w14:textFill>
        </w:rPr>
        <w:t>70969</w:t>
      </w:r>
      <w:r>
        <w:rPr>
          <w:rFonts w:hint="default" w:ascii="Times New Roman" w:hAnsi="Times New Roman" w:eastAsia="仿宋_GB2312" w:cs="Times New Roman"/>
          <w:caps w:val="0"/>
          <w:color w:val="000000" w:themeColor="text1"/>
          <w:spacing w:val="0"/>
          <w:sz w:val="32"/>
          <w:szCs w:val="32"/>
          <w:shd w:val="clear" w:fill="FFFFFF"/>
          <w14:textFill>
            <w14:solidFill>
              <w14:schemeClr w14:val="tx1"/>
            </w14:solidFill>
          </w14:textFill>
        </w:rPr>
        <w:t>；传真：0533-7870179；电子信箱zibojingkaiqubangongshi@zb.shandong.cn</w:t>
      </w:r>
      <w:r>
        <w:rPr>
          <w:rFonts w:hint="default" w:ascii="Times New Roman" w:hAnsi="Times New Roman" w:eastAsia="仿宋_GB2312" w:cs="Times New Roman"/>
          <w:caps w:val="0"/>
          <w:color w:val="000000" w:themeColor="text1"/>
          <w:spacing w:val="12"/>
          <w:sz w:val="32"/>
          <w:szCs w:val="32"/>
          <w:shd w:val="clear" w:fill="FFFFFF"/>
          <w14:textFill>
            <w14:solidFill>
              <w14:schemeClr w14:val="tx1"/>
            </w14:solidFill>
          </w14:textFill>
        </w:rPr>
        <w:t>）。</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leftChars="0" w:firstLine="641"/>
        <w:jc w:val="left"/>
        <w:textAlignment w:val="auto"/>
      </w:pPr>
      <w:r>
        <w:rPr>
          <w:rFonts w:ascii="黑体" w:hAnsi="宋体" w:eastAsia="黑体" w:cs="黑体"/>
          <w:sz w:val="32"/>
          <w:szCs w:val="32"/>
        </w:rPr>
        <w:t>一、</w:t>
      </w:r>
      <w:r>
        <w:rPr>
          <w:rFonts w:hint="eastAsia" w:ascii="黑体" w:hAnsi="宋体" w:eastAsia="黑体" w:cs="黑体"/>
          <w:sz w:val="32"/>
          <w:szCs w:val="32"/>
        </w:rPr>
        <w:t>总体情况</w:t>
      </w:r>
    </w:p>
    <w:p>
      <w:pPr>
        <w:pStyle w:val="3"/>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firstLine="641"/>
        <w:jc w:val="left"/>
        <w:textAlignment w:val="auto"/>
        <w:rPr>
          <w:rFonts w:hint="eastAsia" w:ascii="仿宋_GB2312" w:eastAsia="仿宋_GB2312" w:cs="仿宋_GB2312"/>
          <w:caps w:val="0"/>
          <w:color w:val="000000" w:themeColor="text1"/>
          <w:spacing w:val="0"/>
          <w:sz w:val="31"/>
          <w:szCs w:val="31"/>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202</w:t>
      </w: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val="en-US" w:eastAsia="zh-CN"/>
          <w14:textFill>
            <w14:solidFill>
              <w14:schemeClr w14:val="tx1"/>
            </w14:solidFill>
          </w14:textFill>
        </w:rPr>
        <w:t>经开区管委会</w:t>
      </w:r>
      <w:r>
        <w:rPr>
          <w:rFonts w:hint="eastAsia" w:ascii="仿宋_GB2312" w:eastAsia="仿宋_GB2312" w:cs="仿宋_GB2312"/>
          <w:caps w:val="0"/>
          <w:color w:val="000000" w:themeColor="text1"/>
          <w:spacing w:val="0"/>
          <w:sz w:val="31"/>
          <w:szCs w:val="31"/>
          <w14:textFill>
            <w14:solidFill>
              <w14:schemeClr w14:val="tx1"/>
            </w14:solidFill>
          </w14:textFill>
        </w:rPr>
        <w:t>严格按照国家、省、市的统一部署，认真贯彻落实上级关于政务公开工作的要求，进一步加强组织领导，完善</w:t>
      </w:r>
      <w:r>
        <w:rPr>
          <w:rFonts w:hint="eastAsia" w:ascii="仿宋_GB2312" w:eastAsia="仿宋_GB2312" w:cs="仿宋_GB2312"/>
          <w:caps w:val="0"/>
          <w:color w:val="000000" w:themeColor="text1"/>
          <w:spacing w:val="0"/>
          <w:sz w:val="31"/>
          <w:szCs w:val="31"/>
          <w:lang w:eastAsia="zh-CN"/>
          <w14:textFill>
            <w14:solidFill>
              <w14:schemeClr w14:val="tx1"/>
            </w14:solidFill>
          </w14:textFill>
        </w:rPr>
        <w:t>体制机制</w:t>
      </w:r>
      <w:r>
        <w:rPr>
          <w:rFonts w:hint="eastAsia" w:ascii="仿宋_GB2312" w:eastAsia="仿宋_GB2312" w:cs="仿宋_GB2312"/>
          <w:caps w:val="0"/>
          <w:color w:val="000000" w:themeColor="text1"/>
          <w:spacing w:val="0"/>
          <w:sz w:val="31"/>
          <w:szCs w:val="31"/>
          <w14:textFill>
            <w14:solidFill>
              <w14:schemeClr w14:val="tx1"/>
            </w14:solidFill>
          </w14:textFill>
        </w:rPr>
        <w:t>，深化公开内容，拓展公开载体，创新公开形式，切实加大政府信息公开监督保障力度，进一步推进行政决策、执行、管理、服务和结果全过程公开，为建设法治政府、创新政府、廉洁政府和服务型政府提供了有力保障。</w:t>
      </w:r>
    </w:p>
    <w:p>
      <w:pPr>
        <w:pStyle w:val="3"/>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rightChars="0" w:firstLine="688" w:firstLineChars="200"/>
        <w:jc w:val="left"/>
        <w:textAlignment w:val="auto"/>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pPr>
      <w:r>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t>（一）扎实推进主动公开</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88" w:firstLineChars="200"/>
        <w:jc w:val="left"/>
        <w:textAlignment w:val="auto"/>
        <w:rPr>
          <w:rFonts w:hint="eastAsia" w:eastAsia="仿宋_GB2312"/>
          <w:b w:val="0"/>
          <w:bCs w:val="0"/>
          <w:color w:val="auto"/>
          <w:sz w:val="32"/>
          <w:szCs w:val="32"/>
          <w:lang w:eastAsia="zh-CN"/>
        </w:rPr>
      </w:pPr>
      <w:r>
        <w:rPr>
          <w:rFonts w:hint="eastAsia" w:ascii="仿宋_GB2312" w:eastAsia="仿宋_GB2312" w:cs="仿宋_GB2312"/>
          <w:color w:val="000000" w:themeColor="text1"/>
          <w:spacing w:val="12"/>
          <w:sz w:val="32"/>
          <w:szCs w:val="32"/>
          <w:lang w:val="en-US" w:eastAsia="zh-CN"/>
          <w14:textFill>
            <w14:solidFill>
              <w14:schemeClr w14:val="tx1"/>
            </w14:solidFill>
          </w14:textFill>
        </w:rPr>
        <w:t>经开区管委会</w:t>
      </w:r>
      <w:r>
        <w:rPr>
          <w:rFonts w:hint="eastAsia" w:ascii="仿宋_GB2312" w:eastAsia="仿宋_GB2312" w:cs="仿宋_GB2312"/>
          <w:color w:val="000000" w:themeColor="text1"/>
          <w:spacing w:val="12"/>
          <w:sz w:val="32"/>
          <w:szCs w:val="32"/>
          <w14:textFill>
            <w14:solidFill>
              <w14:schemeClr w14:val="tx1"/>
            </w14:solidFill>
          </w14:textFill>
        </w:rPr>
        <w:t>按照《条例》第二十条和第二十一条规定主动公开政府信息并加强建设政府信息公开制度，通过政府网站共发布信息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1491</w:t>
      </w:r>
      <w:r>
        <w:rPr>
          <w:rFonts w:hint="eastAsia" w:ascii="仿宋_GB2312" w:eastAsia="仿宋_GB2312" w:cs="仿宋_GB2312"/>
          <w:color w:val="000000" w:themeColor="text1"/>
          <w:spacing w:val="12"/>
          <w:sz w:val="32"/>
          <w:szCs w:val="32"/>
          <w14:textFill>
            <w14:solidFill>
              <w14:schemeClr w14:val="tx1"/>
            </w14:solidFill>
          </w14:textFill>
        </w:rPr>
        <w:t>条</w:t>
      </w:r>
      <w:r>
        <w:rPr>
          <w:rFonts w:hint="eastAsia" w:ascii="仿宋_GB2312" w:eastAsia="仿宋_GB2312" w:cs="仿宋_GB2312"/>
          <w:color w:val="000000" w:themeColor="text1"/>
          <w:spacing w:val="12"/>
          <w:sz w:val="32"/>
          <w:szCs w:val="32"/>
          <w:lang w:eastAsia="zh-CN"/>
          <w14:textFill>
            <w14:solidFill>
              <w14:schemeClr w14:val="tx1"/>
            </w14:solidFill>
          </w14:textFill>
        </w:rPr>
        <w:t>。</w:t>
      </w:r>
      <w:r>
        <w:rPr>
          <w:rFonts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建立</w:t>
      </w:r>
      <w:r>
        <w:rPr>
          <w:rFonts w:hint="eastAsia"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公共企事业单位专题专栏，全面集中公开教育领域、卫生健康领域、供水等领域的公共企事业单位信息；</w:t>
      </w:r>
      <w:r>
        <w:rPr>
          <w:rFonts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设立疫情防控专栏，集中公开</w:t>
      </w:r>
      <w:r>
        <w:rPr>
          <w:rFonts w:hint="eastAsia" w:ascii="仿宋_GB2312" w:hAnsi="宋体" w:eastAsia="仿宋_GB2312" w:cs="仿宋_GB2312"/>
          <w:b w:val="0"/>
          <w:bCs w:val="0"/>
          <w:i w:val="0"/>
          <w:iCs w:val="0"/>
          <w:caps w:val="0"/>
          <w:color w:val="000000" w:themeColor="text1"/>
          <w:spacing w:val="0"/>
          <w:sz w:val="32"/>
          <w:szCs w:val="32"/>
          <w:lang w:eastAsia="zh-CN"/>
          <w14:textFill>
            <w14:solidFill>
              <w14:schemeClr w14:val="tx1"/>
            </w14:solidFill>
          </w14:textFill>
        </w:rPr>
        <w:t>各级</w:t>
      </w:r>
      <w:r>
        <w:rPr>
          <w:rFonts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政策文件，发布隔离管控、精准防控、疫苗接种等权威信息，梳理并分类发布行业帮扶政策；</w:t>
      </w:r>
      <w:r>
        <w:rPr>
          <w:rFonts w:hint="eastAsia"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建设涉农补贴、稳岗就业、义务教育、</w:t>
      </w:r>
      <w:r>
        <w:rPr>
          <w:rFonts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食品药品监管</w:t>
      </w:r>
      <w:r>
        <w:rPr>
          <w:rFonts w:hint="eastAsia" w:ascii="仿宋_GB2312" w:hAnsi="宋体" w:eastAsia="仿宋_GB2312" w:cs="仿宋_GB2312"/>
          <w:b w:val="0"/>
          <w:bCs w:val="0"/>
          <w:i w:val="0"/>
          <w:iCs w:val="0"/>
          <w:caps w:val="0"/>
          <w:color w:val="000000" w:themeColor="text1"/>
          <w:spacing w:val="0"/>
          <w:sz w:val="32"/>
          <w:szCs w:val="32"/>
          <w14:textFill>
            <w14:solidFill>
              <w14:schemeClr w14:val="tx1"/>
            </w14:solidFill>
          </w14:textFill>
        </w:rPr>
        <w:t>等专题</w:t>
      </w:r>
      <w:r>
        <w:rPr>
          <w:rFonts w:hint="eastAsia" w:ascii="仿宋_GB2312" w:hAnsi="宋体" w:eastAsia="仿宋_GB2312" w:cs="仿宋_GB2312"/>
          <w:b w:val="0"/>
          <w:bCs w:val="0"/>
          <w:i w:val="0"/>
          <w:iCs w:val="0"/>
          <w:caps w:val="0"/>
          <w:color w:val="000000" w:themeColor="text1"/>
          <w:spacing w:val="0"/>
          <w:sz w:val="32"/>
          <w:szCs w:val="32"/>
          <w:lang w:val="en-US" w:eastAsia="zh-CN"/>
          <w14:textFill>
            <w14:solidFill>
              <w14:schemeClr w14:val="tx1"/>
            </w14:solidFill>
          </w14:textFill>
        </w:rPr>
        <w:t>信息公开。</w:t>
      </w:r>
      <w:r>
        <w:rPr>
          <w:rFonts w:hint="eastAsia" w:ascii="仿宋_GB2312" w:eastAsia="仿宋_GB2312" w:cs="仿宋_GB2312"/>
          <w:b w:val="0"/>
          <w:bCs w:val="0"/>
          <w:caps w:val="0"/>
          <w:color w:val="auto"/>
          <w:spacing w:val="0"/>
          <w:sz w:val="32"/>
          <w:szCs w:val="32"/>
          <w:lang w:eastAsia="zh-CN"/>
        </w:rPr>
        <w:t>进一步做好政民互动栏目建设，主动公开办件办理结果，不断加强回应关切力度。</w:t>
      </w:r>
    </w:p>
    <w:p>
      <w:pPr>
        <w:pStyle w:val="3"/>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rightChars="0" w:firstLine="688" w:firstLineChars="200"/>
        <w:jc w:val="left"/>
        <w:textAlignment w:val="auto"/>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pPr>
      <w:r>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t>（二）依法开展依申请公开</w:t>
      </w:r>
    </w:p>
    <w:p>
      <w:pPr>
        <w:pStyle w:val="3"/>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aps w:val="0"/>
          <w:color w:val="000000" w:themeColor="text1"/>
          <w:spacing w:val="0"/>
          <w:sz w:val="32"/>
          <w:szCs w:val="32"/>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为提升依申请公开答复质量，下发编制模板规范全区各</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各部门信息公开指南</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aps w:val="0"/>
          <w:color w:val="000000" w:themeColor="text1"/>
          <w:spacing w:val="0"/>
          <w:sz w:val="32"/>
          <w:szCs w:val="32"/>
          <w14:textFill>
            <w14:solidFill>
              <w14:schemeClr w14:val="tx1"/>
            </w14:solidFill>
          </w14:textFill>
        </w:rPr>
        <w:t>全区共收到依申请公开信息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aps w:val="0"/>
          <w:color w:val="000000" w:themeColor="text1"/>
          <w:spacing w:val="0"/>
          <w:sz w:val="32"/>
          <w:szCs w:val="32"/>
          <w14:textFill>
            <w14:solidFill>
              <w14:schemeClr w14:val="tx1"/>
            </w14:solidFill>
          </w14:textFill>
        </w:rPr>
        <w:t>件，</w:t>
      </w:r>
      <w:r>
        <w:rPr>
          <w:rFonts w:hint="eastAsia" w:ascii="仿宋_GB2312" w:hAnsi="仿宋_GB2312" w:eastAsia="仿宋_GB2312" w:cs="仿宋_GB2312"/>
          <w:b w:val="0"/>
          <w:bCs w:val="0"/>
          <w:caps w:val="0"/>
          <w:color w:val="auto"/>
          <w:spacing w:val="0"/>
          <w:sz w:val="32"/>
          <w:szCs w:val="32"/>
          <w:lang w:eastAsia="zh-CN"/>
        </w:rPr>
        <w:t>主要涉及</w:t>
      </w:r>
      <w:r>
        <w:rPr>
          <w:rFonts w:hint="eastAsia" w:ascii="仿宋_GB2312" w:hAnsi="仿宋_GB2312" w:eastAsia="仿宋_GB2312" w:cs="仿宋_GB2312"/>
          <w:b w:val="0"/>
          <w:bCs w:val="0"/>
          <w:caps w:val="0"/>
          <w:color w:val="auto"/>
          <w:spacing w:val="0"/>
          <w:sz w:val="32"/>
          <w:szCs w:val="32"/>
          <w:lang w:val="en-US" w:eastAsia="zh-CN"/>
        </w:rPr>
        <w:t>土地征收和补偿安置等方面，</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与</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去</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年相比数量</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增加5</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件</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p>
    <w:p>
      <w:pPr>
        <w:pStyle w:val="3"/>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drawing>
          <wp:anchor distT="0" distB="0" distL="114300" distR="114300" simplePos="0" relativeHeight="251658240" behindDoc="1" locked="0" layoutInCell="1" allowOverlap="1">
            <wp:simplePos x="0" y="0"/>
            <wp:positionH relativeFrom="column">
              <wp:posOffset>391795</wp:posOffset>
            </wp:positionH>
            <wp:positionV relativeFrom="page">
              <wp:posOffset>7146925</wp:posOffset>
            </wp:positionV>
            <wp:extent cx="4572000" cy="2533015"/>
            <wp:effectExtent l="4445" t="4445" r="14605" b="15240"/>
            <wp:wrapTight wrapText="bothSides">
              <wp:wrapPolygon>
                <wp:start x="-21" y="-38"/>
                <wp:lineTo x="-21" y="21405"/>
                <wp:lineTo x="21579" y="21405"/>
                <wp:lineTo x="21579" y="-38"/>
                <wp:lineTo x="-21" y="-38"/>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rightChars="0" w:firstLine="688" w:firstLineChars="200"/>
        <w:jc w:val="left"/>
        <w:textAlignment w:val="auto"/>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pPr>
      <w:r>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t>（三）全面加强政府信息管理</w:t>
      </w:r>
    </w:p>
    <w:p>
      <w:pPr>
        <w:pStyle w:val="3"/>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firstLine="691"/>
        <w:jc w:val="both"/>
        <w:textAlignment w:val="auto"/>
        <w:rPr>
          <w:rFonts w:hint="eastAsia" w:ascii="仿宋_GB2312" w:hAnsi="宋体" w:eastAsia="仿宋_GB2312" w:cs="仿宋_GB2312"/>
          <w:i w:val="0"/>
          <w:iCs w:val="0"/>
          <w:caps w:val="0"/>
          <w:color w:val="000000" w:themeColor="text1"/>
          <w:spacing w:val="0"/>
          <w:sz w:val="32"/>
          <w:szCs w:val="32"/>
          <w14:textFill>
            <w14:solidFill>
              <w14:schemeClr w14:val="tx1"/>
            </w14:solidFill>
          </w14:textFill>
        </w:rPr>
      </w:pPr>
      <w:r>
        <w:rPr>
          <w:rFonts w:ascii="仿宋_GB2312" w:hAnsi="宋体" w:eastAsia="仿宋_GB2312" w:cs="仿宋_GB2312"/>
          <w:i w:val="0"/>
          <w:iCs w:val="0"/>
          <w:caps w:val="0"/>
          <w:color w:val="000000" w:themeColor="text1"/>
          <w:spacing w:val="0"/>
          <w:sz w:val="32"/>
          <w:szCs w:val="32"/>
          <w14:textFill>
            <w14:solidFill>
              <w14:schemeClr w14:val="tx1"/>
            </w14:solidFill>
          </w14:textFill>
        </w:rPr>
        <w:t>建立健全政府信息发布的保密审查机制，全年未发生在政府信息公开过程中公布涉密文件和泄密的情况</w:t>
      </w:r>
      <w:r>
        <w:rPr>
          <w:rFonts w:hint="eastAsia" w:ascii="仿宋_GB2312" w:hAnsi="宋体" w:eastAsia="仿宋_GB2312" w:cs="仿宋_GB2312"/>
          <w:i w:val="0"/>
          <w:iCs w:val="0"/>
          <w:caps w:val="0"/>
          <w:color w:val="000000" w:themeColor="text1"/>
          <w:spacing w:val="0"/>
          <w:sz w:val="32"/>
          <w:szCs w:val="32"/>
          <w14:textFill>
            <w14:solidFill>
              <w14:schemeClr w14:val="tx1"/>
            </w14:solidFill>
          </w14:textFill>
        </w:rPr>
        <w:t>。组织全区各部门集中上传20</w:t>
      </w:r>
      <w:r>
        <w:rPr>
          <w:rFonts w:hint="eastAsia" w:ascii="仿宋_GB2312" w:hAnsi="宋体" w:eastAsia="仿宋_GB2312" w:cs="仿宋_GB2312"/>
          <w:i w:val="0"/>
          <w:iCs w:val="0"/>
          <w:caps w:val="0"/>
          <w:color w:val="000000" w:themeColor="text1"/>
          <w:spacing w:val="0"/>
          <w:sz w:val="32"/>
          <w:szCs w:val="32"/>
          <w:lang w:val="en-US" w:eastAsia="zh-CN"/>
          <w14:textFill>
            <w14:solidFill>
              <w14:schemeClr w14:val="tx1"/>
            </w14:solidFill>
          </w14:textFill>
        </w:rPr>
        <w:t>20</w:t>
      </w:r>
      <w:r>
        <w:rPr>
          <w:rFonts w:hint="eastAsia" w:ascii="仿宋_GB2312" w:hAnsi="宋体" w:eastAsia="仿宋_GB2312" w:cs="仿宋_GB2312"/>
          <w:i w:val="0"/>
          <w:iCs w:val="0"/>
          <w:caps w:val="0"/>
          <w:color w:val="000000" w:themeColor="text1"/>
          <w:spacing w:val="0"/>
          <w:sz w:val="32"/>
          <w:szCs w:val="32"/>
          <w14:textFill>
            <w14:solidFill>
              <w14:schemeClr w14:val="tx1"/>
            </w14:solidFill>
          </w14:textFill>
        </w:rPr>
        <w:t>年至今的政府政策性文件，重新梳理发布规范性文件。更新政府信息主动公开目录，进一步完善基层政务公开标准事项目录专题内容，明确公开信息，健全政府信息全生命周期管理制度，确保应公开尽公开。</w:t>
      </w:r>
    </w:p>
    <w:p>
      <w:pPr>
        <w:pStyle w:val="3"/>
        <w:keepNext w:val="0"/>
        <w:keepLines w:val="0"/>
        <w:pageBreakBefore w:val="0"/>
        <w:widowControl/>
        <w:numPr>
          <w:ilvl w:val="0"/>
          <w:numId w:val="0"/>
        </w:numPr>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rightChars="0" w:firstLine="688" w:firstLineChars="200"/>
        <w:jc w:val="left"/>
        <w:textAlignment w:val="auto"/>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pPr>
      <w:r>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t>（四）不断优化政府信息公开平台建设</w:t>
      </w:r>
    </w:p>
    <w:p>
      <w:pPr>
        <w:pStyle w:val="3"/>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firstLine="620"/>
        <w:jc w:val="both"/>
        <w:textAlignment w:val="auto"/>
        <w:rPr>
          <w:sz w:val="32"/>
          <w:szCs w:val="32"/>
        </w:rPr>
      </w:pPr>
      <w:r>
        <w:rPr>
          <w:rFonts w:hint="eastAsia" w:ascii="仿宋_GB2312" w:eastAsia="仿宋_GB2312" w:cs="仿宋_GB2312"/>
          <w:b/>
          <w:bCs/>
          <w:caps w:val="0"/>
          <w:color w:val="333333"/>
          <w:spacing w:val="0"/>
          <w:sz w:val="32"/>
          <w:szCs w:val="32"/>
        </w:rPr>
        <w:t>一是</w:t>
      </w:r>
      <w:r>
        <w:rPr>
          <w:rFonts w:hint="eastAsia" w:ascii="仿宋_GB2312" w:eastAsia="仿宋_GB2312" w:cs="仿宋_GB2312"/>
          <w:caps w:val="0"/>
          <w:color w:val="000000" w:themeColor="text1"/>
          <w:spacing w:val="0"/>
          <w:sz w:val="32"/>
          <w:szCs w:val="32"/>
          <w14:textFill>
            <w14:solidFill>
              <w14:schemeClr w14:val="tx1"/>
            </w14:solidFill>
          </w14:textFill>
        </w:rPr>
        <w:t>充分利用政务公开平台进行政府信息公开，对所设置栏目按照要求及时进行内容维护。</w:t>
      </w:r>
      <w:r>
        <w:rPr>
          <w:rFonts w:hint="eastAsia" w:ascii="仿宋_GB2312" w:eastAsia="仿宋_GB2312" w:cs="仿宋_GB2312"/>
          <w:b/>
          <w:bCs/>
          <w:caps w:val="0"/>
          <w:color w:val="333333"/>
          <w:spacing w:val="0"/>
          <w:sz w:val="32"/>
          <w:szCs w:val="32"/>
        </w:rPr>
        <w:t>二是</w:t>
      </w:r>
      <w:r>
        <w:rPr>
          <w:rFonts w:hint="eastAsia" w:ascii="仿宋_GB2312" w:eastAsia="仿宋_GB2312" w:cs="仿宋_GB2312"/>
          <w:caps w:val="0"/>
          <w:color w:val="000000" w:themeColor="text1"/>
          <w:spacing w:val="0"/>
          <w:sz w:val="32"/>
          <w:szCs w:val="32"/>
          <w14:textFill>
            <w14:solidFill>
              <w14:schemeClr w14:val="tx1"/>
            </w14:solidFill>
          </w14:textFill>
        </w:rPr>
        <w:t>充分发挥互联网覆盖面广、传播迅速、便于查询的优势，自身做好政务信息公开的同时，切实督促各部门单位办好微信公众号，定时更新，进一步扩大受众面。</w:t>
      </w:r>
    </w:p>
    <w:p>
      <w:pPr>
        <w:pStyle w:val="3"/>
        <w:keepNext w:val="0"/>
        <w:keepLines w:val="0"/>
        <w:pageBreakBefore w:val="0"/>
        <w:widowControl w:val="0"/>
        <w:numPr>
          <w:ilvl w:val="0"/>
          <w:numId w:val="0"/>
        </w:numPr>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rightChars="0" w:firstLine="688" w:firstLineChars="200"/>
        <w:jc w:val="left"/>
        <w:textAlignment w:val="auto"/>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Style w:val="6"/>
          <w:rFonts w:hint="eastAsia" w:ascii="楷体_GB2312" w:hAnsi="楷体_GB2312" w:eastAsia="楷体_GB2312" w:cs="楷体_GB2312"/>
          <w:b w:val="0"/>
          <w:bCs w:val="0"/>
          <w:color w:val="000000" w:themeColor="text1"/>
          <w:spacing w:val="12"/>
          <w:sz w:val="32"/>
          <w:szCs w:val="32"/>
          <w:highlight w:val="none"/>
          <w:lang w:val="en-US" w:eastAsia="zh-CN"/>
          <w14:textFill>
            <w14:solidFill>
              <w14:schemeClr w14:val="tx1"/>
            </w14:solidFill>
          </w14:textFill>
        </w:rPr>
        <w:t>（五）</w:t>
      </w:r>
      <w:r>
        <w:rPr>
          <w:rStyle w:val="6"/>
          <w:rFonts w:hint="eastAsia" w:ascii="楷体_GB2312" w:hAnsi="楷体_GB2312" w:eastAsia="楷体_GB2312" w:cs="楷体_GB2312"/>
          <w:b w:val="0"/>
          <w:bCs w:val="0"/>
          <w:color w:val="000000" w:themeColor="text1"/>
          <w:spacing w:val="0"/>
          <w:sz w:val="32"/>
          <w:szCs w:val="32"/>
          <w:highlight w:val="none"/>
          <w:lang w:val="en-US" w:eastAsia="zh-CN"/>
          <w14:textFill>
            <w14:solidFill>
              <w14:schemeClr w14:val="tx1"/>
            </w14:solidFill>
          </w14:textFill>
        </w:rPr>
        <w:t>着力强化</w:t>
      </w:r>
      <w:r>
        <w:rPr>
          <w:rStyle w:val="6"/>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监督保障</w:t>
      </w:r>
    </w:p>
    <w:p>
      <w:pPr>
        <w:pStyle w:val="3"/>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leftChars="0" w:right="0" w:firstLine="642" w:firstLineChars="200"/>
        <w:jc w:val="both"/>
        <w:textAlignment w:val="auto"/>
        <w:rPr>
          <w:rFonts w:hint="eastAsia" w:ascii="仿宋_GB2312" w:hAnsi="宋体" w:eastAsia="仿宋_GB2312" w:cs="仿宋_GB2312"/>
          <w:i w:val="0"/>
          <w:iCs w:val="0"/>
          <w:caps w:val="0"/>
          <w:color w:val="000000"/>
          <w:spacing w:val="0"/>
          <w:sz w:val="32"/>
          <w:szCs w:val="32"/>
          <w:lang w:eastAsia="zh-CN"/>
        </w:rPr>
      </w:pPr>
      <w:r>
        <w:rPr>
          <w:rStyle w:val="6"/>
          <w:rFonts w:hint="eastAsia" w:ascii="仿宋_GB2312" w:eastAsia="仿宋_GB2312" w:cs="仿宋_GB2312"/>
          <w:b/>
          <w:bCs/>
          <w:sz w:val="32"/>
          <w:szCs w:val="32"/>
          <w:shd w:val="clear" w:fill="FFFFFF"/>
          <w:lang w:val="en-US" w:eastAsia="zh-CN"/>
        </w:rPr>
        <w:t>一</w:t>
      </w:r>
      <w:r>
        <w:rPr>
          <w:rStyle w:val="6"/>
          <w:rFonts w:ascii="仿宋_GB2312" w:eastAsia="仿宋_GB2312" w:cs="仿宋_GB2312"/>
          <w:b/>
          <w:bCs/>
          <w:sz w:val="32"/>
          <w:szCs w:val="32"/>
          <w:shd w:val="clear" w:fill="FFFFFF"/>
        </w:rPr>
        <w:t>是强化</w:t>
      </w:r>
      <w:r>
        <w:rPr>
          <w:rStyle w:val="6"/>
          <w:rFonts w:hint="eastAsia" w:ascii="仿宋_GB2312" w:eastAsia="仿宋_GB2312" w:cs="仿宋_GB2312"/>
          <w:b/>
          <w:bCs/>
          <w:sz w:val="32"/>
          <w:szCs w:val="32"/>
          <w:shd w:val="clear" w:fill="FFFFFF"/>
          <w:lang w:eastAsia="zh-CN"/>
        </w:rPr>
        <w:t>考核监督</w:t>
      </w:r>
      <w:r>
        <w:rPr>
          <w:rStyle w:val="6"/>
          <w:rFonts w:ascii="仿宋_GB2312" w:eastAsia="仿宋_GB2312" w:cs="仿宋_GB2312"/>
          <w:b/>
          <w:bCs/>
          <w:sz w:val="32"/>
          <w:szCs w:val="32"/>
          <w:shd w:val="clear" w:fill="FFFFFF"/>
        </w:rPr>
        <w:t>。</w:t>
      </w:r>
      <w:r>
        <w:rPr>
          <w:rFonts w:hint="eastAsia" w:ascii="仿宋_GB2312" w:eastAsia="仿宋_GB2312" w:cs="仿宋_GB2312"/>
          <w:sz w:val="32"/>
          <w:szCs w:val="32"/>
          <w:shd w:val="clear" w:fill="FFFFFF"/>
        </w:rPr>
        <w:t>2022年共开展</w:t>
      </w:r>
      <w:r>
        <w:rPr>
          <w:rFonts w:hint="eastAsia" w:ascii="仿宋_GB2312" w:eastAsia="仿宋_GB2312" w:cs="仿宋_GB2312"/>
          <w:sz w:val="32"/>
          <w:szCs w:val="32"/>
          <w:shd w:val="clear" w:fill="FFFFFF"/>
          <w:lang w:eastAsia="zh-CN"/>
        </w:rPr>
        <w:t>政务公开</w:t>
      </w:r>
      <w:r>
        <w:rPr>
          <w:rFonts w:hint="eastAsia" w:ascii="仿宋_GB2312" w:eastAsia="仿宋_GB2312" w:cs="仿宋_GB2312"/>
          <w:sz w:val="32"/>
          <w:szCs w:val="32"/>
          <w:shd w:val="clear" w:fill="FFFFFF"/>
        </w:rPr>
        <w:t>检查4次，发现问题40余项，督促相关部门立行整改并在考核通报中予以体现。2022年</w:t>
      </w:r>
      <w:r>
        <w:rPr>
          <w:rFonts w:hint="eastAsia" w:ascii="仿宋_GB2312" w:eastAsia="仿宋_GB2312" w:cs="仿宋_GB2312"/>
          <w:sz w:val="32"/>
          <w:szCs w:val="32"/>
          <w:shd w:val="clear" w:fill="FFFFFF"/>
          <w:lang w:eastAsia="zh-CN"/>
        </w:rPr>
        <w:t>，</w:t>
      </w:r>
      <w:r>
        <w:rPr>
          <w:rFonts w:hint="eastAsia" w:ascii="仿宋_GB2312" w:eastAsia="仿宋_GB2312" w:cs="仿宋_GB2312"/>
          <w:sz w:val="32"/>
          <w:szCs w:val="32"/>
          <w:shd w:val="clear" w:fill="FFFFFF"/>
        </w:rPr>
        <w:t>经开区政府信息公开工作无社会评议和责任追究结果。</w:t>
      </w:r>
      <w:r>
        <w:rPr>
          <w:rFonts w:hint="eastAsia" w:ascii="仿宋_GB2312" w:hAnsi="宋体" w:eastAsia="仿宋_GB2312" w:cs="仿宋_GB2312"/>
          <w:b/>
          <w:bCs/>
          <w:i w:val="0"/>
          <w:iCs w:val="0"/>
          <w:caps w:val="0"/>
          <w:color w:val="000000"/>
          <w:spacing w:val="0"/>
          <w:sz w:val="32"/>
          <w:szCs w:val="32"/>
          <w:lang w:val="en-US" w:eastAsia="zh-CN"/>
        </w:rPr>
        <w:t>二是</w:t>
      </w:r>
      <w:r>
        <w:rPr>
          <w:rFonts w:ascii="仿宋_GB2312" w:hAnsi="宋体" w:eastAsia="仿宋_GB2312" w:cs="仿宋_GB2312"/>
          <w:b/>
          <w:bCs/>
          <w:i w:val="0"/>
          <w:iCs w:val="0"/>
          <w:caps w:val="0"/>
          <w:color w:val="000000"/>
          <w:spacing w:val="0"/>
          <w:sz w:val="32"/>
          <w:szCs w:val="32"/>
        </w:rPr>
        <w:t>完善业务培训机制。</w:t>
      </w:r>
      <w:r>
        <w:rPr>
          <w:rFonts w:ascii="仿宋_GB2312" w:hAnsi="宋体" w:eastAsia="仿宋_GB2312" w:cs="仿宋_GB2312"/>
          <w:i w:val="0"/>
          <w:iCs w:val="0"/>
          <w:caps w:val="0"/>
          <w:color w:val="000000"/>
          <w:spacing w:val="0"/>
          <w:sz w:val="32"/>
          <w:szCs w:val="32"/>
        </w:rPr>
        <w:t>开展以干代训、座谈交流、专题培训等培训活动，增强各单位经验交流，全面提升全区政务公开工作水平。</w:t>
      </w:r>
      <w:r>
        <w:rPr>
          <w:rFonts w:hint="eastAsia" w:ascii="仿宋_GB2312" w:hAnsi="宋体" w:eastAsia="仿宋_GB2312" w:cs="仿宋_GB2312"/>
          <w:b/>
          <w:bCs/>
          <w:i w:val="0"/>
          <w:iCs w:val="0"/>
          <w:caps w:val="0"/>
          <w:color w:val="000000"/>
          <w:spacing w:val="0"/>
          <w:sz w:val="32"/>
          <w:szCs w:val="32"/>
          <w:lang w:val="en-US" w:eastAsia="zh-CN"/>
        </w:rPr>
        <w:t>三是</w:t>
      </w:r>
      <w:r>
        <w:rPr>
          <w:rFonts w:ascii="仿宋_GB2312" w:hAnsi="宋体" w:eastAsia="仿宋_GB2312" w:cs="仿宋_GB2312"/>
          <w:b/>
          <w:bCs/>
          <w:i w:val="0"/>
          <w:iCs w:val="0"/>
          <w:caps w:val="0"/>
          <w:color w:val="000000"/>
          <w:spacing w:val="0"/>
          <w:sz w:val="32"/>
          <w:szCs w:val="32"/>
        </w:rPr>
        <w:t>完善体制机构建设。</w:t>
      </w:r>
      <w:r>
        <w:rPr>
          <w:rFonts w:hint="eastAsia" w:ascii="仿宋_GB2312" w:hAnsi="宋体" w:eastAsia="仿宋_GB2312" w:cs="仿宋_GB2312"/>
          <w:i w:val="0"/>
          <w:iCs w:val="0"/>
          <w:caps w:val="0"/>
          <w:color w:val="000000"/>
          <w:spacing w:val="0"/>
          <w:sz w:val="32"/>
          <w:szCs w:val="32"/>
        </w:rPr>
        <w:t>建立政务公开与大数据中心联合督查制度，进一步完善政务公开专项督查、专人日常检测、问题整改一体化工作机制，</w:t>
      </w:r>
      <w:r>
        <w:rPr>
          <w:rFonts w:hint="eastAsia" w:ascii="仿宋_GB2312" w:hAnsi="宋体" w:eastAsia="仿宋_GB2312" w:cs="仿宋_GB2312"/>
          <w:b w:val="0"/>
          <w:bCs w:val="0"/>
          <w:i w:val="0"/>
          <w:iCs w:val="0"/>
          <w:caps w:val="0"/>
          <w:color w:val="auto"/>
          <w:spacing w:val="0"/>
          <w:sz w:val="32"/>
          <w:szCs w:val="32"/>
          <w:lang w:eastAsia="zh-CN"/>
        </w:rPr>
        <w:t>配备政务公开专职人员</w:t>
      </w:r>
      <w:r>
        <w:rPr>
          <w:rFonts w:hint="eastAsia" w:ascii="仿宋_GB2312" w:hAnsi="宋体" w:eastAsia="仿宋_GB2312" w:cs="仿宋_GB2312"/>
          <w:b w:val="0"/>
          <w:bCs w:val="0"/>
          <w:i w:val="0"/>
          <w:iCs w:val="0"/>
          <w:caps w:val="0"/>
          <w:color w:val="auto"/>
          <w:spacing w:val="0"/>
          <w:sz w:val="32"/>
          <w:szCs w:val="32"/>
          <w:lang w:val="en-US" w:eastAsia="zh-CN"/>
        </w:rPr>
        <w:t>1名，</w:t>
      </w:r>
      <w:r>
        <w:rPr>
          <w:rFonts w:hint="eastAsia" w:ascii="仿宋_GB2312" w:hAnsi="宋体" w:eastAsia="仿宋_GB2312" w:cs="仿宋_GB2312"/>
          <w:i w:val="0"/>
          <w:iCs w:val="0"/>
          <w:caps w:val="0"/>
          <w:color w:val="000000"/>
          <w:spacing w:val="0"/>
          <w:sz w:val="32"/>
          <w:szCs w:val="32"/>
        </w:rPr>
        <w:t>对信息时效性、规范性、错链、错别字进行全面检查，发现问题及时整改，提升信息发布质量。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3"/>
        <w:textAlignment w:val="auto"/>
      </w:pPr>
      <w:r>
        <w:rPr>
          <w:rFonts w:hint="eastAsia" w:ascii="黑体" w:hAnsi="宋体" w:eastAsia="黑体" w:cs="黑体"/>
          <w:caps w:val="0"/>
          <w:color w:val="000000"/>
          <w:spacing w:val="0"/>
          <w:sz w:val="32"/>
          <w:szCs w:val="32"/>
        </w:rPr>
        <w:t>二、主动公开政府信息情况</w:t>
      </w:r>
    </w:p>
    <w:tbl>
      <w:tblPr>
        <w:tblStyle w:val="4"/>
        <w:tblW w:w="8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8"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color="auto" w:fill="9CC2E5" w:themeFill="accent1" w:themeFillTint="99"/>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Style w:val="6"/>
                <w:rFonts w:hint="eastAsia" w:ascii="宋体" w:hAnsi="宋体" w:eastAsia="宋体" w:cs="宋体"/>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3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信息内容</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本年制发件数</w:t>
            </w:r>
          </w:p>
        </w:tc>
        <w:tc>
          <w:tcPr>
            <w:tcW w:w="20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本年废止件数</w:t>
            </w:r>
          </w:p>
        </w:tc>
        <w:tc>
          <w:tcPr>
            <w:tcW w:w="22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3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规章</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2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规范性文件</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c>
          <w:tcPr>
            <w:tcW w:w="2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5" w:hRule="atLeast"/>
          <w:jc w:val="center"/>
        </w:trPr>
        <w:tc>
          <w:tcPr>
            <w:tcW w:w="8931" w:type="dxa"/>
            <w:gridSpan w:val="4"/>
            <w:tcBorders>
              <w:top w:val="nil"/>
              <w:left w:val="single" w:color="auto" w:sz="8" w:space="0"/>
              <w:bottom w:val="single" w:color="auto" w:sz="8" w:space="0"/>
              <w:right w:val="single" w:color="auto" w:sz="8" w:space="0"/>
            </w:tcBorders>
            <w:shd w:val="clear" w:color="auto" w:fill="9CC2E5" w:themeFill="accent1" w:themeFillTint="99"/>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Style w:val="6"/>
                <w:rFonts w:hint="eastAsia" w:ascii="宋体" w:hAnsi="宋体" w:eastAsia="宋体" w:cs="宋体"/>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3"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6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行政许可</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17433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8" w:hRule="atLeast"/>
          <w:jc w:val="center"/>
        </w:trPr>
        <w:tc>
          <w:tcPr>
            <w:tcW w:w="8931" w:type="dxa"/>
            <w:gridSpan w:val="4"/>
            <w:tcBorders>
              <w:top w:val="nil"/>
              <w:left w:val="single" w:color="auto" w:sz="8" w:space="0"/>
              <w:bottom w:val="single" w:color="auto" w:sz="8" w:space="0"/>
              <w:right w:val="single" w:color="auto" w:sz="8" w:space="0"/>
            </w:tcBorders>
            <w:shd w:val="clear" w:color="auto" w:fill="9CC2E5" w:themeFill="accent1" w:themeFillTint="99"/>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Style w:val="6"/>
                <w:rFonts w:hint="eastAsia" w:ascii="宋体" w:hAnsi="宋体" w:eastAsia="宋体" w:cs="宋体"/>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6"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9"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行政处罚</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588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4"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行政强制</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1" w:hRule="atLeast"/>
          <w:jc w:val="center"/>
        </w:trPr>
        <w:tc>
          <w:tcPr>
            <w:tcW w:w="8931" w:type="dxa"/>
            <w:gridSpan w:val="4"/>
            <w:tcBorders>
              <w:top w:val="nil"/>
              <w:left w:val="single" w:color="auto" w:sz="8" w:space="0"/>
              <w:bottom w:val="single" w:color="auto" w:sz="8" w:space="0"/>
              <w:right w:val="single" w:color="auto" w:sz="8" w:space="0"/>
            </w:tcBorders>
            <w:shd w:val="clear" w:color="auto" w:fill="9CC2E5" w:themeFill="accent1" w:themeFillTint="99"/>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Style w:val="6"/>
                <w:rFonts w:hint="eastAsia" w:ascii="宋体" w:hAnsi="宋体" w:eastAsia="宋体" w:cs="宋体"/>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7"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eastAsia" w:ascii="宋体" w:hAnsi="宋体" w:eastAsia="宋体" w:cs="宋体"/>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eastAsia" w:ascii="宋体" w:hAnsi="宋体" w:eastAsia="宋体" w:cs="宋体"/>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2"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eastAsia" w:ascii="宋体" w:hAnsi="宋体" w:eastAsia="宋体" w:cs="宋体"/>
                <w:sz w:val="21"/>
                <w:szCs w:val="21"/>
              </w:rPr>
              <w:t>行政事业性收费</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default" w:eastAsiaTheme="minorEastAsia"/>
                <w:lang w:val="en-US" w:eastAsia="zh-CN"/>
              </w:rPr>
            </w:pPr>
            <w:r>
              <w:rPr>
                <w:rFonts w:hint="eastAsia"/>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3"/>
        <w:textAlignment w:val="auto"/>
      </w:pPr>
      <w:r>
        <w:rPr>
          <w:rFonts w:hint="eastAsia" w:ascii="黑体" w:hAnsi="宋体" w:eastAsia="黑体" w:cs="黑体"/>
          <w:caps w:val="0"/>
          <w:color w:val="000000"/>
          <w:spacing w:val="0"/>
          <w:sz w:val="32"/>
          <w:szCs w:val="32"/>
        </w:rPr>
        <w:t>三、收到和处理政府信息公开申请情况</w:t>
      </w:r>
    </w:p>
    <w:tbl>
      <w:tblPr>
        <w:tblStyle w:val="4"/>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951"/>
        <w:gridCol w:w="3025"/>
        <w:gridCol w:w="661"/>
        <w:gridCol w:w="661"/>
        <w:gridCol w:w="661"/>
        <w:gridCol w:w="661"/>
        <w:gridCol w:w="661"/>
        <w:gridCol w:w="661"/>
        <w:gridCol w:w="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2" w:hRule="atLeast"/>
          <w:jc w:val="center"/>
        </w:trPr>
        <w:tc>
          <w:tcPr>
            <w:tcW w:w="4612"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（本列数据的勾稽关系为：第一项加第二项之和，等于第三项加第四项之和）</w:t>
            </w:r>
          </w:p>
        </w:tc>
        <w:tc>
          <w:tcPr>
            <w:tcW w:w="4630"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8" w:hRule="atLeast"/>
          <w:jc w:val="center"/>
        </w:trPr>
        <w:tc>
          <w:tcPr>
            <w:tcW w:w="4612" w:type="dxa"/>
            <w:gridSpan w:val="3"/>
            <w:vMerge w:val="continue"/>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66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自然人</w:t>
            </w:r>
          </w:p>
        </w:tc>
        <w:tc>
          <w:tcPr>
            <w:tcW w:w="330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法人或其他组织</w:t>
            </w:r>
          </w:p>
        </w:tc>
        <w:tc>
          <w:tcPr>
            <w:tcW w:w="664" w:type="dxa"/>
            <w:vMerge w:val="restart"/>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6" w:hRule="atLeast"/>
          <w:jc w:val="center"/>
        </w:trPr>
        <w:tc>
          <w:tcPr>
            <w:tcW w:w="4612" w:type="dxa"/>
            <w:gridSpan w:val="3"/>
            <w:vMerge w:val="continue"/>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66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eastAsia" w:ascii="黑体" w:hAnsi="黑体" w:eastAsia="黑体" w:cs="黑体"/>
                <w:sz w:val="21"/>
                <w:szCs w:val="21"/>
              </w:rPr>
            </w:pPr>
          </w:p>
        </w:tc>
        <w:tc>
          <w:tcPr>
            <w:tcW w:w="6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商业企业</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科研机构</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社会公益组织</w:t>
            </w:r>
          </w:p>
        </w:tc>
        <w:tc>
          <w:tcPr>
            <w:tcW w:w="661"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法律服务机构</w:t>
            </w:r>
          </w:p>
        </w:tc>
        <w:tc>
          <w:tcPr>
            <w:tcW w:w="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黑体" w:hAnsi="黑体" w:eastAsia="黑体" w:cs="黑体"/>
                <w:sz w:val="21"/>
                <w:szCs w:val="21"/>
              </w:rPr>
            </w:pPr>
            <w:r>
              <w:rPr>
                <w:rFonts w:hint="eastAsia" w:ascii="黑体" w:hAnsi="黑体" w:eastAsia="黑体" w:cs="黑体"/>
                <w:color w:val="000000"/>
                <w:sz w:val="21"/>
                <w:szCs w:val="21"/>
              </w:rPr>
              <w:t>其他</w:t>
            </w:r>
          </w:p>
        </w:tc>
        <w:tc>
          <w:tcPr>
            <w:tcW w:w="66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eastAsia" w:ascii="黑体" w:hAnsi="黑体" w:eastAsia="黑体" w:cs="黑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4612"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一、本年新收政府信息公开申请数量</w:t>
            </w:r>
          </w:p>
        </w:tc>
        <w:tc>
          <w:tcPr>
            <w:tcW w:w="66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30</w:t>
            </w:r>
          </w:p>
        </w:tc>
        <w:tc>
          <w:tcPr>
            <w:tcW w:w="66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4612"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二、上年结转政府信息公开申请数量</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三、本年度办理结果</w:t>
            </w:r>
          </w:p>
        </w:tc>
        <w:tc>
          <w:tcPr>
            <w:tcW w:w="39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（一） 予以公开</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1</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9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（二）部分公开（区分处理的，只计这一情形，不计其他情形）</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28</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（三） 不予公开</w:t>
            </w: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1. 属于国家秘密</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2. 其他法律行政法规禁止公开</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3.危及“三安全一稳定”</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4. 保护第三方合法权益</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1</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5. 属于三类内部事务信息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6. 属于四类过程性信息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7. 属于行政执法案卷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8. 属于行政查询事项</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 四） 无法提供</w:t>
            </w: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1. 本机关不掌握相关政府信息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val="en-US" w:eastAsia="zh-CN"/>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2. 没有现成信息需要另行制作</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3. 补正后申请内容仍不明确</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 五） 不予处理</w:t>
            </w: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1. 信访举报投诉类申请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2. 重复申请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3. 要求提供公开出版物</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4. 无正当理由大量反复申请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5. 要求行政机关确认或重新出具已获取信息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 六） 其他处理</w:t>
            </w: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1. 申请人无正当理由逾期不补正、行政机关不再处理其政府信息公开申请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2. 申请人逾期未按收费通知要求缴纳费用、行政机关不再处理其政府信息公开申请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95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3. 其他</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textAlignment w:val="auto"/>
              <w:rPr>
                <w:rFonts w:hint="default" w:ascii="Times New Roman" w:hAnsi="Times New Roman" w:eastAsia="楷体_GB2312" w:cs="Times New Roman"/>
                <w:sz w:val="21"/>
                <w:szCs w:val="21"/>
              </w:rPr>
            </w:pPr>
          </w:p>
        </w:tc>
        <w:tc>
          <w:tcPr>
            <w:tcW w:w="39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 七） 总计</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30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lang w:val="en-US" w:eastAsia="zh-CN"/>
              </w:rPr>
            </w:pPr>
            <w:r>
              <w:rPr>
                <w:rFonts w:hint="default" w:ascii="Times New Roman" w:hAnsi="Times New Roman" w:eastAsia="楷体_GB2312" w:cs="Times New Roman"/>
                <w:sz w:val="21"/>
                <w:szCs w:val="21"/>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0" w:hRule="atLeast"/>
          <w:jc w:val="center"/>
        </w:trPr>
        <w:tc>
          <w:tcPr>
            <w:tcW w:w="4612"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color w:val="000000"/>
                <w:sz w:val="21"/>
                <w:szCs w:val="21"/>
              </w:rPr>
              <w:t>四、结转下年度继续办理</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c>
          <w:tcPr>
            <w:tcW w:w="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楷体_GB2312" w:cs="Times New Roman"/>
                <w:sz w:val="21"/>
                <w:szCs w:val="21"/>
              </w:rPr>
            </w:pPr>
            <w:r>
              <w:rPr>
                <w:rFonts w:hint="default" w:ascii="Times New Roman" w:hAnsi="Times New Roman" w:eastAsia="楷体_GB2312" w:cs="Times New Roman"/>
                <w:sz w:val="21"/>
                <w:szCs w:val="21"/>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3"/>
        <w:textAlignment w:val="auto"/>
        <w:rPr>
          <w:rFonts w:hint="eastAsia" w:ascii="黑体" w:hAnsi="宋体" w:eastAsia="黑体" w:cs="黑体"/>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3"/>
        <w:textAlignment w:val="auto"/>
      </w:pPr>
      <w:r>
        <w:rPr>
          <w:rFonts w:hint="eastAsia" w:ascii="黑体" w:hAnsi="宋体" w:eastAsia="黑体" w:cs="黑体"/>
          <w:caps w:val="0"/>
          <w:color w:val="000000"/>
          <w:spacing w:val="0"/>
          <w:sz w:val="32"/>
          <w:szCs w:val="32"/>
        </w:rPr>
        <w:t>四、政府信息公开行政复议、行政诉讼情况</w:t>
      </w:r>
    </w:p>
    <w:tbl>
      <w:tblPr>
        <w:tblStyle w:val="4"/>
        <w:tblW w:w="92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26"/>
        <w:gridCol w:w="568"/>
        <w:gridCol w:w="567"/>
        <w:gridCol w:w="567"/>
        <w:gridCol w:w="567"/>
        <w:gridCol w:w="567"/>
        <w:gridCol w:w="567"/>
        <w:gridCol w:w="567"/>
        <w:gridCol w:w="567"/>
        <w:gridCol w:w="567"/>
        <w:gridCol w:w="567"/>
        <w:gridCol w:w="567"/>
        <w:gridCol w:w="567"/>
        <w:gridCol w:w="567"/>
        <w:gridCol w:w="5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359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行政复议</w:t>
            </w:r>
          </w:p>
        </w:tc>
        <w:tc>
          <w:tcPr>
            <w:tcW w:w="5670"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32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结果维持</w:t>
            </w:r>
          </w:p>
        </w:tc>
        <w:tc>
          <w:tcPr>
            <w:tcW w:w="56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w:t>
            </w:r>
            <w:bookmarkStart w:id="0" w:name="_GoBack"/>
            <w:bookmarkEnd w:id="0"/>
            <w:r>
              <w:rPr>
                <w:rFonts w:hint="eastAsia" w:ascii="黑体" w:hAnsi="黑体" w:eastAsia="黑体" w:cs="黑体"/>
                <w:color w:val="000000" w:themeColor="text1"/>
                <w:sz w:val="21"/>
                <w:szCs w:val="21"/>
                <w14:textFill>
                  <w14:solidFill>
                    <w14:schemeClr w14:val="tx1"/>
                  </w14:solidFill>
                </w14:textFill>
              </w:rPr>
              <w:t>纠正</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其他结果</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尚未审结</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总计</w:t>
            </w:r>
          </w:p>
        </w:tc>
        <w:tc>
          <w:tcPr>
            <w:tcW w:w="283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未经复议直接起诉</w:t>
            </w:r>
          </w:p>
        </w:tc>
        <w:tc>
          <w:tcPr>
            <w:tcW w:w="283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63" w:hRule="atLeast"/>
          <w:jc w:val="center"/>
        </w:trPr>
        <w:tc>
          <w:tcPr>
            <w:tcW w:w="13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黑体" w:hAnsi="黑体" w:eastAsia="黑体" w:cs="黑体"/>
                <w:color w:val="000000" w:themeColor="text1"/>
                <w:sz w:val="21"/>
                <w:szCs w:val="21"/>
                <w14:textFill>
                  <w14:solidFill>
                    <w14:schemeClr w14:val="tx1"/>
                  </w14:solidFill>
                </w14:textFill>
              </w:rPr>
            </w:pPr>
          </w:p>
        </w:tc>
        <w:tc>
          <w:tcPr>
            <w:tcW w:w="56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黑体" w:hAnsi="黑体" w:eastAsia="黑体" w:cs="黑体"/>
                <w:color w:val="000000" w:themeColor="text1"/>
                <w:sz w:val="21"/>
                <w:szCs w:val="21"/>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黑体" w:hAnsi="黑体" w:eastAsia="黑体" w:cs="黑体"/>
                <w:color w:val="000000" w:themeColor="text1"/>
                <w:sz w:val="21"/>
                <w:szCs w:val="21"/>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黑体" w:hAnsi="黑体" w:eastAsia="黑体" w:cs="黑体"/>
                <w:color w:val="000000" w:themeColor="text1"/>
                <w:sz w:val="21"/>
                <w:szCs w:val="21"/>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黑体" w:hAnsi="黑体" w:eastAsia="黑体" w:cs="黑体"/>
                <w:color w:val="000000" w:themeColor="text1"/>
                <w:sz w:val="21"/>
                <w:szCs w:val="21"/>
                <w14:textFill>
                  <w14:solidFill>
                    <w14:schemeClr w14:val="tx1"/>
                  </w14:solidFill>
                </w14:textFill>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结果维持</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其他结果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总计</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结果维持</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结果纠正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其他结果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3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overflowPunct/>
              <w:topLinePunct w:val="0"/>
              <w:autoSpaceDN/>
              <w:bidi w:val="0"/>
              <w:adjustRightInd/>
              <w:snapToGrid/>
              <w:spacing w:before="0" w:beforeAutospacing="0" w:after="0" w:afterAutospacing="0" w:line="560" w:lineRule="exact"/>
              <w:ind w:left="0" w:leftChars="0" w:right="0"/>
              <w:jc w:val="center"/>
              <w:textAlignment w:val="auto"/>
            </w:pPr>
            <w:r>
              <w:rPr>
                <w:rFonts w:hint="default" w:ascii="Times New Roman" w:hAnsi="Times New Roman" w:cs="Times New Roman"/>
                <w:sz w:val="21"/>
                <w:szCs w:val="21"/>
              </w:rPr>
              <w:t>0</w:t>
            </w:r>
          </w:p>
        </w:tc>
      </w:tr>
    </w:tbl>
    <w:p>
      <w:pPr>
        <w:pStyle w:val="3"/>
        <w:keepNext w:val="0"/>
        <w:keepLines w:val="0"/>
        <w:pageBreakBefore w:val="0"/>
        <w:widowControl/>
        <w:suppressLineNumbers w:val="0"/>
        <w:kinsoku/>
        <w:overflowPunct/>
        <w:topLinePunct w:val="0"/>
        <w:autoSpaceDE w:val="0"/>
        <w:autoSpaceDN/>
        <w:bidi w:val="0"/>
        <w:adjustRightInd/>
        <w:snapToGrid/>
        <w:spacing w:beforeAutospacing="0" w:afterAutospacing="0" w:line="560" w:lineRule="exact"/>
        <w:ind w:left="0" w:leftChars="0" w:firstLine="640"/>
        <w:jc w:val="left"/>
        <w:textAlignment w:val="auto"/>
      </w:pPr>
      <w:r>
        <w:rPr>
          <w:rFonts w:hint="eastAsia" w:ascii="黑体" w:hAnsi="宋体" w:eastAsia="黑体" w:cs="黑体"/>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lang w:val="en-US" w:eastAsia="zh-CN" w:bidi="ar"/>
        </w:rPr>
      </w:pPr>
      <w:r>
        <w:rPr>
          <w:rFonts w:ascii="仿宋_GB2312" w:hAnsi="微软雅黑" w:eastAsia="仿宋_GB2312" w:cs="仿宋_GB2312"/>
          <w:i w:val="0"/>
          <w:iCs w:val="0"/>
          <w:caps w:val="0"/>
          <w:color w:val="000000"/>
          <w:spacing w:val="0"/>
          <w:kern w:val="0"/>
          <w:sz w:val="32"/>
          <w:szCs w:val="32"/>
          <w:lang w:val="en-US" w:eastAsia="zh-CN" w:bidi="ar"/>
        </w:rPr>
        <w:t>存在问题：</w:t>
      </w:r>
      <w:r>
        <w:rPr>
          <w:rFonts w:hint="eastAsia" w:ascii="仿宋_GB2312" w:hAnsi="仿宋_GB2312" w:eastAsia="仿宋_GB2312" w:cs="仿宋_GB2312"/>
          <w:b/>
          <w:bCs/>
          <w:sz w:val="32"/>
          <w:szCs w:val="32"/>
        </w:rPr>
        <w:t>一是公开不及时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政府信息应在形成后20天内进行公开，</w:t>
      </w:r>
      <w:r>
        <w:rPr>
          <w:rFonts w:hint="eastAsia" w:ascii="仿宋_GB2312" w:hAnsi="仿宋_GB2312" w:eastAsia="仿宋_GB2312" w:cs="仿宋_GB2312"/>
          <w:sz w:val="32"/>
          <w:szCs w:val="32"/>
          <w:lang w:val="en-US" w:eastAsia="zh-CN"/>
        </w:rPr>
        <w:t>个别</w:t>
      </w:r>
      <w:r>
        <w:rPr>
          <w:rFonts w:hint="eastAsia" w:ascii="仿宋_GB2312" w:hAnsi="仿宋_GB2312" w:eastAsia="仿宋_GB2312" w:cs="仿宋_GB2312"/>
          <w:sz w:val="32"/>
          <w:szCs w:val="32"/>
        </w:rPr>
        <w:t>单位存在集中补发、时间滞后的情况。</w:t>
      </w:r>
      <w:r>
        <w:rPr>
          <w:rFonts w:hint="eastAsia" w:ascii="仿宋_GB2312" w:hAnsi="仿宋_GB2312" w:eastAsia="仿宋_GB2312" w:cs="仿宋_GB2312"/>
          <w:b/>
          <w:bCs/>
          <w:i w:val="0"/>
          <w:iCs w:val="0"/>
          <w:caps w:val="0"/>
          <w:color w:val="000000"/>
          <w:spacing w:val="0"/>
          <w:kern w:val="0"/>
          <w:sz w:val="32"/>
          <w:szCs w:val="32"/>
          <w:lang w:val="en-US" w:eastAsia="zh-CN" w:bidi="ar"/>
        </w:rPr>
        <w:t>二是培训学习较少。</w:t>
      </w:r>
      <w:r>
        <w:rPr>
          <w:rFonts w:hint="eastAsia" w:ascii="仿宋_GB2312" w:hAnsi="仿宋_GB2312" w:eastAsia="仿宋_GB2312" w:cs="仿宋_GB2312"/>
          <w:i w:val="0"/>
          <w:iCs w:val="0"/>
          <w:caps w:val="0"/>
          <w:color w:val="000000"/>
          <w:spacing w:val="0"/>
          <w:kern w:val="0"/>
          <w:sz w:val="32"/>
          <w:szCs w:val="32"/>
          <w:lang w:val="en-US" w:eastAsia="zh-CN" w:bidi="ar"/>
        </w:rPr>
        <w:t>受疫情影响，外出交流学习、集中培训机会大幅减少，各部门单位互动交流渠道受限，工作、业务能力提升渠道单一。</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是解读</w:t>
      </w:r>
      <w:r>
        <w:rPr>
          <w:rFonts w:hint="eastAsia" w:ascii="仿宋_GB2312" w:hAnsi="仿宋_GB2312" w:eastAsia="仿宋_GB2312" w:cs="仿宋_GB2312"/>
          <w:b/>
          <w:bCs/>
          <w:sz w:val="32"/>
          <w:szCs w:val="32"/>
          <w:lang w:eastAsia="zh-CN"/>
        </w:rPr>
        <w:t>形式单一。</w:t>
      </w:r>
      <w:r>
        <w:rPr>
          <w:rFonts w:hint="eastAsia" w:ascii="仿宋_GB2312" w:hAnsi="仿宋_GB2312" w:eastAsia="仿宋_GB2312" w:cs="仿宋_GB2312"/>
          <w:sz w:val="32"/>
          <w:szCs w:val="32"/>
        </w:rPr>
        <w:t>多为文字解读，未合理运用音频视频、H5动画、卡通动漫等形式开展解读。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000000"/>
          <w:spacing w:val="0"/>
          <w:kern w:val="0"/>
          <w:sz w:val="32"/>
          <w:szCs w:val="32"/>
          <w:lang w:val="en-US" w:eastAsia="zh-CN" w:bidi="ar"/>
        </w:rPr>
        <w:t>改进情况：一是积极召开业务专题培训会，提高工作人员对政务公开各项工作的熟练度，提高工作人员的专业性；二是加强监督调度，完善督查机制，保障各单位信息公开的质量和</w:t>
      </w:r>
      <w:r>
        <w:rPr>
          <w:rFonts w:hint="eastAsia" w:ascii="仿宋_GB2312" w:hAnsi="微软雅黑" w:eastAsia="仿宋_GB2312" w:cs="仿宋_GB2312"/>
          <w:b w:val="0"/>
          <w:bCs w:val="0"/>
          <w:i w:val="0"/>
          <w:iCs w:val="0"/>
          <w:caps w:val="0"/>
          <w:color w:val="auto"/>
          <w:spacing w:val="0"/>
          <w:kern w:val="0"/>
          <w:sz w:val="32"/>
          <w:szCs w:val="32"/>
          <w:lang w:val="en-US" w:eastAsia="zh-CN" w:bidi="ar"/>
        </w:rPr>
        <w:t>时效</w:t>
      </w:r>
      <w:r>
        <w:rPr>
          <w:rFonts w:hint="eastAsia" w:ascii="仿宋_GB2312" w:hAnsi="微软雅黑" w:eastAsia="仿宋_GB2312" w:cs="仿宋_GB2312"/>
          <w:i w:val="0"/>
          <w:iCs w:val="0"/>
          <w:caps w:val="0"/>
          <w:color w:val="auto"/>
          <w:spacing w:val="0"/>
          <w:kern w:val="0"/>
          <w:sz w:val="32"/>
          <w:szCs w:val="32"/>
          <w:lang w:val="en-US" w:eastAsia="zh-CN" w:bidi="ar"/>
        </w:rPr>
        <w:t>；三是加大解读力度，进一步明确解读范围、解读程序、解读内容，积极拓展解读形式。</w:t>
      </w:r>
    </w:p>
    <w:p>
      <w:pPr>
        <w:pStyle w:val="3"/>
        <w:keepNext w:val="0"/>
        <w:keepLines w:val="0"/>
        <w:pageBreakBefore w:val="0"/>
        <w:widowControl/>
        <w:numPr>
          <w:ilvl w:val="0"/>
          <w:numId w:val="1"/>
        </w:numPr>
        <w:suppressLineNumbers w:val="0"/>
        <w:kinsoku/>
        <w:overflowPunct/>
        <w:topLinePunct w:val="0"/>
        <w:autoSpaceDE w:val="0"/>
        <w:autoSpaceDN/>
        <w:bidi w:val="0"/>
        <w:adjustRightInd/>
        <w:snapToGrid/>
        <w:spacing w:beforeAutospacing="0" w:afterAutospacing="0" w:line="560" w:lineRule="exact"/>
        <w:ind w:left="0" w:leftChars="0" w:firstLine="640"/>
        <w:jc w:val="left"/>
        <w:textAlignment w:val="auto"/>
        <w:rPr>
          <w:rFonts w:hint="eastAsia" w:ascii="黑体" w:hAnsi="宋体" w:eastAsia="黑体" w:cs="黑体"/>
          <w:sz w:val="32"/>
          <w:szCs w:val="32"/>
        </w:rPr>
      </w:pPr>
      <w:r>
        <w:rPr>
          <w:rFonts w:hint="eastAsia" w:ascii="黑体" w:hAnsi="宋体" w:eastAsia="黑体" w:cs="黑体"/>
          <w:sz w:val="32"/>
          <w:szCs w:val="32"/>
        </w:rPr>
        <w:t>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left"/>
        <w:textAlignment w:val="auto"/>
        <w:rPr>
          <w:rFonts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kern w:val="0"/>
          <w:sz w:val="32"/>
          <w:szCs w:val="32"/>
          <w:lang w:val="en-US" w:eastAsia="zh-CN" w:bidi="ar"/>
        </w:rPr>
        <w:t>（一）依据《政府信息公开信息处理费管理办法》收取信息处理费的情况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left"/>
        <w:textAlignment w:val="auto"/>
        <w:rPr>
          <w:rFonts w:hint="eastAsia" w:ascii="仿宋_GB2312" w:hAnsi="微软雅黑" w:eastAsia="仿宋_GB2312" w:cs="仿宋_GB2312"/>
          <w:i w:val="0"/>
          <w:iCs w:val="0"/>
          <w:caps w:val="0"/>
          <w:color w:val="000000"/>
          <w:spacing w:val="0"/>
          <w:kern w:val="0"/>
          <w:sz w:val="32"/>
          <w:szCs w:val="32"/>
          <w:lang w:val="en-US" w:eastAsia="zh-CN" w:bidi="ar"/>
        </w:rPr>
      </w:pPr>
      <w:r>
        <w:rPr>
          <w:rFonts w:ascii="仿宋_GB2312" w:hAnsi="微软雅黑" w:eastAsia="仿宋_GB2312" w:cs="仿宋_GB2312"/>
          <w:i w:val="0"/>
          <w:iCs w:val="0"/>
          <w:caps w:val="0"/>
          <w:color w:val="000000"/>
          <w:spacing w:val="0"/>
          <w:kern w:val="0"/>
          <w:sz w:val="32"/>
          <w:szCs w:val="32"/>
          <w:lang w:val="en-US" w:eastAsia="zh-CN" w:bidi="ar"/>
        </w:rPr>
        <w:t>认真落实《政府信息公开信息处理费管理办法》要求，指导推动全区按规定收取费用，</w:t>
      </w:r>
      <w:r>
        <w:rPr>
          <w:rFonts w:hint="eastAsia" w:ascii="仿宋_GB2312" w:hAnsi="微软雅黑" w:eastAsia="仿宋_GB2312" w:cs="仿宋_GB2312"/>
          <w:i w:val="0"/>
          <w:iCs w:val="0"/>
          <w:caps w:val="0"/>
          <w:color w:val="000000"/>
          <w:spacing w:val="0"/>
          <w:kern w:val="0"/>
          <w:sz w:val="32"/>
          <w:szCs w:val="32"/>
          <w:lang w:val="en-US" w:eastAsia="zh-CN" w:bidi="ar"/>
        </w:rPr>
        <w:t>2022年，全区未收取相关信息处理费用。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left"/>
        <w:textAlignment w:val="auto"/>
        <w:rPr>
          <w:rFonts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kern w:val="0"/>
          <w:sz w:val="32"/>
          <w:szCs w:val="32"/>
          <w:lang w:val="en-US" w:eastAsia="zh-CN" w:bidi="ar"/>
        </w:rPr>
        <w:t>（二）落实上级年度政务公开工作要点情况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left"/>
        <w:textAlignment w:val="auto"/>
        <w:rPr>
          <w:rFonts w:hint="eastAsia" w:ascii="仿宋_GB2312" w:hAnsi="微软雅黑" w:eastAsia="仿宋_GB2312" w:cs="仿宋_GB2312"/>
          <w:i w:val="0"/>
          <w:iCs w:val="0"/>
          <w:caps w:val="0"/>
          <w:color w:val="000000"/>
          <w:spacing w:val="0"/>
          <w:kern w:val="0"/>
          <w:sz w:val="32"/>
          <w:szCs w:val="32"/>
          <w:lang w:val="en-US" w:eastAsia="zh-CN" w:bidi="ar"/>
        </w:rPr>
      </w:pPr>
      <w:r>
        <w:rPr>
          <w:rFonts w:ascii="仿宋_GB2312" w:hAnsi="微软雅黑" w:eastAsia="仿宋_GB2312" w:cs="仿宋_GB2312"/>
          <w:i w:val="0"/>
          <w:iCs w:val="0"/>
          <w:caps w:val="0"/>
          <w:color w:val="000000"/>
          <w:spacing w:val="0"/>
          <w:kern w:val="0"/>
          <w:sz w:val="32"/>
          <w:szCs w:val="32"/>
          <w:lang w:val="en-US" w:eastAsia="zh-CN" w:bidi="ar"/>
        </w:rPr>
        <w:t>根据国家、省政务公开工作要点要求，</w:t>
      </w:r>
      <w:r>
        <w:rPr>
          <w:rFonts w:hint="eastAsia" w:ascii="仿宋_GB2312" w:hAnsi="微软雅黑" w:eastAsia="仿宋_GB2312" w:cs="仿宋_GB2312"/>
          <w:i w:val="0"/>
          <w:iCs w:val="0"/>
          <w:caps w:val="0"/>
          <w:color w:val="000000"/>
          <w:spacing w:val="0"/>
          <w:kern w:val="0"/>
          <w:sz w:val="32"/>
          <w:szCs w:val="32"/>
          <w:lang w:val="en-US" w:eastAsia="zh-CN" w:bidi="ar"/>
        </w:rPr>
        <w:t>经开</w:t>
      </w:r>
      <w:r>
        <w:rPr>
          <w:rFonts w:ascii="仿宋_GB2312" w:hAnsi="微软雅黑" w:eastAsia="仿宋_GB2312" w:cs="仿宋_GB2312"/>
          <w:i w:val="0"/>
          <w:iCs w:val="0"/>
          <w:caps w:val="0"/>
          <w:color w:val="000000"/>
          <w:spacing w:val="0"/>
          <w:kern w:val="0"/>
          <w:sz w:val="32"/>
          <w:szCs w:val="32"/>
          <w:lang w:val="en-US" w:eastAsia="zh-CN" w:bidi="ar"/>
        </w:rPr>
        <w:t>区印发《</w:t>
      </w:r>
      <w:r>
        <w:rPr>
          <w:rFonts w:hint="eastAsia" w:ascii="仿宋_GB2312" w:hAnsi="微软雅黑" w:eastAsia="仿宋_GB2312" w:cs="仿宋_GB2312"/>
          <w:i w:val="0"/>
          <w:iCs w:val="0"/>
          <w:caps w:val="0"/>
          <w:color w:val="000000"/>
          <w:spacing w:val="0"/>
          <w:kern w:val="0"/>
          <w:sz w:val="32"/>
          <w:szCs w:val="32"/>
          <w:lang w:val="en-US" w:eastAsia="zh-CN" w:bidi="ar"/>
        </w:rPr>
        <w:t>2022年政务公开工作方案》，各镇，各部门根据任务分工将全年的政务公开工作落实到位。</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firstLine="640"/>
        <w:jc w:val="left"/>
        <w:textAlignment w:val="auto"/>
        <w:rPr>
          <w:rFonts w:ascii="楷体_GB2312" w:hAnsi="宋体" w:eastAsia="楷体_GB2312" w:cs="楷体_GB2312"/>
          <w:i w:val="0"/>
          <w:iCs w:val="0"/>
          <w:caps w:val="0"/>
          <w:color w:val="000000"/>
          <w:spacing w:val="0"/>
          <w:sz w:val="32"/>
          <w:szCs w:val="32"/>
        </w:rPr>
      </w:pPr>
      <w:r>
        <w:rPr>
          <w:rFonts w:ascii="楷体_GB2312" w:hAnsi="宋体" w:eastAsia="楷体_GB2312" w:cs="楷体_GB2312"/>
          <w:i w:val="0"/>
          <w:iCs w:val="0"/>
          <w:caps w:val="0"/>
          <w:color w:val="000000"/>
          <w:spacing w:val="0"/>
          <w:sz w:val="32"/>
          <w:szCs w:val="32"/>
        </w:rPr>
        <w:t>本行政机关人大代表建议和政协提案办理结果公开情况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仿宋_GB2312"/>
          <w:b w:val="0"/>
          <w:bCs w:val="0"/>
          <w:caps w:val="0"/>
          <w:color w:val="auto"/>
          <w:spacing w:val="0"/>
          <w:kern w:val="0"/>
          <w:sz w:val="32"/>
          <w:szCs w:val="32"/>
          <w:lang w:val="en-US" w:eastAsia="zh-CN" w:bidi="ar"/>
        </w:rPr>
      </w:pPr>
      <w:r>
        <w:rPr>
          <w:rFonts w:hint="eastAsia" w:ascii="仿宋_GB2312" w:eastAsia="仿宋_GB2312" w:cs="仿宋_GB2312"/>
          <w:b w:val="0"/>
          <w:bCs w:val="0"/>
          <w:caps w:val="0"/>
          <w:color w:val="auto"/>
          <w:spacing w:val="0"/>
          <w:kern w:val="0"/>
          <w:sz w:val="32"/>
          <w:szCs w:val="32"/>
          <w:lang w:val="en-US" w:eastAsia="zh-CN" w:bidi="ar"/>
        </w:rPr>
        <w:t>本功能区未承担建议提案办理。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ascii="楷体_GB2312" w:hAnsi="宋体" w:eastAsia="楷体_GB2312" w:cs="楷体_GB2312"/>
          <w:i w:val="0"/>
          <w:iCs w:val="0"/>
          <w:caps w:val="0"/>
          <w:color w:val="000000"/>
          <w:spacing w:val="0"/>
          <w:sz w:val="32"/>
          <w:szCs w:val="32"/>
        </w:rPr>
        <w:t>（四）本行政机关年度政务公开工作创新情况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宋体" w:eastAsia="黑体" w:cs="黑体"/>
          <w:sz w:val="32"/>
          <w:szCs w:val="32"/>
        </w:rPr>
      </w:pPr>
      <w:r>
        <w:rPr>
          <w:rFonts w:hint="eastAsia" w:ascii="仿宋_GB2312" w:hAnsi="仿宋_GB2312" w:eastAsia="仿宋_GB2312" w:cs="仿宋_GB2312"/>
          <w:sz w:val="32"/>
          <w:szCs w:val="32"/>
          <w:lang w:val="en-US" w:eastAsia="zh-CN"/>
        </w:rPr>
        <w:t>为有效推动政务公开，解决企业群众办事东奔西走，让辖区企业群众切实体会到“企业吹哨，政府报到”的贴心服务。</w:t>
      </w:r>
      <w:r>
        <w:rPr>
          <w:rFonts w:hint="eastAsia" w:ascii="仿宋_GB2312" w:hAnsi="仿宋_GB2312" w:eastAsia="仿宋_GB2312" w:cs="仿宋_GB2312"/>
          <w:sz w:val="32"/>
          <w:szCs w:val="32"/>
          <w:lang w:eastAsia="zh-CN"/>
        </w:rPr>
        <w:t>淄博经开区政务服务流动站</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吾悦金街</w:t>
      </w:r>
      <w:r>
        <w:rPr>
          <w:rFonts w:hint="eastAsia" w:ascii="仿宋_GB2312" w:hAnsi="仿宋_GB2312" w:eastAsia="仿宋_GB2312" w:cs="仿宋_GB2312"/>
          <w:sz w:val="32"/>
          <w:szCs w:val="32"/>
          <w:lang w:val="en-US" w:eastAsia="zh-CN"/>
        </w:rPr>
        <w:t>开展上门服务推进政务公开工作。</w:t>
      </w:r>
      <w:r>
        <w:rPr>
          <w:rFonts w:ascii="仿宋_GB2312" w:hAnsi="宋体" w:eastAsia="仿宋_GB2312" w:cs="仿宋_GB2312"/>
          <w:i w:val="0"/>
          <w:iCs w:val="0"/>
          <w:caps w:val="0"/>
          <w:color w:val="000000"/>
          <w:spacing w:val="0"/>
          <w:sz w:val="32"/>
          <w:szCs w:val="32"/>
        </w:rPr>
        <w:t>为公众提供更加便捷的政务公开体验功能。</w:t>
      </w:r>
    </w:p>
    <w:p>
      <w:pPr>
        <w:keepNext w:val="0"/>
        <w:keepLines w:val="0"/>
        <w:pageBreakBefore w:val="0"/>
        <w:kinsoku/>
        <w:overflowPunct/>
        <w:topLinePunct w:val="0"/>
        <w:autoSpaceDN/>
        <w:bidi w:val="0"/>
        <w:adjustRightInd/>
        <w:snapToGrid/>
        <w:spacing w:beforeAutospacing="0" w:afterAutospacing="0" w:line="560" w:lineRule="exact"/>
        <w:ind w:left="0" w:leftChars="0"/>
        <w:textAlignment w:val="auto"/>
        <w:rPr>
          <w:rFonts w:hint="eastAsia" w:ascii="仿宋_GB2312" w:eastAsia="仿宋_GB2312" w:cs="仿宋_GB2312" w:hAnsiTheme="minorHAnsi"/>
          <w:b/>
          <w:bCs/>
          <w:caps w:val="0"/>
          <w:color w:val="FF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4FE45"/>
    <w:multiLevelType w:val="singleLevel"/>
    <w:tmpl w:val="9264FE45"/>
    <w:lvl w:ilvl="0" w:tentative="0">
      <w:start w:val="6"/>
      <w:numFmt w:val="chineseCounting"/>
      <w:suff w:val="nothing"/>
      <w:lvlText w:val="%1、"/>
      <w:lvlJc w:val="left"/>
      <w:rPr>
        <w:rFonts w:hint="eastAsia"/>
      </w:rPr>
    </w:lvl>
  </w:abstractNum>
  <w:abstractNum w:abstractNumId="1">
    <w:nsid w:val="438D9B8D"/>
    <w:multiLevelType w:val="singleLevel"/>
    <w:tmpl w:val="438D9B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DMwZmQ0OWRjNjI2MjRjMDVhZGE0NmIzNmIzNzEifQ=="/>
  </w:docVars>
  <w:rsids>
    <w:rsidRoot w:val="00000000"/>
    <w:rsid w:val="014D28C9"/>
    <w:rsid w:val="01AA1AC9"/>
    <w:rsid w:val="01F77570"/>
    <w:rsid w:val="02F23728"/>
    <w:rsid w:val="04E13F30"/>
    <w:rsid w:val="04F01EE9"/>
    <w:rsid w:val="055F2BCB"/>
    <w:rsid w:val="0661309E"/>
    <w:rsid w:val="08030185"/>
    <w:rsid w:val="0893364F"/>
    <w:rsid w:val="0F74384E"/>
    <w:rsid w:val="10A02A15"/>
    <w:rsid w:val="119A3908"/>
    <w:rsid w:val="137361BF"/>
    <w:rsid w:val="1379754E"/>
    <w:rsid w:val="146855F8"/>
    <w:rsid w:val="158C5316"/>
    <w:rsid w:val="1A166D8F"/>
    <w:rsid w:val="1A7A7E33"/>
    <w:rsid w:val="1B281F85"/>
    <w:rsid w:val="1C511068"/>
    <w:rsid w:val="1CBB4733"/>
    <w:rsid w:val="1CCC4B92"/>
    <w:rsid w:val="1CE1063D"/>
    <w:rsid w:val="1D392227"/>
    <w:rsid w:val="1DCD2970"/>
    <w:rsid w:val="1E200CF1"/>
    <w:rsid w:val="1EBD4792"/>
    <w:rsid w:val="203C5B8B"/>
    <w:rsid w:val="205F40EE"/>
    <w:rsid w:val="20631369"/>
    <w:rsid w:val="20745325"/>
    <w:rsid w:val="21BB6D03"/>
    <w:rsid w:val="21D56297"/>
    <w:rsid w:val="23BF0FAD"/>
    <w:rsid w:val="245A2A83"/>
    <w:rsid w:val="263F6199"/>
    <w:rsid w:val="26516F2C"/>
    <w:rsid w:val="26FC63A5"/>
    <w:rsid w:val="288F53F1"/>
    <w:rsid w:val="2BB86A0D"/>
    <w:rsid w:val="2C0E487F"/>
    <w:rsid w:val="2CDC672B"/>
    <w:rsid w:val="2E42543E"/>
    <w:rsid w:val="2E5F4766"/>
    <w:rsid w:val="307B259B"/>
    <w:rsid w:val="309F1F4A"/>
    <w:rsid w:val="316D0A99"/>
    <w:rsid w:val="316F5DC0"/>
    <w:rsid w:val="32AC6BA0"/>
    <w:rsid w:val="34C529A2"/>
    <w:rsid w:val="369260AD"/>
    <w:rsid w:val="36FD5C1C"/>
    <w:rsid w:val="37D83F93"/>
    <w:rsid w:val="37F1E368"/>
    <w:rsid w:val="39696FD5"/>
    <w:rsid w:val="39BF365D"/>
    <w:rsid w:val="3B07411C"/>
    <w:rsid w:val="3B7F12F6"/>
    <w:rsid w:val="3C2B6D87"/>
    <w:rsid w:val="3C805325"/>
    <w:rsid w:val="3CB44FCF"/>
    <w:rsid w:val="3D5642D8"/>
    <w:rsid w:val="3E263CAA"/>
    <w:rsid w:val="3E9926CE"/>
    <w:rsid w:val="3ECE1266"/>
    <w:rsid w:val="3F8A64BB"/>
    <w:rsid w:val="3F9F1F66"/>
    <w:rsid w:val="3FC1012F"/>
    <w:rsid w:val="40580367"/>
    <w:rsid w:val="40DE6ABE"/>
    <w:rsid w:val="41B810BD"/>
    <w:rsid w:val="41C45CB4"/>
    <w:rsid w:val="42AE426E"/>
    <w:rsid w:val="42D33CD5"/>
    <w:rsid w:val="450F2C57"/>
    <w:rsid w:val="453A628D"/>
    <w:rsid w:val="45E16709"/>
    <w:rsid w:val="45E36925"/>
    <w:rsid w:val="471C3E9C"/>
    <w:rsid w:val="475E2707"/>
    <w:rsid w:val="48D32C81"/>
    <w:rsid w:val="491E63EF"/>
    <w:rsid w:val="4950607F"/>
    <w:rsid w:val="49D767A1"/>
    <w:rsid w:val="4A431740"/>
    <w:rsid w:val="4A563B69"/>
    <w:rsid w:val="4BF90C50"/>
    <w:rsid w:val="4D265A75"/>
    <w:rsid w:val="4DFF0074"/>
    <w:rsid w:val="4E41068C"/>
    <w:rsid w:val="4E564138"/>
    <w:rsid w:val="4F062B7F"/>
    <w:rsid w:val="4FED4999"/>
    <w:rsid w:val="508B3E41"/>
    <w:rsid w:val="51A76A58"/>
    <w:rsid w:val="53165C44"/>
    <w:rsid w:val="5407464F"/>
    <w:rsid w:val="540E78D6"/>
    <w:rsid w:val="543E18F6"/>
    <w:rsid w:val="5531510A"/>
    <w:rsid w:val="56024BA5"/>
    <w:rsid w:val="567D422C"/>
    <w:rsid w:val="569B7451"/>
    <w:rsid w:val="56C3571A"/>
    <w:rsid w:val="578A30A4"/>
    <w:rsid w:val="58D2085F"/>
    <w:rsid w:val="58DE7204"/>
    <w:rsid w:val="595C281E"/>
    <w:rsid w:val="5A5D05FC"/>
    <w:rsid w:val="5BC85F49"/>
    <w:rsid w:val="5C341831"/>
    <w:rsid w:val="5C677510"/>
    <w:rsid w:val="5CD86660"/>
    <w:rsid w:val="5CFB1D08"/>
    <w:rsid w:val="5D414AEF"/>
    <w:rsid w:val="5E3F7A69"/>
    <w:rsid w:val="5ED05841"/>
    <w:rsid w:val="5F630463"/>
    <w:rsid w:val="5F8F74AA"/>
    <w:rsid w:val="5FD01870"/>
    <w:rsid w:val="5FD17AC2"/>
    <w:rsid w:val="5FE80968"/>
    <w:rsid w:val="602006BF"/>
    <w:rsid w:val="62612C54"/>
    <w:rsid w:val="635F3637"/>
    <w:rsid w:val="638E5CCA"/>
    <w:rsid w:val="64704B0C"/>
    <w:rsid w:val="65586590"/>
    <w:rsid w:val="68686AEA"/>
    <w:rsid w:val="6874548F"/>
    <w:rsid w:val="6B721A2E"/>
    <w:rsid w:val="6BA17D5F"/>
    <w:rsid w:val="6C172D01"/>
    <w:rsid w:val="6DD32C57"/>
    <w:rsid w:val="6E58315D"/>
    <w:rsid w:val="6F0B6421"/>
    <w:rsid w:val="6F307C36"/>
    <w:rsid w:val="6F571666"/>
    <w:rsid w:val="7016507D"/>
    <w:rsid w:val="71F5BD11"/>
    <w:rsid w:val="72252EC6"/>
    <w:rsid w:val="74911176"/>
    <w:rsid w:val="789B25C4"/>
    <w:rsid w:val="79F75F20"/>
    <w:rsid w:val="7AFB37ED"/>
    <w:rsid w:val="7B8E6410"/>
    <w:rsid w:val="7BFF68F8"/>
    <w:rsid w:val="7CEC7EBB"/>
    <w:rsid w:val="7CF8248D"/>
    <w:rsid w:val="7D6513F2"/>
    <w:rsid w:val="7DB008BF"/>
    <w:rsid w:val="7DE1316F"/>
    <w:rsid w:val="F5B3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Emphasis"/>
    <w:basedOn w:val="5"/>
    <w:qFormat/>
    <w:uiPriority w:val="0"/>
    <w:rPr>
      <w:b/>
      <w:bCs/>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 w:type="character" w:customStyle="1" w:styleId="16">
    <w:name w:val="hover"/>
    <w:basedOn w:val="5"/>
    <w:qFormat/>
    <w:uiPriority w:val="0"/>
    <w:rPr>
      <w:color w:val="FFFFFF"/>
    </w:rPr>
  </w:style>
  <w:style w:type="character" w:customStyle="1" w:styleId="17">
    <w:name w:val="hover1"/>
    <w:basedOn w:val="5"/>
    <w:qFormat/>
    <w:uiPriority w:val="0"/>
    <w:rPr>
      <w:color w:val="245399"/>
    </w:rPr>
  </w:style>
  <w:style w:type="character" w:customStyle="1" w:styleId="18">
    <w:name w:val="hover2"/>
    <w:basedOn w:val="5"/>
    <w:qFormat/>
    <w:uiPriority w:val="0"/>
    <w:rPr>
      <w:color w:val="24539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admin/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rPr>
              <a:t>历年依申请公开数量</a:t>
            </a:r>
            <a:endParaRPr b="1">
              <a:solidFill>
                <a:schemeClr val="tx1"/>
              </a:solidFill>
            </a:endParaRPr>
          </a:p>
        </c:rich>
      </c:tx>
      <c:layout/>
      <c:overlay val="false"/>
      <c:spPr>
        <a:noFill/>
        <a:ln>
          <a:noFill/>
        </a:ln>
        <a:effectLst/>
      </c:spPr>
    </c:title>
    <c:autoTitleDeleted val="false"/>
    <c:plotArea>
      <c:layout/>
      <c:barChart>
        <c:barDir val="col"/>
        <c:grouping val="clustered"/>
        <c:varyColors val="false"/>
        <c:ser>
          <c:idx val="0"/>
          <c:order val="0"/>
          <c:tx>
            <c:strRef>
              <c:f>[新建Excel文档.xls]Sheet1!$B$1</c:f>
              <c:strCache>
                <c:ptCount val="1"/>
                <c:pt idx="0">
                  <c:v>数量</c:v>
                </c:pt>
              </c:strCache>
            </c:strRef>
          </c:tx>
          <c:spPr>
            <a:solidFill>
              <a:schemeClr val="accent1"/>
            </a:solidFill>
            <a:ln>
              <a:noFill/>
            </a:ln>
            <a:effectLst/>
          </c:spPr>
          <c:invertIfNegative val="false"/>
          <c:dLbls>
            <c:delete val="true"/>
          </c:dLbls>
          <c:cat>
            <c:strRef>
              <c:f>[新建Excel文档.xls]Sheet1!$A$2:$A$4</c:f>
              <c:strCache>
                <c:ptCount val="3"/>
                <c:pt idx="0">
                  <c:v>2020年</c:v>
                </c:pt>
                <c:pt idx="1">
                  <c:v>2021年</c:v>
                </c:pt>
                <c:pt idx="2">
                  <c:v>2022年</c:v>
                </c:pt>
              </c:strCache>
            </c:strRef>
          </c:cat>
          <c:val>
            <c:numRef>
              <c:f>[新建Excel文档.xls]Sheet1!$B$2:$B$4</c:f>
              <c:numCache>
                <c:formatCode>General</c:formatCode>
                <c:ptCount val="3"/>
                <c:pt idx="0">
                  <c:v>11</c:v>
                </c:pt>
                <c:pt idx="1">
                  <c:v>25</c:v>
                </c:pt>
                <c:pt idx="2">
                  <c:v>30</c:v>
                </c:pt>
              </c:numCache>
            </c:numRef>
          </c:val>
        </c:ser>
        <c:dLbls>
          <c:showLegendKey val="false"/>
          <c:showVal val="false"/>
          <c:showCatName val="false"/>
          <c:showSerName val="false"/>
          <c:showPercent val="false"/>
          <c:showBubbleSize val="false"/>
        </c:dLbls>
        <c:gapWidth val="219"/>
        <c:overlap val="-27"/>
        <c:axId val="104474394"/>
        <c:axId val="367581756"/>
      </c:barChart>
      <c:catAx>
        <c:axId val="10447439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7581756"/>
        <c:crosses val="autoZero"/>
        <c:auto val="true"/>
        <c:lblAlgn val="ctr"/>
        <c:lblOffset val="100"/>
        <c:noMultiLvlLbl val="false"/>
      </c:catAx>
      <c:valAx>
        <c:axId val="36758175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447439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2926</Words>
  <Characters>3090</Characters>
  <Lines>0</Lines>
  <Paragraphs>0</Paragraphs>
  <TotalTime>74</TotalTime>
  <ScaleCrop>false</ScaleCrop>
  <LinksUpToDate>false</LinksUpToDate>
  <CharactersWithSpaces>3118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2023-01-07T00:53:00Z</dcterms:created>
  <dc:creator>Lenovo009</dc:creator>
  <cp:lastModifiedBy>白白白白</cp:lastModifiedBy>
  <dcterms:modified xsi:type="dcterms:W3CDTF">2023-02-13T12:07:08Z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3BB000EB82D7410D8B0E88F0DB175367</vt:lpwstr>
  </property>
</Properties>
</file>