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8A3C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Autospacing="0" w:line="560" w:lineRule="atLeas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</w:p>
    <w:p w14:paraId="1662596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497" w:leftChars="244" w:right="1020" w:rightChars="50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w w:val="8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w w:val="80"/>
          <w:sz w:val="44"/>
          <w:szCs w:val="44"/>
        </w:rPr>
        <w:t>淄博经济开发区管理委员会</w:t>
      </w:r>
    </w:p>
    <w:p w14:paraId="61BB0E0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497" w:leftChars="244" w:right="1020" w:rightChars="50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w w:val="8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w w:val="8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w w:val="8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w w:val="8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w w:val="80"/>
          <w:sz w:val="44"/>
          <w:szCs w:val="44"/>
          <w:lang w:val="en-US"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w w:val="80"/>
          <w:sz w:val="44"/>
          <w:szCs w:val="44"/>
        </w:rPr>
        <w:t>信息公开工作年度报告</w:t>
      </w:r>
    </w:p>
    <w:p w14:paraId="1635D82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2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本年度报告中所列数据统计期限从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日到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年12月31日。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如对报告内容有疑问，请与经开区管委会办公室联系（地址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：淄博市张店区复兴路和重庆路路口东南角；邮编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：255000；联系电话：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18"/>
          <w:sz w:val="32"/>
          <w:szCs w:val="32"/>
          <w:lang w:val="en-US" w:eastAsia="zh-CN"/>
        </w:rPr>
        <w:t>0533-7870969；传真：0533-7870179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18"/>
          <w:sz w:val="32"/>
          <w:szCs w:val="32"/>
          <w:lang w:val="en-US" w:eastAsia="zh-CN"/>
        </w:rPr>
        <w:t>；电子邮箱（zibojingkaiqubangongshi@zb.shandong.cn）。</w:t>
      </w:r>
    </w:p>
    <w:p w14:paraId="6EAAF96B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40" w:beforeAutospacing="0" w:afterAutospacing="0" w:line="560" w:lineRule="atLeast"/>
        <w:ind w:left="0" w:firstLine="628" w:firstLineChars="200"/>
        <w:jc w:val="both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一、</w:t>
      </w:r>
      <w:r>
        <w:rPr>
          <w:rFonts w:hint="eastAsia" w:ascii="黑体" w:hAnsi="宋体" w:eastAsia="黑体" w:cs="黑体"/>
          <w:sz w:val="32"/>
          <w:szCs w:val="32"/>
        </w:rPr>
        <w:t>总体情况</w:t>
      </w:r>
    </w:p>
    <w:p w14:paraId="16A114D3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40" w:beforeAutospacing="0" w:afterAutospacing="0" w:line="560" w:lineRule="atLeast"/>
        <w:ind w:left="0" w:firstLine="628" w:firstLineChars="200"/>
        <w:jc w:val="both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lang w:val="en-US" w:eastAsia="zh-CN"/>
        </w:rPr>
        <w:t>2024年，经开区管委员会深入贯彻习近平新时代中国特色社会主义思想，顺应新时代政务公开的新趋势和新要求，紧密对接市政府的战略部署。坚持以公开促落实、助监督、强监管，不断提升政府公信力和执行力。</w:t>
      </w:r>
    </w:p>
    <w:p w14:paraId="0838CEEC">
      <w:pPr>
        <w:bidi w:val="0"/>
        <w:ind w:firstLine="628" w:firstLineChars="200"/>
        <w:rPr>
          <w:rFonts w:hint="eastAsia" w:eastAsia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（一）主动公开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方面</w:t>
      </w:r>
    </w:p>
    <w:p w14:paraId="7855F2FA"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40" w:beforeAutospacing="0" w:after="0" w:afterAutospacing="0" w:line="560" w:lineRule="atLeast"/>
        <w:ind w:left="0" w:right="0" w:firstLine="628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lang w:val="en-US" w:eastAsia="zh-CN"/>
        </w:rPr>
        <w:t>一是完善基础信息公开，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</w:rPr>
        <w:t>及时发布并实时更新规划信息、机构职能、财务信息、政务公开培训信息等法定基础公开内容，全年共发布信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  <w:t>息</w:t>
      </w:r>
      <w:r>
        <w:rPr>
          <w:rFonts w:hint="eastAsia" w:eastAsia="仿宋_GB2312" w:cs="Times New Roman"/>
          <w:caps w:val="0"/>
          <w:color w:val="333333"/>
          <w:spacing w:val="0"/>
          <w:sz w:val="32"/>
          <w:szCs w:val="32"/>
          <w:lang w:val="en-US" w:eastAsia="zh-CN"/>
        </w:rPr>
        <w:t>974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</w:rPr>
        <w:t>条。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lang w:val="en-US" w:eastAsia="zh-CN"/>
        </w:rPr>
        <w:t>二是推进文件公开与解读，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</w:rPr>
        <w:t>主动公开区办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公室文件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，按照“谁起草、谁解读”的原则，将政策解读与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</w:rPr>
        <w:t>政策制定同步进行。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</w:rPr>
        <w:t>及时发布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lang w:val="en-US" w:eastAsia="zh-CN"/>
        </w:rPr>
        <w:t>区管委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</w:rPr>
        <w:t>会议信息，并发布事项解读让群众明白，使公开的信息简单明了。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lang w:val="en-US" w:eastAsia="zh-CN"/>
        </w:rPr>
        <w:t>四是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</w:rPr>
        <w:t>围绕教育、交通、医疗卫生、水电热气等领域推动企事业单位信息公开。</w:t>
      </w:r>
    </w:p>
    <w:p w14:paraId="67333256">
      <w:pPr>
        <w:bidi w:val="0"/>
        <w:ind w:firstLine="628" w:firstLineChars="20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（二）依申请公开方面</w:t>
      </w:r>
    </w:p>
    <w:p w14:paraId="496AEB0D"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40" w:beforeAutospacing="0" w:after="0" w:afterAutospacing="0" w:line="560" w:lineRule="atLeast"/>
        <w:ind w:left="0" w:right="0" w:firstLine="548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5142230" cy="2950845"/>
            <wp:effectExtent l="4445" t="4445" r="15875" b="1651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B9B4737"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40" w:beforeAutospacing="0" w:after="0" w:afterAutospacing="0" w:line="560" w:lineRule="atLeast"/>
        <w:ind w:left="0" w:right="0" w:firstLine="628" w:firstLineChars="200"/>
        <w:jc w:val="both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eastAsia="仿宋_GB2312" w:cs="Times New Roman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  <w:t>年全年受理向经开区管委会各镇、各部门提起的信息公开申请</w:t>
      </w:r>
      <w:r>
        <w:rPr>
          <w:rFonts w:hint="eastAsia" w:eastAsia="仿宋_GB2312" w:cs="Times New Roman"/>
          <w:caps w:val="0"/>
          <w:color w:val="333333"/>
          <w:spacing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  <w:t>件，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lang w:val="en-US" w:eastAsia="zh-CN"/>
        </w:rPr>
        <w:t>全部依法依规予以办理。因依申请公开引发的行政复议案件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lang w:val="en-US" w:eastAsia="zh-CN"/>
        </w:rPr>
        <w:t>，所有案件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  <w:t>均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lang w:val="en-US" w:eastAsia="zh-CN"/>
        </w:rPr>
        <w:t>按照法定程序进行了办理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</w:rPr>
        <w:t>，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lang w:val="en-US" w:eastAsia="zh-CN"/>
        </w:rPr>
        <w:t>较好保障了企业和群众获取政府信息的权利。与去年相比数量减少，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</w:rPr>
        <w:t>无结转下年度继续办理件。</w:t>
      </w:r>
    </w:p>
    <w:p w14:paraId="1E4B132B">
      <w:pPr>
        <w:bidi w:val="0"/>
        <w:ind w:firstLine="628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（三）政府信息管理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方面</w:t>
      </w:r>
    </w:p>
    <w:p w14:paraId="2F224C2F"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40" w:beforeAutospacing="0" w:after="0" w:afterAutospacing="0" w:line="560" w:lineRule="atLeast"/>
        <w:ind w:left="0" w:right="0" w:firstLine="628" w:firstLineChars="200"/>
        <w:jc w:val="both"/>
        <w:textAlignment w:val="auto"/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lang w:val="en-US" w:eastAsia="zh-CN"/>
        </w:rPr>
        <w:t>建立个人隐私保密长效机制，强化对个人隐私信息的保护，依法依规做好个人信息公开工作。动态更新政府信息主动公开目录，明确全年重点工作和责任分工；完善政府信息公开源头认定机制；对拟公开的政府信息依法依规做好保密审查，切实做到“涉密信息不上网、上网信息不涉密”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</w:rPr>
        <w:t>，全年未发生在政府信息公开过程中公布涉密文件和泄密的情况。</w:t>
      </w:r>
    </w:p>
    <w:p w14:paraId="435A092F">
      <w:pPr>
        <w:bidi w:val="0"/>
        <w:ind w:firstLine="628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（四）政府信息公开平台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方面</w:t>
      </w:r>
    </w:p>
    <w:p w14:paraId="348BD264"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40" w:beforeAutospacing="0" w:after="0" w:afterAutospacing="0" w:line="560" w:lineRule="atLeast"/>
        <w:ind w:left="0" w:right="0" w:firstLine="628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lang w:val="en-US" w:eastAsia="zh-CN"/>
        </w:rPr>
        <w:t>根据市政府办公室工作部署，及时调整优化政府信息公开平台栏目设置，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</w:rPr>
        <w:t>对所设置栏目按照要求及时进行内容维护。充分发挥互联网覆盖面广、传播迅速、便于查询的优势，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lang w:val="en-US" w:eastAsia="zh-CN"/>
        </w:rPr>
        <w:t>截至目前，微信信息发布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lang w:val="en-US" w:eastAsia="zh-CN"/>
        </w:rPr>
        <w:t>量1846条，订阅数53680人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lang w:val="en-US" w:eastAsia="zh-CN"/>
        </w:rPr>
        <w:t>，今日头条爱经开订阅数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caps w:val="0"/>
          <w:color w:val="333333"/>
          <w:spacing w:val="0"/>
          <w:sz w:val="32"/>
          <w:szCs w:val="32"/>
          <w:lang w:val="en-US" w:eastAsia="zh-CN"/>
        </w:rPr>
        <w:t>36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lang w:val="en-US" w:eastAsia="zh-CN"/>
        </w:rPr>
        <w:t>人，信息发布量</w:t>
      </w:r>
      <w:r>
        <w:rPr>
          <w:rFonts w:hint="eastAsia" w:eastAsia="仿宋_GB2312" w:cs="Times New Roman"/>
          <w:caps w:val="0"/>
          <w:color w:val="333333"/>
          <w:spacing w:val="0"/>
          <w:sz w:val="32"/>
          <w:szCs w:val="32"/>
          <w:lang w:val="en-US" w:eastAsia="zh-CN"/>
        </w:rPr>
        <w:t>211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lang w:val="en-US" w:eastAsia="zh-CN"/>
        </w:rPr>
        <w:t>条，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</w:rPr>
        <w:t>自身做好政务信息公开的同时，切实督促各部门单位办好微信公众号，定时更新，进一步扩大受众面。</w:t>
      </w:r>
    </w:p>
    <w:p w14:paraId="05919694">
      <w:pPr>
        <w:bidi w:val="0"/>
        <w:ind w:firstLine="628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（五）监督保障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方面</w:t>
      </w:r>
    </w:p>
    <w:p w14:paraId="7E3E4594"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40" w:beforeAutospacing="0" w:after="0" w:afterAutospacing="0" w:line="560" w:lineRule="atLeast"/>
        <w:ind w:left="0" w:right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lang w:val="en-US" w:eastAsia="zh-CN"/>
        </w:rPr>
        <w:t>制定 2024 年政务公开培训计划，年内组织召开相关培训会议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lang w:val="en-US" w:eastAsia="zh-CN"/>
        </w:rPr>
        <w:t>次，极大的增强了相关人员的业务能力，有力的保障了</w:t>
      </w:r>
      <w:r>
        <w:rPr>
          <w:rFonts w:hint="eastAsia" w:eastAsia="仿宋_GB2312" w:cs="Times New Roman"/>
          <w:caps w:val="0"/>
          <w:color w:val="333333"/>
          <w:spacing w:val="0"/>
          <w:sz w:val="32"/>
          <w:szCs w:val="32"/>
          <w:lang w:val="en-US" w:eastAsia="zh-CN"/>
        </w:rPr>
        <w:t>经开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lang w:val="en-US" w:eastAsia="zh-CN"/>
        </w:rPr>
        <w:t>区政务公开工作的顺利开展；贯彻落实省、市关于2024年政务公开工作的部署精神，推进全区政务公开工作再上新台阶。2024年，政府信息公开工作无社会评议和责任追究结果情况。 </w:t>
      </w:r>
    </w:p>
    <w:p w14:paraId="603F99E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40" w:beforeAutospacing="0" w:after="0" w:afterAutospacing="0" w:line="560" w:lineRule="atLeast"/>
        <w:ind w:left="0" w:right="0" w:firstLine="628" w:firstLineChars="200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6"/>
        <w:tblW w:w="939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4"/>
        <w:gridCol w:w="2255"/>
        <w:gridCol w:w="1985"/>
        <w:gridCol w:w="3126"/>
      </w:tblGrid>
      <w:tr w14:paraId="33C078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3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EF810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第二十条 第（一）项</w:t>
            </w:r>
          </w:p>
        </w:tc>
      </w:tr>
      <w:tr w14:paraId="15EFD9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710F13"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2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E6D5F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本年制发件数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1335B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本年废止件数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CEC7C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现行有效件数</w:t>
            </w:r>
          </w:p>
        </w:tc>
      </w:tr>
      <w:tr w14:paraId="2C2887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0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57CB0F"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规章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ED07D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BFE73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04437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</w:tr>
      <w:tr w14:paraId="0A07AC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0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9A3C9E"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行政规范性文件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DF775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C79E1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F9941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</w:tr>
      <w:tr w14:paraId="24356E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3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5948A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第二十条 第（五）项</w:t>
            </w:r>
          </w:p>
        </w:tc>
      </w:tr>
      <w:tr w14:paraId="1909D1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F6A6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736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C2E8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本年处理决定数量</w:t>
            </w:r>
          </w:p>
        </w:tc>
      </w:tr>
      <w:tr w14:paraId="72595B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0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97791"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行政许可</w:t>
            </w:r>
          </w:p>
        </w:tc>
        <w:tc>
          <w:tcPr>
            <w:tcW w:w="73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1C3CB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18227</w:t>
            </w:r>
          </w:p>
        </w:tc>
      </w:tr>
      <w:tr w14:paraId="017920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3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79370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第二十条 第（六）项</w:t>
            </w:r>
          </w:p>
        </w:tc>
      </w:tr>
      <w:tr w14:paraId="4A4C85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3E0C4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736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2CD15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本年处理决定数量</w:t>
            </w:r>
          </w:p>
        </w:tc>
      </w:tr>
      <w:tr w14:paraId="75DF08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0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58187"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行政处罚</w:t>
            </w:r>
          </w:p>
        </w:tc>
        <w:tc>
          <w:tcPr>
            <w:tcW w:w="73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11D50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202</w:t>
            </w:r>
          </w:p>
        </w:tc>
      </w:tr>
      <w:tr w14:paraId="65A35D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0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21067"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行政强制</w:t>
            </w:r>
          </w:p>
        </w:tc>
        <w:tc>
          <w:tcPr>
            <w:tcW w:w="73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D3FA6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31</w:t>
            </w:r>
          </w:p>
        </w:tc>
      </w:tr>
      <w:tr w14:paraId="2B46FE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93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EED23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第二十条 第（八）项</w:t>
            </w:r>
          </w:p>
        </w:tc>
      </w:tr>
      <w:tr w14:paraId="60EB07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0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5AA4E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736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7AFE0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本年收费金额（单位：万元）</w:t>
            </w:r>
          </w:p>
        </w:tc>
      </w:tr>
      <w:tr w14:paraId="58D690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0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A8FAC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行政事业性收费</w:t>
            </w:r>
          </w:p>
        </w:tc>
        <w:tc>
          <w:tcPr>
            <w:tcW w:w="73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ADA1E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182.68</w:t>
            </w:r>
          </w:p>
        </w:tc>
      </w:tr>
    </w:tbl>
    <w:p w14:paraId="5662796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40" w:beforeAutospacing="0" w:after="0" w:afterAutospacing="0" w:line="560" w:lineRule="atLeast"/>
        <w:ind w:left="0" w:right="0" w:firstLine="628" w:firstLineChars="200"/>
        <w:textAlignment w:val="auto"/>
        <w:rPr>
          <w:rFonts w:hint="default" w:ascii="黑体" w:hAnsi="宋体" w:eastAsia="黑体" w:cs="黑体"/>
          <w:caps w:val="0"/>
          <w:color w:val="000000"/>
          <w:spacing w:val="0"/>
          <w:sz w:val="32"/>
          <w:szCs w:val="32"/>
        </w:rPr>
      </w:pPr>
    </w:p>
    <w:p w14:paraId="540236B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40" w:beforeAutospacing="0" w:after="0" w:afterAutospacing="0" w:line="560" w:lineRule="atLeast"/>
        <w:ind w:left="0" w:right="0" w:firstLine="628" w:firstLineChars="200"/>
        <w:textAlignment w:val="auto"/>
        <w:rPr>
          <w:rFonts w:hint="default" w:ascii="黑体" w:hAnsi="宋体" w:eastAsia="黑体" w:cs="黑体"/>
          <w:caps w:val="0"/>
          <w:color w:val="000000"/>
          <w:spacing w:val="0"/>
          <w:sz w:val="32"/>
          <w:szCs w:val="32"/>
        </w:rPr>
      </w:pPr>
      <w:r>
        <w:rPr>
          <w:rFonts w:hint="default" w:ascii="黑体" w:hAnsi="宋体" w:eastAsia="黑体" w:cs="黑体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Style w:val="6"/>
        <w:tblpPr w:leftFromText="180" w:rightFromText="180" w:vertAnchor="text" w:horzAnchor="page" w:tblpX="1565" w:tblpY="529"/>
        <w:tblOverlap w:val="never"/>
        <w:tblW w:w="941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3"/>
        <w:gridCol w:w="844"/>
        <w:gridCol w:w="2314"/>
        <w:gridCol w:w="665"/>
        <w:gridCol w:w="743"/>
        <w:gridCol w:w="687"/>
        <w:gridCol w:w="877"/>
        <w:gridCol w:w="855"/>
        <w:gridCol w:w="511"/>
        <w:gridCol w:w="1291"/>
      </w:tblGrid>
      <w:tr w14:paraId="0F6F26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378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273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62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D6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申请人情况</w:t>
            </w:r>
          </w:p>
        </w:tc>
      </w:tr>
      <w:tr w14:paraId="712A24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378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F7CF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219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67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AD2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129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621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总计</w:t>
            </w:r>
          </w:p>
        </w:tc>
      </w:tr>
      <w:tr w14:paraId="52812A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378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39EF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77FD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4F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商业企业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D64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8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F7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DEB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488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129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0A0B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 w14:paraId="06C46F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78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1B0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517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26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0BB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79B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C8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FF4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DED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18A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26</w:t>
            </w:r>
          </w:p>
        </w:tc>
      </w:tr>
      <w:tr w14:paraId="173901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378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37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9E3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382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CB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4F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D49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688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A3D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 w14:paraId="790646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6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0D5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1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F95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5B0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DF9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D6B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2D9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E72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276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27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12</w:t>
            </w:r>
          </w:p>
        </w:tc>
      </w:tr>
      <w:tr w14:paraId="69AD33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8E8E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1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9A6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93C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81B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B4D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A90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A63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FC9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F6A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10</w:t>
            </w:r>
          </w:p>
        </w:tc>
      </w:tr>
      <w:tr w14:paraId="6D27FC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6C5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AF6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EF6F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7BD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6D5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191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2D5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9F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4EC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F68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 w14:paraId="3B6FCE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3CC4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0063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8CA6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7A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D07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937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F0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25E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EFA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4BF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 w14:paraId="7882CD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016B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9E0F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4C34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077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E8C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B36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FF8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816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54B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ECB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 w14:paraId="538DAD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104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D19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627D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789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F39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6D9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0B7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128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6E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798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</w:tr>
      <w:tr w14:paraId="506C07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3477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B80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3E79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123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BBC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AF0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D0F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0C4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DD9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6FF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 w14:paraId="765E54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5882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4F5E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AA26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B2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804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8DA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B4A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E17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205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F8A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 w14:paraId="456640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9F15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267A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1FEB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295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6A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45D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94E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78D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A3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EFC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 w14:paraId="456AB0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85C6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9C23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DFA2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48F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DE5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3C3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EC3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D9F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7A0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A5D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 w14:paraId="1AEABD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61E5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D22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9349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B8D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E40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8C2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617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9BE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09B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5D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</w:tr>
      <w:tr w14:paraId="0735A9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796B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65A8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4705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79A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A9B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038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B4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0C0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1DC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57B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 w14:paraId="277BBD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B33B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986A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C12B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FE1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93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B75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FDA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B09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3C3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785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 w14:paraId="5CCFF2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4F0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24A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2290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FBC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8DF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52F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CB7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F49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763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65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 w14:paraId="21F28C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C51C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299C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0854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B21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39D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FDF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2EC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F61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F0E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C72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 w14:paraId="6B0688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EA4C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2DAC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9936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24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7E6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B18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410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109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7B6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DE7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 w14:paraId="32F8B1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6F7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8AAF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6588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425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171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704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526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182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A41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BDB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 w14:paraId="50C3CB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D06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97F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9AF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8AF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D49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907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BD0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EA8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8D7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D45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 w14:paraId="30FEB9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BDEC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5F5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116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1EC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04E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772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0C4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8C4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B45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27F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 w14:paraId="3E346A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B6A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4C02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CA3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99E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F9A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7D2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91F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B7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B59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F5A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 w14:paraId="40FAA4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E0E3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77AA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B1D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3.其他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507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A3E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3E1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9B1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0E3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461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04B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 w14:paraId="5FAD3C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ED29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1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F94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0F2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26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4A6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D72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301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3D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091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D5A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26</w:t>
            </w:r>
          </w:p>
        </w:tc>
      </w:tr>
      <w:tr w14:paraId="6CF628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378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78A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FE5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B1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B2E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870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A3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24E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C0E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</w:tbl>
    <w:p w14:paraId="4A9CAD2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40" w:beforeAutospacing="0" w:after="0" w:afterAutospacing="0" w:line="560" w:lineRule="atLeast"/>
        <w:ind w:left="0" w:right="0" w:firstLine="628" w:firstLineChars="200"/>
        <w:textAlignment w:val="auto"/>
        <w:rPr>
          <w:rFonts w:hint="default" w:ascii="Times New Roman" w:hAnsi="Times New Roman" w:eastAsia="黑体" w:cs="Times New Roman"/>
          <w:caps w:val="0"/>
          <w:color w:val="000000"/>
          <w:spacing w:val="0"/>
          <w:sz w:val="32"/>
          <w:szCs w:val="32"/>
        </w:rPr>
      </w:pPr>
    </w:p>
    <w:p w14:paraId="7D2F445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40" w:beforeAutospacing="0" w:after="0" w:afterAutospacing="0" w:line="560" w:lineRule="atLeast"/>
        <w:ind w:left="0" w:right="0" w:firstLine="628" w:firstLineChars="200"/>
        <w:textAlignment w:val="auto"/>
        <w:rPr>
          <w:rFonts w:hint="default" w:ascii="黑体" w:hAnsi="宋体" w:eastAsia="黑体" w:cs="黑体"/>
          <w:caps w:val="0"/>
          <w:color w:val="000000"/>
          <w:spacing w:val="0"/>
          <w:sz w:val="32"/>
          <w:szCs w:val="32"/>
        </w:rPr>
      </w:pPr>
      <w:r>
        <w:rPr>
          <w:rFonts w:hint="default" w:ascii="黑体" w:hAnsi="宋体" w:eastAsia="黑体" w:cs="黑体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tbl>
      <w:tblPr>
        <w:tblStyle w:val="6"/>
        <w:tblpPr w:leftFromText="180" w:rightFromText="180" w:vertAnchor="text" w:horzAnchor="page" w:tblpX="1580" w:tblpY="933"/>
        <w:tblOverlap w:val="never"/>
        <w:tblW w:w="942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580"/>
        <w:gridCol w:w="581"/>
        <w:gridCol w:w="581"/>
        <w:gridCol w:w="590"/>
        <w:gridCol w:w="581"/>
        <w:gridCol w:w="581"/>
        <w:gridCol w:w="581"/>
        <w:gridCol w:w="581"/>
        <w:gridCol w:w="591"/>
        <w:gridCol w:w="582"/>
        <w:gridCol w:w="582"/>
        <w:gridCol w:w="583"/>
        <w:gridCol w:w="583"/>
        <w:gridCol w:w="1438"/>
      </w:tblGrid>
      <w:tr w14:paraId="15F25C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7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2813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行政复议</w:t>
            </w:r>
          </w:p>
        </w:tc>
        <w:tc>
          <w:tcPr>
            <w:tcW w:w="668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5FD6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行政诉讼</w:t>
            </w:r>
          </w:p>
        </w:tc>
      </w:tr>
      <w:tr w14:paraId="2FFAFF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A2BA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结果维持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B359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5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D60A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5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B407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5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C206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2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0C1F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未经复议直接起诉</w:t>
            </w:r>
          </w:p>
        </w:tc>
        <w:tc>
          <w:tcPr>
            <w:tcW w:w="37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D92D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复议后起诉</w:t>
            </w:r>
          </w:p>
        </w:tc>
      </w:tr>
      <w:tr w14:paraId="72D406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4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6CF85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rPr>
                <w:rFonts w:hint="eastAsia" w:asci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72BAB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rPr>
                <w:rFonts w:hint="eastAsia" w:asci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FFE68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rPr>
                <w:rFonts w:hint="eastAsia" w:asci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BB587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rPr>
                <w:rFonts w:hint="eastAsia" w:asci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BB1AD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rPr>
                <w:rFonts w:hint="eastAsia" w:asci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E41C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6395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0498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017C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703D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F8B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ACF6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47DF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3F98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5FCC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</w:tr>
      <w:tr w14:paraId="4E54B7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591C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5150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27FF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585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AE58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942F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3AC6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ADD0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0538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68D2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62E6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B08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A9B6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A174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7DF5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</w:tbl>
    <w:p w14:paraId="05C9BE6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atLeast"/>
        <w:ind w:left="0" w:firstLine="628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4EC40B36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atLeast"/>
        <w:ind w:right="0" w:rightChars="0" w:firstLine="628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eastAsia="黑体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</w:rPr>
        <w:t>存在的主要问题及改进情况</w:t>
      </w:r>
    </w:p>
    <w:p w14:paraId="7DFDA5A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 w:val="0"/>
        <w:autoSpaceDN/>
        <w:bidi w:val="0"/>
        <w:adjustRightInd/>
        <w:snapToGrid/>
        <w:spacing w:before="40" w:beforeAutospacing="0" w:after="0" w:afterAutospacing="0" w:line="560" w:lineRule="atLeast"/>
        <w:ind w:left="0" w:right="0" w:firstLine="628" w:firstLineChars="200"/>
        <w:jc w:val="both"/>
        <w:textAlignment w:val="auto"/>
        <w:rPr>
          <w:rFonts w:hint="default" w:ascii="仿宋_GB2312" w:eastAsia="仿宋_GB2312" w:cs="仿宋_GB2312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仿宋_GB2312" w:eastAsia="仿宋_GB2312" w:cs="仿宋_GB2312"/>
          <w:caps w:val="0"/>
          <w:color w:val="333333"/>
          <w:spacing w:val="0"/>
          <w:sz w:val="32"/>
          <w:szCs w:val="32"/>
          <w:lang w:val="en-US" w:eastAsia="zh-CN"/>
        </w:rPr>
        <w:t>存在的主要问题：一是个别单位重视程度不够，信息更新不及时、发布不规范；二是基层政务公开工作人员力量薄弱。针对上述问题，我区将从以下几个方面改进：</w:t>
      </w:r>
    </w:p>
    <w:p w14:paraId="18EA8DE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 w:val="0"/>
        <w:autoSpaceDN/>
        <w:bidi w:val="0"/>
        <w:adjustRightInd/>
        <w:snapToGrid/>
        <w:spacing w:before="40" w:beforeAutospacing="0" w:after="0" w:afterAutospacing="0" w:line="560" w:lineRule="atLeast"/>
        <w:ind w:left="0" w:right="0" w:firstLine="628" w:firstLineChars="200"/>
        <w:jc w:val="both"/>
        <w:textAlignment w:val="auto"/>
        <w:rPr>
          <w:rFonts w:hint="default" w:ascii="仿宋_GB2312" w:eastAsia="仿宋_GB2312" w:cs="仿宋_GB2312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仿宋_GB2312" w:eastAsia="仿宋_GB2312" w:cs="仿宋_GB2312"/>
          <w:caps w:val="0"/>
          <w:color w:val="333333"/>
          <w:spacing w:val="0"/>
          <w:sz w:val="32"/>
          <w:szCs w:val="32"/>
          <w:lang w:val="en-US" w:eastAsia="zh-CN"/>
        </w:rPr>
        <w:t>（一）明确专人加强信息发布审核，做好常态化提醒。对标国办、省办印发的政务公开工作要点和任务分工，持续开展专项提升行动，推进问题整改力度。</w:t>
      </w:r>
    </w:p>
    <w:p w14:paraId="79C2E0A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 w:val="0"/>
        <w:autoSpaceDN/>
        <w:bidi w:val="0"/>
        <w:adjustRightInd/>
        <w:snapToGrid/>
        <w:spacing w:before="40" w:beforeAutospacing="0" w:after="0" w:afterAutospacing="0" w:line="560" w:lineRule="atLeast"/>
        <w:ind w:left="0" w:right="0" w:firstLine="628" w:firstLineChars="200"/>
        <w:jc w:val="both"/>
        <w:textAlignment w:val="auto"/>
        <w:rPr>
          <w:rFonts w:hint="default" w:ascii="仿宋_GB2312" w:eastAsia="仿宋_GB2312" w:cs="仿宋_GB2312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仿宋_GB2312" w:eastAsia="仿宋_GB2312" w:cs="仿宋_GB2312"/>
          <w:caps w:val="0"/>
          <w:color w:val="333333"/>
          <w:spacing w:val="0"/>
          <w:sz w:val="32"/>
          <w:szCs w:val="32"/>
          <w:lang w:val="en-US" w:eastAsia="zh-CN"/>
        </w:rPr>
        <w:t>（二）加强政务公开人员队伍建设。以问题为导向，开展政务公开业务培训，构建群众参与有保障、主动公开讲质量、基层治理见效率的政务公开环境，以公开促进政府法治建设和政府透明度指数持续提升。</w:t>
      </w:r>
    </w:p>
    <w:p w14:paraId="20479A2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atLeast"/>
        <w:ind w:left="0" w:firstLine="628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六、其他需要报告的事项</w:t>
      </w:r>
    </w:p>
    <w:p w14:paraId="22390CA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atLeas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（一）依据《政府信息公开信息处理费管理办法》收取信息处理费的情况：无。</w:t>
      </w:r>
    </w:p>
    <w:p w14:paraId="0EE10F5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atLeas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（二）本年度建议提案办理情况：无</w:t>
      </w:r>
    </w:p>
    <w:p w14:paraId="67E2746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atLeas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（三）本行政机关在政务公开制度、内容、形式和平台建设方面的创新实践情况：依申请公开方面，不断加强各单位间的协调力度，统一各单位答复口径，进一步对法律依据、指引答复工作进行规范。</w:t>
      </w:r>
    </w:p>
    <w:p w14:paraId="364EB082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628" w:firstLineChars="200"/>
        <w:rPr>
          <w:rFonts w:hint="default"/>
          <w:sz w:val="2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）《202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年淄博市政务公开工作方案》落实情况：根据市政务公开工作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制定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年淄博经济开发区政务公开方案》，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以清单形式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明确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工作要求、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责任单位和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等内容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，确保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上级部署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任务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全面落实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1256371D">
      <w:pPr>
        <w:tabs>
          <w:tab w:val="left" w:pos="891"/>
        </w:tabs>
        <w:bidi w:val="0"/>
        <w:jc w:val="left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ab/>
      </w:r>
    </w:p>
    <w:p w14:paraId="163EC52B">
      <w:pPr>
        <w:tabs>
          <w:tab w:val="left" w:pos="891"/>
        </w:tabs>
        <w:bidi w:val="0"/>
        <w:jc w:val="left"/>
        <w:rPr>
          <w:rFonts w:hint="default"/>
          <w:sz w:val="22"/>
          <w:szCs w:val="28"/>
          <w:lang w:val="en-US" w:eastAsia="zh-CN"/>
        </w:rPr>
      </w:pPr>
    </w:p>
    <w:p w14:paraId="585F9D3C">
      <w:pPr>
        <w:tabs>
          <w:tab w:val="left" w:pos="891"/>
        </w:tabs>
        <w:bidi w:val="0"/>
        <w:jc w:val="left"/>
        <w:rPr>
          <w:rFonts w:hint="default"/>
          <w:sz w:val="22"/>
          <w:szCs w:val="28"/>
          <w:lang w:val="en-US" w:eastAsia="zh-CN"/>
        </w:rPr>
      </w:pPr>
    </w:p>
    <w:p w14:paraId="28B2D819">
      <w:pPr>
        <w:pStyle w:val="5"/>
        <w:keepNext w:val="0"/>
        <w:keepLines w:val="0"/>
        <w:widowControl/>
        <w:suppressLineNumbers w:val="0"/>
        <w:spacing w:before="2520" w:beforeAutospacing="0" w:after="0" w:afterAutospacing="0" w:line="560" w:lineRule="atLeast"/>
        <w:ind w:left="0" w:right="0" w:firstLine="640"/>
        <w:jc w:val="both"/>
        <w:rPr>
          <w:rFonts w:hint="eastAsia" w:eastAsia="宋体"/>
          <w:sz w:val="28"/>
          <w:szCs w:val="28"/>
          <w:lang w:eastAsia="zh-CN"/>
        </w:rPr>
      </w:pPr>
    </w:p>
    <w:p w14:paraId="1F51C907">
      <w:pPr>
        <w:pStyle w:val="5"/>
        <w:keepNext w:val="0"/>
        <w:keepLines w:val="0"/>
        <w:widowControl/>
        <w:suppressLineNumbers w:val="0"/>
        <w:spacing w:before="2520" w:beforeAutospacing="0" w:after="0" w:afterAutospacing="0" w:line="560" w:lineRule="atLeast"/>
        <w:ind w:left="0" w:right="0" w:firstLine="640"/>
        <w:jc w:val="both"/>
        <w:rPr>
          <w:sz w:val="28"/>
          <w:szCs w:val="28"/>
        </w:rPr>
      </w:pPr>
    </w:p>
    <w:p w14:paraId="1BBDFC69">
      <w:pPr>
        <w:tabs>
          <w:tab w:val="left" w:pos="891"/>
        </w:tabs>
        <w:bidi w:val="0"/>
        <w:jc w:val="left"/>
        <w:rPr>
          <w:rFonts w:hint="default"/>
          <w:sz w:val="22"/>
          <w:szCs w:val="28"/>
          <w:lang w:val="en-US" w:eastAsia="zh-CN"/>
        </w:rPr>
      </w:pPr>
    </w:p>
    <w:p w14:paraId="7FC4811A">
      <w:pPr>
        <w:jc w:val="center"/>
        <w:rPr>
          <w:rFonts w:hint="eastAsia"/>
          <w:sz w:val="48"/>
          <w:szCs w:val="48"/>
        </w:rPr>
      </w:pPr>
    </w:p>
    <w:p w14:paraId="27A6CE21">
      <w:pPr>
        <w:rPr>
          <w:rFonts w:hint="default"/>
          <w:sz w:val="22"/>
          <w:szCs w:val="28"/>
          <w:lang w:val="en-US" w:eastAsia="zh-CN"/>
        </w:rPr>
      </w:pPr>
    </w:p>
    <w:p w14:paraId="3208B7F2">
      <w:pPr>
        <w:rPr>
          <w:rFonts w:hint="default"/>
          <w:sz w:val="22"/>
          <w:szCs w:val="28"/>
          <w:lang w:val="en-US" w:eastAsia="zh-CN"/>
        </w:rPr>
      </w:pPr>
    </w:p>
    <w:sectPr>
      <w:pgSz w:w="11906" w:h="16838"/>
      <w:pgMar w:top="2098" w:right="1588" w:bottom="1985" w:left="1588" w:header="851" w:footer="1588" w:gutter="0"/>
      <w:cols w:space="720" w:num="1"/>
      <w:docGrid w:type="linesAndChars" w:linePitch="289" w:charSpace="-14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ODMwZmQ0OWRjNjI2MjRjMDVhZGE0NmIzNmIzNzEifQ=="/>
  </w:docVars>
  <w:rsids>
    <w:rsidRoot w:val="00000000"/>
    <w:rsid w:val="000C024B"/>
    <w:rsid w:val="014D28C9"/>
    <w:rsid w:val="01AA1AC9"/>
    <w:rsid w:val="027A149C"/>
    <w:rsid w:val="02C42331"/>
    <w:rsid w:val="03653EFA"/>
    <w:rsid w:val="04F01EE9"/>
    <w:rsid w:val="055F2BCB"/>
    <w:rsid w:val="071C0D73"/>
    <w:rsid w:val="08030185"/>
    <w:rsid w:val="081B35FC"/>
    <w:rsid w:val="086230FE"/>
    <w:rsid w:val="09A426F2"/>
    <w:rsid w:val="0A8223A2"/>
    <w:rsid w:val="0C6C18E2"/>
    <w:rsid w:val="0CDA72D1"/>
    <w:rsid w:val="0EAD12BB"/>
    <w:rsid w:val="10202503"/>
    <w:rsid w:val="10A02A15"/>
    <w:rsid w:val="10F863AD"/>
    <w:rsid w:val="119A3908"/>
    <w:rsid w:val="127A5AD5"/>
    <w:rsid w:val="12EA441C"/>
    <w:rsid w:val="133E2072"/>
    <w:rsid w:val="137361BF"/>
    <w:rsid w:val="1379754E"/>
    <w:rsid w:val="14847F58"/>
    <w:rsid w:val="14F926F4"/>
    <w:rsid w:val="150E1EF2"/>
    <w:rsid w:val="1A2F12F4"/>
    <w:rsid w:val="1A366B77"/>
    <w:rsid w:val="1B281F85"/>
    <w:rsid w:val="1C511068"/>
    <w:rsid w:val="1CCC4B92"/>
    <w:rsid w:val="1CE1063D"/>
    <w:rsid w:val="1D392227"/>
    <w:rsid w:val="1DCD2970"/>
    <w:rsid w:val="1E200CF1"/>
    <w:rsid w:val="1E2E3FC6"/>
    <w:rsid w:val="1FDE1FCD"/>
    <w:rsid w:val="203C5B8B"/>
    <w:rsid w:val="20EC7F46"/>
    <w:rsid w:val="21BB6D03"/>
    <w:rsid w:val="22400CF8"/>
    <w:rsid w:val="23BF0FAD"/>
    <w:rsid w:val="24562198"/>
    <w:rsid w:val="245A2A83"/>
    <w:rsid w:val="271D04C4"/>
    <w:rsid w:val="2A3C3357"/>
    <w:rsid w:val="2C0E487F"/>
    <w:rsid w:val="2E162111"/>
    <w:rsid w:val="2E624457"/>
    <w:rsid w:val="2F546A4D"/>
    <w:rsid w:val="309F1F4A"/>
    <w:rsid w:val="316D0A99"/>
    <w:rsid w:val="317049AA"/>
    <w:rsid w:val="322F554F"/>
    <w:rsid w:val="3260395B"/>
    <w:rsid w:val="326835EA"/>
    <w:rsid w:val="32AC6BA0"/>
    <w:rsid w:val="32F7778D"/>
    <w:rsid w:val="34A915E9"/>
    <w:rsid w:val="35223149"/>
    <w:rsid w:val="35935DF5"/>
    <w:rsid w:val="369260AD"/>
    <w:rsid w:val="36FD5C1C"/>
    <w:rsid w:val="374B4BD9"/>
    <w:rsid w:val="37D83F93"/>
    <w:rsid w:val="382611A3"/>
    <w:rsid w:val="39696FD5"/>
    <w:rsid w:val="396F0283"/>
    <w:rsid w:val="39A81A8A"/>
    <w:rsid w:val="39BF365D"/>
    <w:rsid w:val="3A0B4AF4"/>
    <w:rsid w:val="3B7F12F6"/>
    <w:rsid w:val="3C5F3131"/>
    <w:rsid w:val="3C805325"/>
    <w:rsid w:val="3CCF5F1D"/>
    <w:rsid w:val="3D8517AA"/>
    <w:rsid w:val="3DF05B26"/>
    <w:rsid w:val="3EFC7EB5"/>
    <w:rsid w:val="3FC1012F"/>
    <w:rsid w:val="41754638"/>
    <w:rsid w:val="41B43093"/>
    <w:rsid w:val="41B810BD"/>
    <w:rsid w:val="41C45CB4"/>
    <w:rsid w:val="42D33CD5"/>
    <w:rsid w:val="44440224"/>
    <w:rsid w:val="453A628D"/>
    <w:rsid w:val="45E16709"/>
    <w:rsid w:val="45E36925"/>
    <w:rsid w:val="471C3E9C"/>
    <w:rsid w:val="475E2707"/>
    <w:rsid w:val="48943F06"/>
    <w:rsid w:val="48D32C81"/>
    <w:rsid w:val="491E63EF"/>
    <w:rsid w:val="4A3B6D2F"/>
    <w:rsid w:val="4A431740"/>
    <w:rsid w:val="4A563B69"/>
    <w:rsid w:val="4AEC1DD8"/>
    <w:rsid w:val="4B396FAF"/>
    <w:rsid w:val="4C9341C9"/>
    <w:rsid w:val="4D1D096E"/>
    <w:rsid w:val="4DFF0074"/>
    <w:rsid w:val="4E41068C"/>
    <w:rsid w:val="4E564138"/>
    <w:rsid w:val="4F0C0C9A"/>
    <w:rsid w:val="4F257647"/>
    <w:rsid w:val="51A76A58"/>
    <w:rsid w:val="51C66964"/>
    <w:rsid w:val="52262759"/>
    <w:rsid w:val="523E73BD"/>
    <w:rsid w:val="529953EA"/>
    <w:rsid w:val="53C17611"/>
    <w:rsid w:val="543E18F6"/>
    <w:rsid w:val="54930906"/>
    <w:rsid w:val="54B55930"/>
    <w:rsid w:val="56024BA5"/>
    <w:rsid w:val="56177A73"/>
    <w:rsid w:val="572D7A00"/>
    <w:rsid w:val="57580F21"/>
    <w:rsid w:val="578A30A4"/>
    <w:rsid w:val="58D2085F"/>
    <w:rsid w:val="58DE7204"/>
    <w:rsid w:val="595C281E"/>
    <w:rsid w:val="5BC85F49"/>
    <w:rsid w:val="5BF62AB6"/>
    <w:rsid w:val="5C341831"/>
    <w:rsid w:val="5C677510"/>
    <w:rsid w:val="5C8A31FF"/>
    <w:rsid w:val="5CD86660"/>
    <w:rsid w:val="5D414AEF"/>
    <w:rsid w:val="5DDC030E"/>
    <w:rsid w:val="5EBC3670"/>
    <w:rsid w:val="5F630463"/>
    <w:rsid w:val="5F8F74AA"/>
    <w:rsid w:val="5FD01870"/>
    <w:rsid w:val="5FF94923"/>
    <w:rsid w:val="62612C54"/>
    <w:rsid w:val="635F3637"/>
    <w:rsid w:val="638E5CCA"/>
    <w:rsid w:val="63AE1A86"/>
    <w:rsid w:val="64704B0C"/>
    <w:rsid w:val="66887A48"/>
    <w:rsid w:val="668B1DF4"/>
    <w:rsid w:val="68615781"/>
    <w:rsid w:val="6874548F"/>
    <w:rsid w:val="69A578CA"/>
    <w:rsid w:val="69D501AF"/>
    <w:rsid w:val="6AC36259"/>
    <w:rsid w:val="6B721A2E"/>
    <w:rsid w:val="6C172D01"/>
    <w:rsid w:val="6C6C31E6"/>
    <w:rsid w:val="6E58315D"/>
    <w:rsid w:val="6F307C36"/>
    <w:rsid w:val="6F571666"/>
    <w:rsid w:val="72252EC6"/>
    <w:rsid w:val="730035C2"/>
    <w:rsid w:val="749E5660"/>
    <w:rsid w:val="759A22AD"/>
    <w:rsid w:val="770B5D7C"/>
    <w:rsid w:val="77EB1024"/>
    <w:rsid w:val="789B25C4"/>
    <w:rsid w:val="79F75F20"/>
    <w:rsid w:val="7AFB37ED"/>
    <w:rsid w:val="7B8E6410"/>
    <w:rsid w:val="7D17119C"/>
    <w:rsid w:val="7D6513F2"/>
    <w:rsid w:val="7D951CD7"/>
    <w:rsid w:val="7DB008BF"/>
    <w:rsid w:val="7DE1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toc 1"/>
    <w:basedOn w:val="1"/>
    <w:next w:val="1"/>
    <w:autoRedefine/>
    <w:unhideWhenUsed/>
    <w:qFormat/>
    <w:uiPriority w:val="99"/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  <w:bCs/>
      <w:bdr w:val="dashed" w:color="auto" w:sz="36" w:space="0"/>
    </w:rPr>
  </w:style>
  <w:style w:type="character" w:styleId="9">
    <w:name w:val="FollowedHyperlink"/>
    <w:basedOn w:val="7"/>
    <w:autoRedefine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  <w:rPr>
      <w:b/>
      <w:bCs/>
    </w:rPr>
  </w:style>
  <w:style w:type="character" w:styleId="11">
    <w:name w:val="HTML Definition"/>
    <w:basedOn w:val="7"/>
    <w:autoRedefine/>
    <w:qFormat/>
    <w:uiPriority w:val="0"/>
  </w:style>
  <w:style w:type="character" w:styleId="12">
    <w:name w:val="HTML Variable"/>
    <w:basedOn w:val="7"/>
    <w:autoRedefine/>
    <w:qFormat/>
    <w:uiPriority w:val="0"/>
  </w:style>
  <w:style w:type="character" w:styleId="13">
    <w:name w:val="Hyperlink"/>
    <w:basedOn w:val="7"/>
    <w:autoRedefine/>
    <w:qFormat/>
    <w:uiPriority w:val="0"/>
    <w:rPr>
      <w:color w:val="0000FF"/>
      <w:u w:val="none"/>
    </w:rPr>
  </w:style>
  <w:style w:type="character" w:styleId="14">
    <w:name w:val="HTML Code"/>
    <w:basedOn w:val="7"/>
    <w:autoRedefine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autoRedefine/>
    <w:qFormat/>
    <w:uiPriority w:val="0"/>
  </w:style>
  <w:style w:type="character" w:styleId="16">
    <w:name w:val="HTML Keyboard"/>
    <w:basedOn w:val="7"/>
    <w:autoRedefine/>
    <w:qFormat/>
    <w:uiPriority w:val="0"/>
    <w:rPr>
      <w:rFonts w:ascii="Courier New" w:hAnsi="Courier New"/>
      <w:sz w:val="20"/>
    </w:rPr>
  </w:style>
  <w:style w:type="character" w:styleId="17">
    <w:name w:val="HTML Sample"/>
    <w:basedOn w:val="7"/>
    <w:qFormat/>
    <w:uiPriority w:val="0"/>
    <w:rPr>
      <w:rFonts w:ascii="Courier New" w:hAnsi="Courier New"/>
    </w:rPr>
  </w:style>
  <w:style w:type="character" w:customStyle="1" w:styleId="18">
    <w:name w:val="hover"/>
    <w:basedOn w:val="7"/>
    <w:autoRedefine/>
    <w:qFormat/>
    <w:uiPriority w:val="0"/>
    <w:rPr>
      <w:color w:val="FFFFFF"/>
    </w:rPr>
  </w:style>
  <w:style w:type="character" w:customStyle="1" w:styleId="19">
    <w:name w:val="hover1"/>
    <w:basedOn w:val="7"/>
    <w:autoRedefine/>
    <w:qFormat/>
    <w:uiPriority w:val="0"/>
    <w:rPr>
      <w:color w:val="245399"/>
    </w:rPr>
  </w:style>
  <w:style w:type="character" w:customStyle="1" w:styleId="20">
    <w:name w:val="hover2"/>
    <w:basedOn w:val="7"/>
    <w:autoRedefine/>
    <w:qFormat/>
    <w:uiPriority w:val="0"/>
    <w:rPr>
      <w:color w:val="245399"/>
    </w:rPr>
  </w:style>
  <w:style w:type="character" w:customStyle="1" w:styleId="21">
    <w:name w:val="hover9"/>
    <w:basedOn w:val="7"/>
    <w:qFormat/>
    <w:uiPriority w:val="0"/>
    <w:rPr>
      <w:color w:val="FFFFFF"/>
    </w:rPr>
  </w:style>
  <w:style w:type="character" w:customStyle="1" w:styleId="22">
    <w:name w:val="hover10"/>
    <w:basedOn w:val="7"/>
    <w:qFormat/>
    <w:uiPriority w:val="0"/>
    <w:rPr>
      <w:color w:val="245399"/>
    </w:rPr>
  </w:style>
  <w:style w:type="character" w:customStyle="1" w:styleId="23">
    <w:name w:val="hover11"/>
    <w:basedOn w:val="7"/>
    <w:qFormat/>
    <w:uiPriority w:val="0"/>
    <w:rPr>
      <w:color w:val="2453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历年依申请公开数量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2022年</c:v>
                </c:pt>
                <c:pt idx="1">
                  <c:v>2023年</c:v>
                </c:pt>
                <c:pt idx="2">
                  <c:v>2024年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30</c:v>
                </c:pt>
                <c:pt idx="1">
                  <c:v>40</c:v>
                </c:pt>
                <c:pt idx="2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969657360"/>
        <c:axId val="607132525"/>
      </c:barChart>
      <c:catAx>
        <c:axId val="96965736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07132525"/>
        <c:crosses val="autoZero"/>
        <c:auto val="1"/>
        <c:lblAlgn val="ctr"/>
        <c:lblOffset val="100"/>
        <c:noMultiLvlLbl val="0"/>
      </c:catAx>
      <c:valAx>
        <c:axId val="60713252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69657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4816dbf1-f9c4-472e-badd-56b85cb90511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1398</Words>
  <Characters>1521</Characters>
  <Lines>0</Lines>
  <Paragraphs>0</Paragraphs>
  <TotalTime>148</TotalTime>
  <ScaleCrop>false</ScaleCrop>
  <LinksUpToDate>false</LinksUpToDate>
  <CharactersWithSpaces>1528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2023-01-06T00:53:00Z</dcterms:created>
  <dc:creator>Lenovo009</dc:creator>
  <cp:lastModifiedBy>爱运动的猫</cp:lastModifiedBy>
  <cp:lastPrinted>2024-01-10T07:25:00Z</cp:lastPrinted>
  <dcterms:modified xsi:type="dcterms:W3CDTF">2025-02-17T06:05:29Z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EF0EDA4B27774D67B10D34B2F74A73DE_13</vt:lpwstr>
  </property>
  <property fmtid="{D5CDD505-2E9C-101B-9397-08002B2CF9AE}" pid="4" name="KSOTemplateDocerSaveRecord">
    <vt:lpwstr>eyJoZGlkIjoiYWUzODMwZmQ0OWRjNjI2MjRjMDVhZGE0NmIzNmIzNzEiLCJ1c2VySWQiOiI0MTk3MzM2NzMifQ==</vt:lpwstr>
  </property>
</Properties>
</file>