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E5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atLeast"/>
        <w:ind w:left="512" w:leftChars="244" w:right="1050" w:rightChars="500" w:firstLine="0" w:firstLineChars="0"/>
        <w:jc w:val="center"/>
        <w:textAlignment w:val="auto"/>
        <w:outlineLvl w:val="9"/>
        <w:rPr>
          <w:rFonts w:hint="default" w:ascii="Times New Roman" w:hAnsi="Times New Roman" w:eastAsia="方正小标宋简体" w:cs="Times New Roman"/>
          <w:b/>
          <w:bCs/>
          <w:i w:val="0"/>
          <w:iCs w:val="0"/>
          <w:caps w:val="0"/>
          <w:color w:val="333333"/>
          <w:spacing w:val="0"/>
          <w:w w:val="80"/>
          <w:sz w:val="44"/>
          <w:szCs w:val="44"/>
        </w:rPr>
      </w:pPr>
      <w:r>
        <w:rPr>
          <w:rFonts w:hint="default" w:ascii="Times New Roman" w:hAnsi="Times New Roman" w:eastAsia="方正小标宋简体" w:cs="Times New Roman"/>
          <w:b/>
          <w:bCs/>
          <w:i w:val="0"/>
          <w:iCs w:val="0"/>
          <w:caps w:val="0"/>
          <w:color w:val="333333"/>
          <w:spacing w:val="0"/>
          <w:w w:val="80"/>
          <w:sz w:val="44"/>
          <w:szCs w:val="44"/>
        </w:rPr>
        <w:t>淄博经济开发区管理委员会</w:t>
      </w:r>
    </w:p>
    <w:p w14:paraId="61BB0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atLeast"/>
        <w:ind w:left="512" w:leftChars="244" w:right="1050" w:rightChars="500" w:firstLine="0" w:firstLineChars="0"/>
        <w:jc w:val="center"/>
        <w:textAlignment w:val="auto"/>
        <w:outlineLvl w:val="9"/>
        <w:rPr>
          <w:rFonts w:hint="default" w:ascii="Times New Roman" w:hAnsi="Times New Roman" w:eastAsia="方正小标宋简体" w:cs="Times New Roman"/>
          <w:b/>
          <w:bCs/>
          <w:i w:val="0"/>
          <w:iCs w:val="0"/>
          <w:caps w:val="0"/>
          <w:color w:val="333333"/>
          <w:spacing w:val="0"/>
          <w:w w:val="80"/>
          <w:sz w:val="44"/>
          <w:szCs w:val="44"/>
        </w:rPr>
      </w:pPr>
      <w:r>
        <w:rPr>
          <w:rFonts w:hint="default" w:ascii="Times New Roman" w:hAnsi="Times New Roman" w:eastAsia="方正小标宋简体" w:cs="Times New Roman"/>
          <w:b/>
          <w:bCs/>
          <w:i w:val="0"/>
          <w:iCs w:val="0"/>
          <w:caps w:val="0"/>
          <w:color w:val="333333"/>
          <w:spacing w:val="0"/>
          <w:w w:val="80"/>
          <w:sz w:val="44"/>
          <w:szCs w:val="44"/>
        </w:rPr>
        <w:t>202</w:t>
      </w:r>
      <w:r>
        <w:rPr>
          <w:rFonts w:hint="default" w:ascii="Times New Roman" w:hAnsi="Times New Roman" w:eastAsia="方正小标宋简体" w:cs="Times New Roman"/>
          <w:b/>
          <w:bCs/>
          <w:i w:val="0"/>
          <w:iCs w:val="0"/>
          <w:caps w:val="0"/>
          <w:color w:val="333333"/>
          <w:spacing w:val="0"/>
          <w:w w:val="80"/>
          <w:sz w:val="44"/>
          <w:szCs w:val="44"/>
          <w:lang w:val="en-US" w:eastAsia="zh-CN"/>
        </w:rPr>
        <w:t>5</w:t>
      </w:r>
      <w:r>
        <w:rPr>
          <w:rFonts w:hint="default" w:ascii="Times New Roman" w:hAnsi="Times New Roman" w:eastAsia="方正小标宋简体" w:cs="Times New Roman"/>
          <w:b/>
          <w:bCs/>
          <w:i w:val="0"/>
          <w:iCs w:val="0"/>
          <w:caps w:val="0"/>
          <w:color w:val="333333"/>
          <w:spacing w:val="0"/>
          <w:w w:val="80"/>
          <w:sz w:val="44"/>
          <w:szCs w:val="44"/>
        </w:rPr>
        <w:t>年</w:t>
      </w:r>
      <w:r>
        <w:rPr>
          <w:rFonts w:hint="default" w:ascii="Times New Roman" w:hAnsi="Times New Roman" w:eastAsia="方正小标宋简体" w:cs="Times New Roman"/>
          <w:b/>
          <w:bCs/>
          <w:i w:val="0"/>
          <w:iCs w:val="0"/>
          <w:caps w:val="0"/>
          <w:color w:val="333333"/>
          <w:spacing w:val="0"/>
          <w:w w:val="80"/>
          <w:sz w:val="44"/>
          <w:szCs w:val="44"/>
          <w:lang w:val="en-US" w:eastAsia="zh-CN"/>
        </w:rPr>
        <w:t>政府</w:t>
      </w:r>
      <w:r>
        <w:rPr>
          <w:rFonts w:hint="default" w:ascii="Times New Roman" w:hAnsi="Times New Roman" w:eastAsia="方正小标宋简体" w:cs="Times New Roman"/>
          <w:b/>
          <w:bCs/>
          <w:i w:val="0"/>
          <w:iCs w:val="0"/>
          <w:caps w:val="0"/>
          <w:color w:val="333333"/>
          <w:spacing w:val="0"/>
          <w:w w:val="80"/>
          <w:sz w:val="44"/>
          <w:szCs w:val="44"/>
        </w:rPr>
        <w:t>信息公开工作年度报告</w:t>
      </w:r>
    </w:p>
    <w:p w14:paraId="1635D8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left"/>
        <w:textAlignment w:val="auto"/>
        <w:rPr>
          <w:rFonts w:hint="default" w:ascii="Times New Roman" w:hAnsi="Times New Roman" w:eastAsia="仿宋_GB2312" w:cs="Times New Roman"/>
          <w:i w:val="0"/>
          <w:iCs w:val="0"/>
          <w:caps w:val="0"/>
          <w:color w:val="333333"/>
          <w:spacing w:val="0"/>
          <w:kern w:val="18"/>
          <w:sz w:val="32"/>
          <w:szCs w:val="32"/>
          <w:lang w:val="en-US" w:eastAsia="zh-CN"/>
        </w:rPr>
      </w:pPr>
      <w:r>
        <w:rPr>
          <w:rFonts w:hint="default" w:ascii="Times New Roman" w:hAnsi="Times New Roman" w:eastAsia="仿宋_GB2312" w:cs="Times New Roman"/>
          <w:i w:val="0"/>
          <w:iCs w:val="0"/>
          <w:caps w:val="0"/>
          <w:color w:val="333333"/>
          <w:spacing w:val="0"/>
          <w:sz w:val="32"/>
          <w:szCs w:val="32"/>
        </w:rPr>
        <w:t>根据《中华人民共和国政府信息公开条例》（以下简称《条例》）等政策文件有关要求，现将淄博经济开发区管理委员会202</w:t>
      </w:r>
      <w:r>
        <w:rPr>
          <w:rFonts w:hint="default"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年政府信息公开工作年度报告予以公开。本年度报告中所列数据的统计期限自202</w:t>
      </w:r>
      <w:r>
        <w:rPr>
          <w:rFonts w:hint="default"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年1月1日起，至202</w:t>
      </w:r>
      <w:r>
        <w:rPr>
          <w:rFonts w:hint="default"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年12月31日止。</w:t>
      </w:r>
    </w:p>
    <w:p w14:paraId="6EAAF96B">
      <w:pPr>
        <w:pStyle w:val="6"/>
        <w:keepNext w:val="0"/>
        <w:keepLines w:val="0"/>
        <w:pageBreakBefore w:val="0"/>
        <w:widowControl/>
        <w:suppressLineNumbers w:val="0"/>
        <w:kinsoku/>
        <w:overflowPunct/>
        <w:topLinePunct w:val="0"/>
        <w:autoSpaceDE w:val="0"/>
        <w:autoSpaceDN/>
        <w:bidi w:val="0"/>
        <w:adjustRightInd/>
        <w:snapToGrid/>
        <w:spacing w:before="40" w:beforeAutospacing="0" w:afterAutospacing="0" w:line="560" w:lineRule="atLeast"/>
        <w:ind w:lef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一、总体情况</w:t>
      </w:r>
    </w:p>
    <w:p w14:paraId="16A114D3">
      <w:pPr>
        <w:pStyle w:val="6"/>
        <w:keepNext w:val="0"/>
        <w:keepLines w:val="0"/>
        <w:pageBreakBefore w:val="0"/>
        <w:widowControl/>
        <w:suppressLineNumbers w:val="0"/>
        <w:kinsoku/>
        <w:overflowPunct/>
        <w:topLinePunct w:val="0"/>
        <w:autoSpaceDE w:val="0"/>
        <w:autoSpaceDN/>
        <w:bidi w:val="0"/>
        <w:adjustRightInd/>
        <w:snapToGrid/>
        <w:spacing w:before="40" w:beforeAutospacing="0" w:afterAutospacing="0" w:line="560" w:lineRule="atLeast"/>
        <w:ind w:left="0" w:firstLine="640" w:firstLineChars="200"/>
        <w:jc w:val="both"/>
        <w:textAlignment w:val="auto"/>
        <w:rPr>
          <w:rFonts w:hint="default" w:ascii="Times New Roman" w:hAnsi="Times New Roman" w:eastAsia="仿宋_GB2312" w:cs="Times New Roman"/>
          <w:caps w:val="0"/>
          <w:color w:val="333333"/>
          <w:spacing w:val="0"/>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经开区</w:t>
      </w:r>
      <w:r>
        <w:rPr>
          <w:rFonts w:hint="default" w:ascii="Times New Roman" w:hAnsi="Times New Roman" w:eastAsia="仿宋_GB2312" w:cs="Times New Roman"/>
          <w:sz w:val="32"/>
          <w:szCs w:val="32"/>
        </w:rPr>
        <w:t>管委会全面落实各级政务公开工作部署要求，加强政府信息资源的规范化、标准化、信息化管理，推进政府信息公开提质增效</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caps w:val="0"/>
          <w:color w:val="333333"/>
          <w:spacing w:val="0"/>
          <w:sz w:val="32"/>
          <w:szCs w:val="32"/>
        </w:rPr>
        <w:t> </w:t>
      </w:r>
    </w:p>
    <w:p w14:paraId="69D7CAB5">
      <w:pPr>
        <w:bidi w:val="0"/>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（一）全面提升主动公开信息质效</w:t>
      </w:r>
    </w:p>
    <w:p w14:paraId="53131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lang w:val="en-US" w:eastAsia="zh-CN" w:bidi="ar"/>
        </w:rPr>
        <w:t>一是按照工作要求，及时主动公开政策文件、财政预决算、政府采购、重大民生等方面信息，累计通过门户网站主动公开政府信息</w:t>
      </w:r>
      <w:r>
        <w:rPr>
          <w:rFonts w:hint="eastAsia" w:ascii="Times New Roman" w:hAnsi="Times New Roman" w:eastAsia="仿宋_GB2312" w:cs="Times New Roman"/>
          <w:i w:val="0"/>
          <w:iCs w:val="0"/>
          <w:caps w:val="0"/>
          <w:color w:val="000000"/>
          <w:spacing w:val="0"/>
          <w:kern w:val="0"/>
          <w:sz w:val="32"/>
          <w:szCs w:val="32"/>
          <w:lang w:val="en-US" w:eastAsia="zh-CN" w:bidi="ar"/>
        </w:rPr>
        <w:t>658</w:t>
      </w:r>
      <w:r>
        <w:rPr>
          <w:rFonts w:hint="default" w:ascii="Times New Roman" w:hAnsi="Times New Roman" w:eastAsia="仿宋_GB2312" w:cs="Times New Roman"/>
          <w:i w:val="0"/>
          <w:iCs w:val="0"/>
          <w:caps w:val="0"/>
          <w:color w:val="000000"/>
          <w:spacing w:val="0"/>
          <w:kern w:val="0"/>
          <w:sz w:val="32"/>
          <w:szCs w:val="32"/>
          <w:lang w:val="en-US" w:eastAsia="zh-CN" w:bidi="ar"/>
        </w:rPr>
        <w:t>余条，有效引导社会预期。二是多形式开展政民、政企互动，发布区工委会议、会议解读信息24条，政策性文件均关联解读信息。依托政府网站互动交流专栏回应网上留言</w:t>
      </w:r>
      <w:r>
        <w:rPr>
          <w:rFonts w:hint="eastAsia" w:ascii="Times New Roman" w:hAnsi="Times New Roman" w:eastAsia="仿宋_GB2312" w:cs="Times New Roman"/>
          <w:i w:val="0"/>
          <w:iCs w:val="0"/>
          <w:caps w:val="0"/>
          <w:color w:val="000000"/>
          <w:spacing w:val="0"/>
          <w:kern w:val="0"/>
          <w:sz w:val="32"/>
          <w:szCs w:val="32"/>
          <w:lang w:val="en-US" w:eastAsia="zh-CN" w:bidi="ar"/>
        </w:rPr>
        <w:t>80</w:t>
      </w:r>
      <w:r>
        <w:rPr>
          <w:rFonts w:hint="default" w:ascii="Times New Roman" w:hAnsi="Times New Roman" w:eastAsia="仿宋_GB2312" w:cs="Times New Roman"/>
          <w:i w:val="0"/>
          <w:iCs w:val="0"/>
          <w:caps w:val="0"/>
          <w:color w:val="000000"/>
          <w:spacing w:val="0"/>
          <w:kern w:val="0"/>
          <w:sz w:val="32"/>
          <w:szCs w:val="32"/>
          <w:lang w:val="en-US" w:eastAsia="zh-CN" w:bidi="ar"/>
        </w:rPr>
        <w:t>条，助力民生福祉持续改善。</w:t>
      </w:r>
    </w:p>
    <w:p w14:paraId="2E54129D">
      <w:pPr>
        <w:bidi w:val="0"/>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（二）持续规范依申请公开办理</w:t>
      </w:r>
    </w:p>
    <w:p w14:paraId="4D1647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40" w:firstLineChars="200"/>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以“群众少跑路、数据多跑腿、办事更方便”为目标，聚焦线上和线下两条主线，全方位畅通网络、信函、当面等受理主渠道，完善依申请办理工作全链条管理。全年累计受理政府信息公开申请事项</w:t>
      </w:r>
      <w:r>
        <w:rPr>
          <w:rFonts w:hint="eastAsia" w:ascii="Times New Roman" w:hAnsi="Times New Roman" w:eastAsia="仿宋_GB2312" w:cs="Times New Roman"/>
          <w:i w:val="0"/>
          <w:iCs w:val="0"/>
          <w:caps w:val="0"/>
          <w:color w:val="000000"/>
          <w:spacing w:val="0"/>
          <w:kern w:val="0"/>
          <w:sz w:val="32"/>
          <w:szCs w:val="32"/>
          <w:lang w:val="en-US" w:eastAsia="zh-CN" w:bidi="ar"/>
        </w:rPr>
        <w:t>72</w:t>
      </w:r>
      <w:r>
        <w:rPr>
          <w:rFonts w:hint="default" w:ascii="Times New Roman" w:hAnsi="Times New Roman" w:eastAsia="仿宋_GB2312" w:cs="Times New Roman"/>
          <w:i w:val="0"/>
          <w:iCs w:val="0"/>
          <w:caps w:val="0"/>
          <w:color w:val="000000"/>
          <w:spacing w:val="0"/>
          <w:kern w:val="0"/>
          <w:sz w:val="32"/>
          <w:szCs w:val="32"/>
          <w:lang w:val="en-US" w:eastAsia="zh-CN" w:bidi="ar"/>
        </w:rPr>
        <w:t>件，同比增长</w:t>
      </w:r>
      <w:r>
        <w:rPr>
          <w:rFonts w:hint="eastAsia" w:ascii="Times New Roman" w:hAnsi="Times New Roman" w:eastAsia="仿宋_GB2312" w:cs="Times New Roman"/>
          <w:i w:val="0"/>
          <w:iCs w:val="0"/>
          <w:caps w:val="0"/>
          <w:color w:val="000000"/>
          <w:spacing w:val="0"/>
          <w:kern w:val="0"/>
          <w:sz w:val="32"/>
          <w:szCs w:val="32"/>
          <w:lang w:val="en-US" w:eastAsia="zh-CN" w:bidi="ar"/>
        </w:rPr>
        <w:t>36.1</w:t>
      </w:r>
      <w:r>
        <w:rPr>
          <w:rFonts w:hint="default" w:ascii="Times New Roman" w:hAnsi="Times New Roman" w:eastAsia="仿宋_GB2312" w:cs="Times New Roman"/>
          <w:i w:val="0"/>
          <w:iCs w:val="0"/>
          <w:caps w:val="0"/>
          <w:color w:val="000000"/>
          <w:spacing w:val="0"/>
          <w:kern w:val="0"/>
          <w:sz w:val="32"/>
          <w:szCs w:val="32"/>
          <w:lang w:val="en-US" w:eastAsia="zh-CN" w:bidi="ar"/>
        </w:rPr>
        <w:t>%，无结转下年度继续办理件。</w:t>
      </w:r>
    </w:p>
    <w:p w14:paraId="767D9C42">
      <w:pPr>
        <w:bidi w:val="0"/>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（三）政府信息管理</w:t>
      </w:r>
    </w:p>
    <w:p w14:paraId="2D68A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一是建立健全政府信息发布的保密审查机制，全年未发生在政府信息公开过程中公布涉密文件和泄密的情况。二是提高信息发布时效性，及时发布办事指南、通知公告等时效性较高的内容。三是动态更新政府信息主动公开目录，明确全年重点工作和责任分工。</w:t>
      </w:r>
    </w:p>
    <w:p w14:paraId="3ADC0634">
      <w:pPr>
        <w:pStyle w:val="6"/>
        <w:keepNext w:val="0"/>
        <w:keepLines w:val="0"/>
        <w:pageBreakBefore w:val="0"/>
        <w:widowControl/>
        <w:numPr>
          <w:ilvl w:val="0"/>
          <w:numId w:val="0"/>
        </w:numPr>
        <w:suppressLineNumbers w:val="0"/>
        <w:kinsoku/>
        <w:wordWrap w:val="0"/>
        <w:overflowPunct/>
        <w:topLinePunct w:val="0"/>
        <w:autoSpaceDE w:val="0"/>
        <w:autoSpaceDN/>
        <w:bidi w:val="0"/>
        <w:adjustRightInd/>
        <w:snapToGrid/>
        <w:spacing w:before="40" w:beforeAutospacing="0" w:after="0" w:afterAutospacing="0" w:line="560" w:lineRule="atLeast"/>
        <w:ind w:right="0" w:rightChars="0" w:firstLine="640" w:firstLineChars="200"/>
        <w:jc w:val="both"/>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全面加强政府信息公开平台建设</w:t>
      </w:r>
    </w:p>
    <w:p w14:paraId="50BB2AB0">
      <w:pPr>
        <w:pStyle w:val="6"/>
        <w:keepNext w:val="0"/>
        <w:keepLines w:val="0"/>
        <w:pageBreakBefore w:val="0"/>
        <w:widowControl/>
        <w:numPr>
          <w:ilvl w:val="0"/>
          <w:numId w:val="0"/>
        </w:numPr>
        <w:suppressLineNumbers w:val="0"/>
        <w:kinsoku/>
        <w:wordWrap w:val="0"/>
        <w:overflowPunct/>
        <w:topLinePunct w:val="0"/>
        <w:autoSpaceDE w:val="0"/>
        <w:autoSpaceDN/>
        <w:bidi w:val="0"/>
        <w:adjustRightInd/>
        <w:snapToGrid/>
        <w:spacing w:before="40" w:beforeAutospacing="0" w:after="0" w:afterAutospacing="0" w:line="560" w:lineRule="atLeast"/>
        <w:ind w:right="0" w:rightChars="0" w:firstLine="640" w:firstLineChars="200"/>
        <w:jc w:val="both"/>
        <w:textAlignment w:val="auto"/>
        <w:rPr>
          <w:rFonts w:hint="default" w:ascii="Times New Roman" w:hAnsi="Times New Roman" w:cs="Times New Roman"/>
          <w:sz w:val="32"/>
          <w:szCs w:val="32"/>
        </w:rPr>
      </w:pPr>
      <w:r>
        <w:rPr>
          <w:rFonts w:hint="eastAsia" w:ascii="Times New Roman" w:hAnsi="Times New Roman" w:eastAsia="仿宋_GB2312" w:cs="Times New Roman"/>
          <w:caps w:val="0"/>
          <w:color w:val="333333"/>
          <w:spacing w:val="0"/>
          <w:sz w:val="32"/>
          <w:szCs w:val="32"/>
          <w:lang w:val="en-US" w:eastAsia="zh-CN"/>
        </w:rPr>
        <w:t>一</w:t>
      </w:r>
      <w:r>
        <w:rPr>
          <w:rFonts w:hint="default" w:ascii="Times New Roman" w:hAnsi="Times New Roman" w:eastAsia="仿宋_GB2312" w:cs="Times New Roman"/>
          <w:caps w:val="0"/>
          <w:color w:val="333333"/>
          <w:spacing w:val="0"/>
          <w:sz w:val="32"/>
          <w:szCs w:val="32"/>
          <w:lang w:val="en-US" w:eastAsia="zh-CN"/>
        </w:rPr>
        <w:t>是网站设计和专栏创建坚持提升平台服务功能，完善门户网站适老化、无障碍、移动端适配等功能，打造功能齐全的“网上政府”平台。二是深入开展政务新媒体“瘦身提质”工作，关停并转一批活跃度低、类型相似的政务新媒体账号，提高保留的政务新媒体账号信息内容策划和制作水平，切实提升政务新媒体传播力、引导力、影响力、公信力，更好地发挥政务新媒体在深化政民互动、回应社会关切、引导公众舆论等方面的作用。</w:t>
      </w:r>
    </w:p>
    <w:p w14:paraId="7CCB2B04">
      <w:pPr>
        <w:bidi w:val="0"/>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（五）不断强化监督保障</w:t>
      </w:r>
    </w:p>
    <w:p w14:paraId="5B174DD5">
      <w:pPr>
        <w:pStyle w:val="6"/>
        <w:keepNext w:val="0"/>
        <w:keepLines w:val="0"/>
        <w:pageBreakBefore w:val="0"/>
        <w:widowControl/>
        <w:suppressLineNumbers w:val="0"/>
        <w:kinsoku/>
        <w:wordWrap w:val="0"/>
        <w:overflowPunct/>
        <w:topLinePunct w:val="0"/>
        <w:autoSpaceDE w:val="0"/>
        <w:autoSpaceDN/>
        <w:bidi w:val="0"/>
        <w:adjustRightInd/>
        <w:snapToGrid/>
        <w:spacing w:before="4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caps w:val="0"/>
          <w:color w:val="333333"/>
          <w:spacing w:val="0"/>
          <w:sz w:val="32"/>
          <w:szCs w:val="32"/>
        </w:rPr>
        <w:t>一是健全政务公开队伍。及时调整工作领导小组，根据工作开展情况进一步完善体制机制，推进政务公开工作再提升。二是强化日常监督检查。安排专人负责对公开内容进行规范性审查，坚决防止错漏字、信息发布不准确等事件发生。</w:t>
      </w:r>
      <w:r>
        <w:rPr>
          <w:rFonts w:hint="default" w:ascii="Times New Roman" w:hAnsi="Times New Roman" w:eastAsia="仿宋_GB2312" w:cs="Times New Roman"/>
          <w:caps w:val="0"/>
          <w:color w:val="333333"/>
          <w:spacing w:val="0"/>
          <w:sz w:val="32"/>
          <w:szCs w:val="32"/>
          <w:lang w:val="en-US" w:eastAsia="zh-CN"/>
        </w:rPr>
        <w:t>三是</w:t>
      </w:r>
      <w:r>
        <w:rPr>
          <w:rFonts w:hint="default" w:ascii="Times New Roman" w:hAnsi="Times New Roman" w:eastAsia="仿宋_GB2312" w:cs="Times New Roman"/>
          <w:i w:val="0"/>
          <w:iCs w:val="0"/>
          <w:caps w:val="0"/>
          <w:color w:val="000000"/>
          <w:spacing w:val="0"/>
          <w:sz w:val="32"/>
          <w:szCs w:val="32"/>
        </w:rPr>
        <w:t>开展专项检</w:t>
      </w:r>
      <w:bookmarkStart w:id="0" w:name="_GoBack"/>
      <w:r>
        <w:rPr>
          <w:rFonts w:hint="default" w:ascii="Times New Roman" w:hAnsi="Times New Roman" w:eastAsia="仿宋_GB2312" w:cs="Times New Roman"/>
          <w:i w:val="0"/>
          <w:iCs w:val="0"/>
          <w:caps w:val="0"/>
          <w:color w:val="000000"/>
          <w:spacing w:val="0"/>
          <w:sz w:val="32"/>
          <w:szCs w:val="32"/>
        </w:rPr>
        <w:t>查，督办重点领域信息公开落实情况；开展线上监督，实时查看各级各部门公开栏目，发现问题及时通知改进</w:t>
      </w:r>
      <w:r>
        <w:rPr>
          <w:rFonts w:hint="default" w:ascii="Times New Roman" w:hAnsi="Times New Roman" w:eastAsia="仿宋_GB2312" w:cs="Times New Roman"/>
          <w:i w:val="0"/>
          <w:iCs w:val="0"/>
          <w:caps w:val="0"/>
          <w:color w:val="000000"/>
          <w:spacing w:val="0"/>
          <w:sz w:val="32"/>
          <w:szCs w:val="32"/>
          <w:lang w:eastAsia="zh-CN"/>
        </w:rPr>
        <w:t>。</w:t>
      </w:r>
    </w:p>
    <w:p w14:paraId="311172BD">
      <w:pPr>
        <w:pStyle w:val="6"/>
        <w:keepNext w:val="0"/>
        <w:keepLines w:val="0"/>
        <w:pageBreakBefore w:val="0"/>
        <w:widowControl/>
        <w:suppressLineNumbers w:val="0"/>
        <w:kinsoku/>
        <w:wordWrap w:val="0"/>
        <w:overflowPunct/>
        <w:topLinePunct w:val="0"/>
        <w:autoSpaceDE w:val="0"/>
        <w:autoSpaceDN/>
        <w:bidi w:val="0"/>
        <w:adjustRightInd/>
        <w:snapToGrid/>
        <w:spacing w:before="40" w:beforeAutospacing="0" w:after="0" w:afterAutospacing="0" w:line="560" w:lineRule="atLeas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bookmarkEnd w:id="0"/>
    <w:p w14:paraId="6AE977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Times New Roman" w:hAnsi="Times New Roman" w:eastAsia="宋体" w:cs="Times New Roman"/>
        </w:rPr>
      </w:pPr>
    </w:p>
    <w:tbl>
      <w:tblPr>
        <w:tblStyle w:val="7"/>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0"/>
                <w:szCs w:val="20"/>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1066</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496</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4DC0EC6E">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w:t>
            </w:r>
          </w:p>
        </w:tc>
      </w:tr>
    </w:tbl>
    <w:p w14:paraId="13E3E4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cs="Times New Roman"/>
        </w:rPr>
      </w:pPr>
    </w:p>
    <w:p w14:paraId="25178729">
      <w:pPr>
        <w:pStyle w:val="6"/>
        <w:keepNext w:val="0"/>
        <w:keepLines w:val="0"/>
        <w:widowControl/>
        <w:suppressLineNumbers w:val="0"/>
        <w:pBdr>
          <w:top w:val="none" w:color="auto" w:sz="0" w:space="0"/>
          <w:left w:val="none" w:color="auto" w:sz="0" w:space="0"/>
          <w:bottom w:val="none" w:color="auto" w:sz="0" w:space="0"/>
          <w:right w:val="none" w:color="auto" w:sz="0" w:space="0"/>
        </w:pBdr>
        <w:tabs>
          <w:tab w:val="left" w:pos="5843"/>
        </w:tabs>
        <w:spacing w:before="0" w:beforeAutospacing="0" w:after="0" w:afterAutospacing="0" w:line="450" w:lineRule="atLeast"/>
        <w:ind w:left="0" w:right="0" w:firstLine="420"/>
        <w:jc w:val="both"/>
        <w:rPr>
          <w:rFonts w:hint="eastAsia" w:ascii="Times New Roman" w:hAnsi="Times New Roman" w:eastAsia="宋体" w:cs="Times New Roman"/>
          <w:lang w:eastAsia="zh-CN"/>
        </w:rPr>
      </w:pPr>
      <w:r>
        <w:rPr>
          <w:rFonts w:hint="default" w:ascii="Times New Roman" w:hAnsi="Times New Roman" w:eastAsia="黑体" w:cs="Times New Roman"/>
          <w:sz w:val="32"/>
          <w:szCs w:val="32"/>
        </w:rPr>
        <w:t>三、收到和处理政府信息公开申请情况</w:t>
      </w:r>
      <w:r>
        <w:rPr>
          <w:rFonts w:hint="eastAsia" w:ascii="Times New Roman" w:hAnsi="Times New Roman" w:eastAsia="宋体" w:cs="Times New Roman"/>
          <w:b/>
          <w:sz w:val="24"/>
          <w:szCs w:val="24"/>
          <w:lang w:eastAsia="zh-CN"/>
        </w:rPr>
        <w:tab/>
      </w:r>
    </w:p>
    <w:p w14:paraId="0F4EC9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Times New Roman" w:hAnsi="Times New Roman" w:eastAsia="宋体" w:cs="Times New Roman"/>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6"/>
        <w:gridCol w:w="943"/>
        <w:gridCol w:w="3217"/>
        <w:gridCol w:w="691"/>
        <w:gridCol w:w="688"/>
        <w:gridCol w:w="688"/>
        <w:gridCol w:w="688"/>
        <w:gridCol w:w="688"/>
        <w:gridCol w:w="688"/>
        <w:gridCol w:w="691"/>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default" w:ascii="Times New Roman" w:hAnsi="Times New Roman" w:cs="Times New Roman"/>
                <w:sz w:val="24"/>
                <w:szCs w:val="24"/>
              </w:rPr>
            </w:pPr>
          </w:p>
        </w:tc>
        <w:tc>
          <w:tcPr>
            <w:tcW w:w="691"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default" w:ascii="Times New Roman" w:hAnsi="Times New Roman" w:cs="Times New Roman"/>
                <w:sz w:val="24"/>
                <w:szCs w:val="24"/>
              </w:rPr>
            </w:pPr>
          </w:p>
        </w:tc>
        <w:tc>
          <w:tcPr>
            <w:tcW w:w="691"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691"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default" w:ascii="Times New Roman" w:hAnsi="Times New Roman" w:cs="Times New Roman"/>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67</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49C36">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71</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771687">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4160"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808C06">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default" w:ascii="Times New Roman" w:hAnsi="Times New Roman" w:cs="Times New Roman"/>
                <w:sz w:val="24"/>
                <w:szCs w:val="24"/>
              </w:rPr>
            </w:pPr>
          </w:p>
        </w:tc>
        <w:tc>
          <w:tcPr>
            <w:tcW w:w="4160"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15</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049B0">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15</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E958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55CED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376EA">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0842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FAA18">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CBE785">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1C14">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3BF64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19B86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8CC35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2265B">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3033D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6DB08">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CB94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BB1D5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98D7C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E1E5C">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13</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84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7D13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D21A4A">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5DF7EC">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DA74">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4419EE">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D271A5">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EF3DD8">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AA888">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E9B11E">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8AFC">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662DCB">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default" w:ascii="Times New Roman" w:hAnsi="Times New Roman" w:cs="Times New Roman"/>
                <w:sz w:val="24"/>
                <w:szCs w:val="24"/>
              </w:rPr>
            </w:pPr>
          </w:p>
        </w:tc>
        <w:tc>
          <w:tcPr>
            <w:tcW w:w="3217"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6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3850DA">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451C04">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543">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default" w:ascii="Times New Roman" w:hAnsi="Times New Roman" w:cs="Times New Roman"/>
                <w:sz w:val="24"/>
                <w:szCs w:val="24"/>
              </w:rPr>
            </w:pPr>
          </w:p>
        </w:tc>
        <w:tc>
          <w:tcPr>
            <w:tcW w:w="32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15</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6F2021">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18</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default" w:ascii="Times New Roman" w:hAnsi="Times New Roman" w:cs="Times New Roman"/>
                <w:sz w:val="24"/>
                <w:szCs w:val="24"/>
              </w:rPr>
            </w:pPr>
          </w:p>
        </w:tc>
        <w:tc>
          <w:tcPr>
            <w:tcW w:w="4160"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68</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D7D5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72</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4AF1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14:paraId="05083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cs="Times New Roman"/>
          <w:sz w:val="24"/>
          <w:szCs w:val="24"/>
        </w:rPr>
      </w:pPr>
    </w:p>
    <w:p w14:paraId="572AA1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eastAsia="宋体" w:cs="Times New Roman"/>
          <w:b/>
          <w:sz w:val="24"/>
          <w:szCs w:val="24"/>
        </w:rPr>
      </w:pPr>
    </w:p>
    <w:p w14:paraId="411F5E1A">
      <w:pPr>
        <w:pStyle w:val="6"/>
        <w:keepNext w:val="0"/>
        <w:keepLines w:val="0"/>
        <w:pageBreakBefore w:val="0"/>
        <w:widowControl/>
        <w:suppressLineNumbers w:val="0"/>
        <w:kinsoku/>
        <w:overflowPunct/>
        <w:topLinePunct w:val="0"/>
        <w:autoSpaceDE w:val="0"/>
        <w:autoSpaceDN/>
        <w:bidi w:val="0"/>
        <w:adjustRightInd/>
        <w:snapToGrid/>
        <w:spacing w:before="40" w:beforeAutospacing="0" w:afterAutospacing="0" w:line="560" w:lineRule="atLeas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cs="Times New Roman"/>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其他</w:t>
            </w:r>
            <w:r>
              <w:rPr>
                <w:rFonts w:hint="default" w:ascii="Times New Roman" w:hAnsi="Times New Roman" w:eastAsia="宋体" w:cs="Times New Roman"/>
                <w:color w:val="000000"/>
                <w:kern w:val="0"/>
                <w:sz w:val="20"/>
                <w:szCs w:val="20"/>
                <w:lang w:val="en-US" w:eastAsia="zh-CN" w:bidi="ar"/>
              </w:rPr>
              <w:br w:type="textWrapping"/>
            </w:r>
            <w:r>
              <w:rPr>
                <w:rFonts w:hint="default" w:ascii="Times New Roman" w:hAnsi="Times New Roman" w:eastAsia="宋体" w:cs="Times New Roman"/>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5</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14:paraId="490AB4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cs="Times New Roman"/>
        </w:rPr>
      </w:pPr>
    </w:p>
    <w:p w14:paraId="4EC40B36">
      <w:pPr>
        <w:pStyle w:val="6"/>
        <w:keepNext w:val="0"/>
        <w:keepLines w:val="0"/>
        <w:pageBreakBefore w:val="0"/>
        <w:widowControl/>
        <w:suppressLineNumbers w:val="0"/>
        <w:kinsoku/>
        <w:overflowPunct/>
        <w:topLinePunct w:val="0"/>
        <w:autoSpaceDE w:val="0"/>
        <w:autoSpaceDN/>
        <w:bidi w:val="0"/>
        <w:adjustRightInd/>
        <w:snapToGrid/>
        <w:spacing w:before="40" w:beforeAutospacing="0" w:afterAutospacing="0" w:line="560" w:lineRule="atLeas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存在的主要问题及改进情况</w:t>
      </w:r>
    </w:p>
    <w:p w14:paraId="45BE49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caps w:val="0"/>
          <w:color w:val="000000"/>
          <w:spacing w:val="0"/>
          <w:sz w:val="32"/>
          <w:szCs w:val="32"/>
        </w:rPr>
      </w:pPr>
      <w:r>
        <w:rPr>
          <w:rFonts w:hint="default" w:ascii="Times New Roman" w:hAnsi="Times New Roman" w:eastAsia="仿宋_GB2312" w:cs="Times New Roman"/>
          <w:caps w:val="0"/>
          <w:color w:val="000000"/>
          <w:spacing w:val="0"/>
          <w:sz w:val="32"/>
          <w:szCs w:val="32"/>
        </w:rPr>
        <w:t>202</w:t>
      </w:r>
      <w:r>
        <w:rPr>
          <w:rFonts w:hint="eastAsia" w:ascii="Times New Roman" w:hAnsi="Times New Roman" w:eastAsia="仿宋_GB2312" w:cs="Times New Roman"/>
          <w:caps w:val="0"/>
          <w:color w:val="000000"/>
          <w:spacing w:val="0"/>
          <w:sz w:val="32"/>
          <w:szCs w:val="32"/>
          <w:lang w:val="en-US" w:eastAsia="zh-CN"/>
        </w:rPr>
        <w:t>5</w:t>
      </w:r>
      <w:r>
        <w:rPr>
          <w:rFonts w:hint="default" w:ascii="Times New Roman" w:hAnsi="Times New Roman" w:eastAsia="仿宋_GB2312" w:cs="Times New Roman"/>
          <w:caps w:val="0"/>
          <w:color w:val="000000"/>
          <w:spacing w:val="0"/>
          <w:sz w:val="32"/>
          <w:szCs w:val="32"/>
        </w:rPr>
        <w:t>年，全区政务公开工作有序推进，取得了一定的成效，但还存在政府信息公开监督指导不够有力的情况，管委会政府信息公开工作主管单位主要以电话督促、开会协调等方式对各部门（单位）政务公开工作进行监督，监督力度较小、监督效果不佳，政务公开工作的质量和实效有待进一步提升。</w:t>
      </w:r>
    </w:p>
    <w:p w14:paraId="69F035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caps w:val="0"/>
          <w:color w:val="000000"/>
          <w:spacing w:val="0"/>
          <w:sz w:val="32"/>
          <w:szCs w:val="32"/>
        </w:rPr>
      </w:pPr>
      <w:r>
        <w:rPr>
          <w:rFonts w:hint="default" w:ascii="Times New Roman" w:hAnsi="Times New Roman" w:eastAsia="仿宋_GB2312" w:cs="Times New Roman"/>
          <w:caps w:val="0"/>
          <w:color w:val="000000"/>
          <w:spacing w:val="0"/>
          <w:sz w:val="32"/>
          <w:szCs w:val="32"/>
        </w:rPr>
        <w:t>针对存在问题，一是坚持立行立改和持续整改相结合，加强对各部门（单位）政务公开工作推进情况的督查督办，定期通报问题，对检查发现不符合公开要求的各部门（单位）逐一沟通指导。二是及时向各部门（单位）政务公开工作人员转发最新文件要求，加强对政府信息公开工作系列文件的学习，定期开展有针对性的业务培训，提高工作人员的专业能力和综合素质。</w:t>
      </w:r>
    </w:p>
    <w:p w14:paraId="20479A23">
      <w:pPr>
        <w:pStyle w:val="6"/>
        <w:keepNext w:val="0"/>
        <w:keepLines w:val="0"/>
        <w:pageBreakBefore w:val="0"/>
        <w:widowControl/>
        <w:suppressLineNumbers w:val="0"/>
        <w:kinsoku/>
        <w:overflowPunct/>
        <w:topLinePunct w:val="0"/>
        <w:autoSpaceDE w:val="0"/>
        <w:autoSpaceDN/>
        <w:bidi w:val="0"/>
        <w:adjustRightInd/>
        <w:snapToGrid/>
        <w:spacing w:before="40" w:beforeAutospacing="0" w:afterAutospacing="0" w:line="560" w:lineRule="atLeas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14:paraId="34FA9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（一）收取信息处理费情况方面</w:t>
      </w:r>
    </w:p>
    <w:p w14:paraId="5C59B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lang w:val="en-US" w:eastAsia="zh-CN" w:bidi="ar"/>
        </w:rPr>
        <w:t>2025年，区管委会办公室不存在因信息处理收取相关费用的情况。</w:t>
      </w:r>
    </w:p>
    <w:p w14:paraId="0A300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（二）落实上级年度政务公开工作要点情况</w:t>
      </w:r>
    </w:p>
    <w:p w14:paraId="4B637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lang w:val="en-US" w:eastAsia="zh-CN" w:bidi="ar"/>
        </w:rPr>
        <w:t>按照《山东省人民政府办公厅关于印发2023年山东省政务公开工作要点的通知》（鲁政办发〔2023〕8号），区管委会办公室及时调整本单位主动公开目录，主动认领2025年政务公开重点工作，落实责任科室和公开要素，推动年度政务公开重点工作任务落实到位。</w:t>
      </w:r>
    </w:p>
    <w:p w14:paraId="7964C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（三）人大代表建议和政协提案办理情况方面</w:t>
      </w:r>
    </w:p>
    <w:p w14:paraId="04936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2025年，区管委会共承办区人大代表建议0件，区政协委员提案0件。</w:t>
      </w:r>
    </w:p>
    <w:p w14:paraId="37A2A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（四）开展政务公开创新方面</w:t>
      </w:r>
    </w:p>
    <w:p w14:paraId="789F4B62">
      <w:pPr>
        <w:keepNext w:val="0"/>
        <w:keepLines w:val="0"/>
        <w:pageBreakBefore w:val="0"/>
        <w:kinsoku/>
        <w:wordWrap/>
        <w:overflowPunct/>
        <w:topLinePunct w:val="0"/>
        <w:autoSpaceDN/>
        <w:bidi w:val="0"/>
        <w:adjustRightInd/>
        <w:snapToGrid/>
        <w:spacing w:beforeAutospacing="0" w:afterAutospacing="0"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行政机关在政务公开制度、内容、形式和平台建设方面的创新实践情况：依申请公开方面，经开区管委会办公室不断加强各单位间的协调力度，统一各单位答复口径，进一步对法律依据、指引答复工作进行规范。</w:t>
      </w:r>
    </w:p>
    <w:p w14:paraId="75A198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（五）本行政机关政府信息公开工作年度报告数据统计需要说明的事项：</w:t>
      </w:r>
      <w:r>
        <w:rPr>
          <w:rFonts w:hint="default" w:ascii="Times New Roman" w:hAnsi="Times New Roman" w:eastAsia="仿宋_GB2312" w:cs="Times New Roman"/>
          <w:i w:val="0"/>
          <w:iCs w:val="0"/>
          <w:caps w:val="0"/>
          <w:color w:val="000000"/>
          <w:spacing w:val="0"/>
          <w:kern w:val="0"/>
          <w:sz w:val="32"/>
          <w:szCs w:val="32"/>
          <w:lang w:val="en-US" w:eastAsia="zh-CN" w:bidi="ar"/>
        </w:rPr>
        <w:t>无</w:t>
      </w:r>
    </w:p>
    <w:p w14:paraId="7BEFF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（六）本行政机关认为需要报告的其他事项：</w:t>
      </w:r>
      <w:r>
        <w:rPr>
          <w:rFonts w:hint="default" w:ascii="Times New Roman" w:hAnsi="Times New Roman" w:eastAsia="仿宋_GB2312" w:cs="Times New Roman"/>
          <w:i w:val="0"/>
          <w:iCs w:val="0"/>
          <w:caps w:val="0"/>
          <w:color w:val="000000"/>
          <w:spacing w:val="0"/>
          <w:kern w:val="0"/>
          <w:sz w:val="32"/>
          <w:szCs w:val="32"/>
          <w:lang w:val="en-US" w:eastAsia="zh-CN" w:bidi="ar"/>
        </w:rPr>
        <w:t>无</w:t>
      </w:r>
    </w:p>
    <w:p w14:paraId="017AD520">
      <w:pPr>
        <w:pStyle w:val="6"/>
        <w:keepNext w:val="0"/>
        <w:keepLines w:val="0"/>
        <w:pageBreakBefore w:val="0"/>
        <w:widowControl/>
        <w:suppressLineNumbers w:val="0"/>
        <w:kinsoku/>
        <w:overflowPunct/>
        <w:topLinePunct w:val="0"/>
        <w:autoSpaceDE w:val="0"/>
        <w:autoSpaceDN/>
        <w:bidi w:val="0"/>
        <w:adjustRightInd/>
        <w:snapToGrid/>
        <w:spacing w:before="40" w:beforeAutospacing="0" w:afterAutospacing="0" w:line="560" w:lineRule="atLeast"/>
        <w:ind w:left="0" w:firstLine="640" w:firstLineChars="200"/>
        <w:jc w:val="both"/>
        <w:textAlignment w:val="auto"/>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（七）其他有关文件专门要求通过政府信息公开工作年度报告予以报告的事项：</w:t>
      </w:r>
      <w:r>
        <w:rPr>
          <w:rFonts w:hint="default" w:ascii="Times New Roman" w:hAnsi="Times New Roman" w:eastAsia="仿宋_GB2312" w:cs="Times New Roman"/>
          <w:i w:val="0"/>
          <w:iCs w:val="0"/>
          <w:caps w:val="0"/>
          <w:color w:val="000000"/>
          <w:spacing w:val="0"/>
          <w:kern w:val="0"/>
          <w:sz w:val="32"/>
          <w:szCs w:val="32"/>
          <w:lang w:val="en-US" w:eastAsia="zh-CN" w:bidi="ar"/>
        </w:rPr>
        <w:t>无   </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1F62F61"/>
    <w:rsid w:val="047F7F1A"/>
    <w:rsid w:val="063A587E"/>
    <w:rsid w:val="064874C7"/>
    <w:rsid w:val="0653264B"/>
    <w:rsid w:val="06650D82"/>
    <w:rsid w:val="07061EA1"/>
    <w:rsid w:val="07E68B3F"/>
    <w:rsid w:val="07FA0AB3"/>
    <w:rsid w:val="0A913D04"/>
    <w:rsid w:val="0BB22F8E"/>
    <w:rsid w:val="110034B4"/>
    <w:rsid w:val="11390774"/>
    <w:rsid w:val="149A5C71"/>
    <w:rsid w:val="159A4C5C"/>
    <w:rsid w:val="16300397"/>
    <w:rsid w:val="16E729BC"/>
    <w:rsid w:val="17FB98E6"/>
    <w:rsid w:val="1EFF0BEB"/>
    <w:rsid w:val="1F9F6F4B"/>
    <w:rsid w:val="20963A68"/>
    <w:rsid w:val="20C53592"/>
    <w:rsid w:val="226F3FF6"/>
    <w:rsid w:val="26EB3E67"/>
    <w:rsid w:val="286D1FEB"/>
    <w:rsid w:val="29F554B0"/>
    <w:rsid w:val="2B365FF8"/>
    <w:rsid w:val="2BA051BE"/>
    <w:rsid w:val="2BA47406"/>
    <w:rsid w:val="2CA32539"/>
    <w:rsid w:val="2EC41B6D"/>
    <w:rsid w:val="2F631386"/>
    <w:rsid w:val="32A7158A"/>
    <w:rsid w:val="33DE69E6"/>
    <w:rsid w:val="3545774E"/>
    <w:rsid w:val="35527ED3"/>
    <w:rsid w:val="359C77A4"/>
    <w:rsid w:val="35BC359E"/>
    <w:rsid w:val="35D24B6F"/>
    <w:rsid w:val="36C27277"/>
    <w:rsid w:val="3E1E34FF"/>
    <w:rsid w:val="41326E0A"/>
    <w:rsid w:val="43E20674"/>
    <w:rsid w:val="44C71617"/>
    <w:rsid w:val="4B60738D"/>
    <w:rsid w:val="4B6D3F18"/>
    <w:rsid w:val="4D4A4CA7"/>
    <w:rsid w:val="4F54398B"/>
    <w:rsid w:val="500309BD"/>
    <w:rsid w:val="50510813"/>
    <w:rsid w:val="50EE4E28"/>
    <w:rsid w:val="510D4856"/>
    <w:rsid w:val="51D1460B"/>
    <w:rsid w:val="52DB10B0"/>
    <w:rsid w:val="53336043"/>
    <w:rsid w:val="55AD05A3"/>
    <w:rsid w:val="56A1616C"/>
    <w:rsid w:val="57435475"/>
    <w:rsid w:val="57800B28"/>
    <w:rsid w:val="59D97079"/>
    <w:rsid w:val="5AFFE93D"/>
    <w:rsid w:val="5B4F263B"/>
    <w:rsid w:val="5CAC6D2A"/>
    <w:rsid w:val="5F517CFB"/>
    <w:rsid w:val="63754C08"/>
    <w:rsid w:val="63A37DD4"/>
    <w:rsid w:val="64CC6C54"/>
    <w:rsid w:val="65192D4E"/>
    <w:rsid w:val="68D55547"/>
    <w:rsid w:val="69CD33B8"/>
    <w:rsid w:val="69D361E5"/>
    <w:rsid w:val="6CFB7CDD"/>
    <w:rsid w:val="6DE20A7D"/>
    <w:rsid w:val="6E6639AE"/>
    <w:rsid w:val="6EE802F2"/>
    <w:rsid w:val="6F6049BF"/>
    <w:rsid w:val="6FBCCEA2"/>
    <w:rsid w:val="6FD3280D"/>
    <w:rsid w:val="71D27834"/>
    <w:rsid w:val="73B61051"/>
    <w:rsid w:val="749F7D37"/>
    <w:rsid w:val="75B75B8A"/>
    <w:rsid w:val="75F56048"/>
    <w:rsid w:val="76DA2F47"/>
    <w:rsid w:val="777D6A45"/>
    <w:rsid w:val="789F4463"/>
    <w:rsid w:val="7B5353D8"/>
    <w:rsid w:val="7C784F9E"/>
    <w:rsid w:val="7E290672"/>
    <w:rsid w:val="7E560B76"/>
    <w:rsid w:val="7ECD0AF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b/>
      <w:bCs/>
      <w:kern w:val="44"/>
      <w:sz w:val="44"/>
      <w:szCs w:val="44"/>
    </w:rPr>
  </w:style>
  <w:style w:type="character" w:customStyle="1" w:styleId="13">
    <w:name w:val="标题 2 字符"/>
    <w:basedOn w:val="8"/>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1202</Words>
  <Characters>1233</Characters>
  <Lines>75</Lines>
  <Paragraphs>21</Paragraphs>
  <TotalTime>7</TotalTime>
  <ScaleCrop>false</ScaleCrop>
  <LinksUpToDate>false</LinksUpToDate>
  <CharactersWithSpaces>1241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爱运动的猫</cp:lastModifiedBy>
  <cp:lastPrinted>2026-01-04T10:39:00Z</cp:lastPrinted>
  <dcterms:modified xsi:type="dcterms:W3CDTF">2026-02-13T01:03:46Z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eyJoZGlkIjoiYWUzODMwZmQ0OWRjNjI2MjRjMDVhZGE0NmIzNmIzNzEiLCJ1c2VySWQiOiI0MTk3MzM2NzMifQ==</vt:lpwstr>
  </property>
  <property fmtid="{D5CDD505-2E9C-101B-9397-08002B2CF9AE}" pid="4" name="ICV">
    <vt:lpwstr>45D9782A09844106939575BF4DE194EC_13</vt:lpwstr>
  </property>
</Properties>
</file>