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r>
        <w:rPr>
          <w:rFonts w:ascii="方正小标宋简体" w:hAnsi="方正小标宋简体" w:eastAsia="方正小标宋简体" w:cs="方正小标宋简体"/>
          <w:sz w:val="44"/>
          <w:szCs w:val="44"/>
        </w:rPr>
        <w:t>城市综合执法领域基层政务公开标准目录</w:t>
      </w:r>
    </w:p>
    <w:bookmarkEnd w:id="0"/>
    <w:tbl>
      <w:tblPr>
        <w:tblStyle w:val="2"/>
        <w:tblpPr w:leftFromText="180" w:rightFromText="180" w:vertAnchor="text" w:horzAnchor="page" w:tblpX="1558" w:tblpY="828"/>
        <w:tblOverlap w:val="never"/>
        <w:tblW w:w="13560"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autofit"/>
        <w:tblCellMar>
          <w:top w:w="0" w:type="dxa"/>
          <w:left w:w="0" w:type="dxa"/>
          <w:bottom w:w="0" w:type="dxa"/>
          <w:right w:w="0" w:type="dxa"/>
        </w:tblCellMar>
      </w:tblPr>
      <w:tblGrid>
        <w:gridCol w:w="585"/>
        <w:gridCol w:w="750"/>
        <w:gridCol w:w="1560"/>
        <w:gridCol w:w="2055"/>
        <w:gridCol w:w="1665"/>
        <w:gridCol w:w="1005"/>
        <w:gridCol w:w="1245"/>
        <w:gridCol w:w="870"/>
        <w:gridCol w:w="690"/>
        <w:gridCol w:w="660"/>
        <w:gridCol w:w="570"/>
        <w:gridCol w:w="705"/>
        <w:gridCol w:w="630"/>
        <w:gridCol w:w="5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600" w:hRule="atLeast"/>
        </w:trPr>
        <w:tc>
          <w:tcPr>
            <w:tcW w:w="58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序号</w:t>
            </w:r>
          </w:p>
        </w:tc>
        <w:tc>
          <w:tcPr>
            <w:tcW w:w="231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公开事项</w:t>
            </w:r>
          </w:p>
        </w:tc>
        <w:tc>
          <w:tcPr>
            <w:tcW w:w="205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公开内容</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(要素)</w:t>
            </w:r>
          </w:p>
        </w:tc>
        <w:tc>
          <w:tcPr>
            <w:tcW w:w="166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公开依据</w:t>
            </w:r>
          </w:p>
        </w:tc>
        <w:tc>
          <w:tcPr>
            <w:tcW w:w="100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公开时限</w:t>
            </w:r>
          </w:p>
        </w:tc>
        <w:tc>
          <w:tcPr>
            <w:tcW w:w="124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公开主体</w:t>
            </w:r>
          </w:p>
        </w:tc>
        <w:tc>
          <w:tcPr>
            <w:tcW w:w="87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公开渠道和载体</w:t>
            </w:r>
          </w:p>
        </w:tc>
        <w:tc>
          <w:tcPr>
            <w:tcW w:w="135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公开对象</w:t>
            </w:r>
          </w:p>
        </w:tc>
        <w:tc>
          <w:tcPr>
            <w:tcW w:w="127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公开方式</w:t>
            </w:r>
          </w:p>
        </w:tc>
        <w:tc>
          <w:tcPr>
            <w:tcW w:w="120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公开层级</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960" w:hRule="atLeast"/>
        </w:trPr>
        <w:tc>
          <w:tcPr>
            <w:tcW w:w="585" w:type="dxa"/>
            <w:vMerge w:val="continue"/>
            <w:tcBorders>
              <w:tl2br w:val="nil"/>
              <w:tr2bl w:val="nil"/>
            </w:tcBorders>
            <w:shd w:val="clear" w:color="auto" w:fill="auto"/>
            <w:vAlign w:val="center"/>
          </w:tcPr>
          <w:p>
            <w:pPr>
              <w:jc w:val="center"/>
              <w:rPr>
                <w:rFonts w:hint="eastAsia" w:ascii="微软雅黑" w:hAnsi="微软雅黑" w:eastAsia="微软雅黑" w:cs="微软雅黑"/>
                <w:i w:val="0"/>
                <w:iCs w:val="0"/>
                <w:caps w:val="0"/>
                <w:color w:val="000000"/>
                <w:spacing w:val="0"/>
                <w:sz w:val="18"/>
                <w:szCs w:val="18"/>
              </w:rPr>
            </w:pP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一级事项</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二级事项</w:t>
            </w:r>
          </w:p>
        </w:tc>
        <w:tc>
          <w:tcPr>
            <w:tcW w:w="2055" w:type="dxa"/>
            <w:vMerge w:val="continue"/>
            <w:tcBorders>
              <w:tl2br w:val="nil"/>
              <w:tr2bl w:val="nil"/>
            </w:tcBorders>
            <w:shd w:val="clear" w:color="auto" w:fill="auto"/>
            <w:vAlign w:val="center"/>
          </w:tcPr>
          <w:p>
            <w:pPr>
              <w:jc w:val="left"/>
              <w:rPr>
                <w:rFonts w:hint="eastAsia" w:ascii="微软雅黑" w:hAnsi="微软雅黑" w:eastAsia="微软雅黑" w:cs="微软雅黑"/>
                <w:i w:val="0"/>
                <w:iCs w:val="0"/>
                <w:caps w:val="0"/>
                <w:color w:val="000000"/>
                <w:spacing w:val="0"/>
                <w:sz w:val="18"/>
                <w:szCs w:val="18"/>
              </w:rPr>
            </w:pPr>
          </w:p>
        </w:tc>
        <w:tc>
          <w:tcPr>
            <w:tcW w:w="1665" w:type="dxa"/>
            <w:vMerge w:val="continue"/>
            <w:tcBorders>
              <w:tl2br w:val="nil"/>
              <w:tr2bl w:val="nil"/>
            </w:tcBorders>
            <w:shd w:val="clear" w:color="auto" w:fill="auto"/>
            <w:vAlign w:val="center"/>
          </w:tcPr>
          <w:p>
            <w:pPr>
              <w:jc w:val="left"/>
              <w:rPr>
                <w:rFonts w:hint="eastAsia" w:ascii="微软雅黑" w:hAnsi="微软雅黑" w:eastAsia="微软雅黑" w:cs="微软雅黑"/>
                <w:i w:val="0"/>
                <w:iCs w:val="0"/>
                <w:caps w:val="0"/>
                <w:color w:val="000000"/>
                <w:spacing w:val="0"/>
                <w:sz w:val="18"/>
                <w:szCs w:val="18"/>
              </w:rPr>
            </w:pPr>
          </w:p>
        </w:tc>
        <w:tc>
          <w:tcPr>
            <w:tcW w:w="1005" w:type="dxa"/>
            <w:vMerge w:val="continue"/>
            <w:tcBorders>
              <w:tl2br w:val="nil"/>
              <w:tr2bl w:val="nil"/>
            </w:tcBorders>
            <w:shd w:val="clear" w:color="auto" w:fill="auto"/>
            <w:vAlign w:val="center"/>
          </w:tcPr>
          <w:p>
            <w:pPr>
              <w:jc w:val="center"/>
              <w:rPr>
                <w:rFonts w:hint="eastAsia" w:ascii="微软雅黑" w:hAnsi="微软雅黑" w:eastAsia="微软雅黑" w:cs="微软雅黑"/>
                <w:i w:val="0"/>
                <w:iCs w:val="0"/>
                <w:caps w:val="0"/>
                <w:color w:val="000000"/>
                <w:spacing w:val="0"/>
                <w:sz w:val="18"/>
                <w:szCs w:val="18"/>
              </w:rPr>
            </w:pPr>
          </w:p>
        </w:tc>
        <w:tc>
          <w:tcPr>
            <w:tcW w:w="1245" w:type="dxa"/>
            <w:vMerge w:val="continue"/>
            <w:tcBorders>
              <w:tl2br w:val="nil"/>
              <w:tr2bl w:val="nil"/>
            </w:tcBorders>
            <w:shd w:val="clear" w:color="auto" w:fill="auto"/>
            <w:vAlign w:val="center"/>
          </w:tcPr>
          <w:p>
            <w:pPr>
              <w:jc w:val="center"/>
              <w:rPr>
                <w:rFonts w:hint="eastAsia" w:ascii="微软雅黑" w:hAnsi="微软雅黑" w:eastAsia="微软雅黑" w:cs="微软雅黑"/>
                <w:i w:val="0"/>
                <w:iCs w:val="0"/>
                <w:caps w:val="0"/>
                <w:color w:val="000000"/>
                <w:spacing w:val="0"/>
                <w:sz w:val="18"/>
                <w:szCs w:val="18"/>
              </w:rPr>
            </w:pPr>
          </w:p>
        </w:tc>
        <w:tc>
          <w:tcPr>
            <w:tcW w:w="870" w:type="dxa"/>
            <w:vMerge w:val="continue"/>
            <w:tcBorders>
              <w:tl2br w:val="nil"/>
              <w:tr2bl w:val="nil"/>
            </w:tcBorders>
            <w:shd w:val="clear" w:color="auto" w:fill="auto"/>
            <w:vAlign w:val="center"/>
          </w:tcPr>
          <w:p>
            <w:pPr>
              <w:jc w:val="center"/>
              <w:rPr>
                <w:rFonts w:hint="eastAsia" w:ascii="微软雅黑" w:hAnsi="微软雅黑" w:eastAsia="微软雅黑" w:cs="微软雅黑"/>
                <w:i w:val="0"/>
                <w:iCs w:val="0"/>
                <w:caps w:val="0"/>
                <w:color w:val="000000"/>
                <w:spacing w:val="0"/>
                <w:sz w:val="18"/>
                <w:szCs w:val="18"/>
              </w:rPr>
            </w:pP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全社会</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特定</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群体</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主动</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依申请</w:t>
            </w: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县级</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乡级</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未取得资质等级证书或者超越资质等级从事房地产开发经营的处罚。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《城市房地产开发经营管理条例》（国务院令第248号）</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《房地产开发企业资质管理规定》（建设部令第77号）</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《商品房销售管理办法》（建设部令88号）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80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未经许可擅自预售商品房的处罚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《中华人民共和国城市房地产管理法》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《城市房地产开发经营管理条例》（国务院令第248号）</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《城市商品房预售管理办法》（建设部令第40号）</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《商品房销售管理办法》（建设部令88号）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不按规定使用商品房预售款项的处罚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《城市商品房预售管理办法》（建设部令第40号）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开发企业以不正当手段取得商品房预售许可的处罚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《城市商品房预售管理办法》（建设部令第40号）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在未解除商品房买卖合同前将商品房再行销售给他人的处罚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《商品房销售管理办法》（建设部令88号）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未按规定报送测绘成果等资料的处罚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《商品房销售管理办法》（建设部令88号）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房地产开发企业在销售商品房中未按照规定的现售条件现售商品房等的处罚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《商品房销售管理办法》（建设部令88号）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房地产中介服务机构代理销售不符合销售条件的商品房行为的处罚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《商品房销售管理办法》（建设部令88号）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非法印制、伪造、变造房屋权属证书或者登记证明，或者使用非法印制、伪造、变造的房屋权属证书或者登记证明的处罚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《房屋登记办法》（建设部令第168号）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未取得房屋测绘资质或超出测绘资质范围从事房屋测绘的处罚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《中华人民共和国测绘法》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24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房产测绘单位在房产面积测算中不执行国家标准、规范和规定行为的；房产测绘单位在房产面积测算中弄虚作假、欺骗房屋权利人的；房产测绘单位有房产面积测算失误，造成重大损失的处罚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《房产测绘管理办法》（建设部、国家测绘局令第83号）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未取得房地产估价机构资质从事房地产估价活动或者超越资质等级承揽估价业务的处罚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《房地产估价机构管理办法》（建设部令第142号）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违反规定设立分支机构或者新设立的分支机构不备案的处罚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《房地产估价机构管理办法》（建设部令第142号）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房地产估价机构违反规定承揽业务、违规出具评估报告等的处罚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《房地产估价机构管理办法》（建设部令第142号）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房地产估价机构及其估价人员应当回避未回避行为的处罚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《房地产估价机构管理办法》（建设部令第142号）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房地产估价机构涂改、倒卖、出租、出借或者以其他形式非法转让资质证书等的处罚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《房地产估价机构管理办法》（建设部令第142号）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以欺骗、贿赂等不正当手段取得注册证书的处罚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《注册房地产估价师管理办法》（建设部令第151号）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未经注册，擅自以注册房地产估价师名义从事房地产估价活动的处罚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《注册房地产估价师管理办法》（建设部令第151号）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未办理变更注册仍执业的处罚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《注册房地产估价师管理办法》（建设部令第151号）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注册房地产估价师不履行注册房地产估价师义务等的处罚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《注册房地产估价师管理办法》（建设部令第151号）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未按照要求提供房地产估价师信用档案信息的处罚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《注册房地产估价师管理办法》（建设部令第151号）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房地产经纪人员以个人名义承接房地产经纪业务和收取费用等的处罚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《房地产经纪管理办法》（住房和城乡建设部等3部令第8号）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房地产经纪机构违反规定擅自对外发布房源信息的处罚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《房地产经纪管理办法》（住房和城乡建设部等3部令第8号）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房地产经纪机构擅自划转客户交易结算资金的处罚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《房地产经纪管理办法》（住房和城乡建设部等3部令第8号）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房地产经纪机构及其经纪人员违反《房地产经纪管理办法》第三十七条的处罚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《房地产经纪管理办法》（住房和城乡建设部等3部令第8号）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开发建设单位违反规定将房屋交付买受人的处罚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《住宅专项维修资金管理办法》（建设部、财政部令第165号）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对开发建设单位未按规定分摊维修、更新和改造费用的处罚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《住宅专项维修资金管理办法》（建设部、财政部令第165号）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挪用住宅专项</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维修资金行为</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《住宅专项维修资金管理办法》（建设部、财政部令第165号）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违规从事白蚁防治业务的处罚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《城市房屋白蚁防治管理规定》（建设部令第72号）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白蚁防治单位不建立白蚁防治质量保证体系，不按施工技术规范和操作程序进行防治的处罚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《城市房屋白蚁防治管理规定》（建设部令第72号）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白蚁防治单位使用不合格药物行为的处罚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《城市房屋白蚁防治管理规定》（建设部令第72号）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房地产开发企业、建设单位不按规定进行白蚁预防的处罚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《城市房屋白蚁防治管理规定》（建设部令第72号）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房屋所有人、使用人或者房屋管理单位发生蚁害而不委托白蚁防治单位进行灭治的处罚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《城市房屋白蚁防治管理规定》（建设部令第72号）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公共租赁住房的所有权人及其委托的运营单位违反《公共租赁住房管理办法》第三十四条的处罚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《公共租赁住房管理办法》（住房和城乡建设部令第11号）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隐瞒有关情况或者提供虚假材料申请公共租赁住房；以欺骗等不正当手段，登记为轮候对象或者承租公共租赁住房的处罚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《公共租赁住房管理办法》（住房和城乡建设部令第11号）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承租人违反《公共租赁住房管理办法》第三十六条的处罚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《公共租赁住房管理办法》（住房和城乡建设部令第11号）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因住宅室内装饰装修活动造成相邻住宅毁坏的处罚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《住宅室内装饰装修管理办法》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装修人因住宅室内装饰装修活动侵占公共空间，对公共部位和设施造成损害的处罚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《住宅室内装饰装修管理办法》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装修人违反本办法规定，把装修工程委托给无资质等级的企业的，装修人未申报登记进行住宅室内装饰装修活动的处罚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《住宅室内装饰装修管理办法》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装饰装修企业自行采购或者向装修人推荐使用不符合国家标准的装饰装修材料，造成空气污染超标的处罚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《住宅室内装饰装修管理办法》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违反《住宅室内装饰装修管理办法》第三十八条的处罚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《住宅室内装饰装修管理办法》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房地产管理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物业管理单位发现装修人或者装饰装修企业有违反本办法规定的行为不及时向有关部门报告的处罚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《住宅室内装饰装修管理办法》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绿化管理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对擅自占用城市绿地的处罚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《城市绿化条例》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42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绿化管理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对损坏城市树木、花草、草坪或盗窃绿地设施的；2.就树盖房，在绿地内或树木下搭灶生火，倾倒有害物质；3.砍伐、擅自迁移古树名木或者因养护不善致使古树木死亡的；4.在树木上架设电线，在绿地内停放车辆、放牧或乱扔废弃物，在绿地内和道路两侧绿篱内挖坑取土的；5其他损害城市绿化及其设施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《城市绿化条例》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58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绿化管理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对擅自砍伐、移植或修剪城市规划区内的树木的处罚。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《城市绿化条例》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住宅物业建设单位违规选聘物业企业的处罚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建设单位擅自处分属于业主的物业共用部位、共用设施设备的所有权或者使用权的处罚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违反规定不移交有关资料的处罚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未取得资质证书</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从事物业管理的；以欺骗手段取得资质证书的处罚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聘用未取得物业管理职业资格证书的人员从事物业管理活动的处罚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将一个物业管理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区域内的全部物业管理一并委托给他人的处罚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挪用专项维修资金的处罚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在物业管理区域内不按照规定配置必要的物业管理用房的处罚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物业管理企业擅自改变物业管理用房的用途的处罚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24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擅自改变物业管理区域内按照规划建设的公共建筑和共用设施用途的；擅自占用、挖掘物业管理区域内道路、场地，损害业主共同利益的；擅自利用物业共用部位、共用设施设备进行经营的处罚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《物业管理条例》（国务院令第379号）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物业服务企业超越资质等级承接物业管理业务行为的处罚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《物业管理企业资质管理办法》（建设部令第125号）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物业服务企业出租、出借、转让资质证书行为的处罚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《物业管理企业资质管理办法》（建设部令第125号）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物业服务企业不按规定办理资质变更手续行为的处罚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《物业管理企业资质管理办法》（建设部令第125号）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不按城市环境卫生行政主管部门规定的时间、地点、方式倾倒垃圾、粪便的处罚。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不履行卫生责任区清扫保洁的或冬季不履行除雪义务的处罚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运输液体、散装货物不作密封、包扎、覆盖造成泄漏、遗撒的处罚。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80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临街工地不设置护栏或者不作遮挡、停工场地不及时整理并作必要覆盖或者竣工后不及时清理和平整场地、影响市容和环境卫生的处罚。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随地吐痰、便溺和乱泼污水、乱扔果皮、烟蒂、包装纸、饮料罐、口香糖渣、废电池、动物尸体等废弃物的处罚。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在城市人民政府确定的主要街道临街建筑物的阳台和窗外堆放、吊挂有碍市容物品的处罚。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在城市建筑物、设施以及树木上涂写、刻画，或者未经批准张挂、张贴宣传品等的</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不按规定及时清运、处理粪便的处罚。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在城市道路或人行道上从事各类作业后，不清除杂物、渣土、污水淤泥的处罚。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在露天场所和垃圾收集容器内焚烧树枝（叶）、垃圾或者其他物品的的处罚。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69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牲畜或者宠物的携带者对牲畜或者宠物的粪便不及时清除的处罚。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摊点的经营者随地丢弃垃圾的处罚。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将有害固体废弃物混入城市生活垃圾的处罚。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不按规定的地点、方式冲洗车辆造成污水漫流、遗弃垃圾的处罚。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未经批准擅自饲养家禽家畜影响市容环境卫生的处罚。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擅自设置户外广告影响市容的处罚。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擅自在街道两侧和其他公共场所临时堆放物料、摆摊设点影响市容的处罚。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擅自搭建非永久性建筑物、构筑物或者设置商亭等其他设施、影响市容的处罚。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未经批准擅自拆除环境卫生设施或者未按批准的拆迁方案进行拆迁的处罚。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对不符合城市容貌标准、环境卫生标准的建筑物或者设施的处罚。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对损坏各类环境卫生设施及其附属设施的处罚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单位和个人未按《城市生活垃圾管理办法》缴纳城市生活垃圾处理费的处罚。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未按照城市生活垃圾治理规划和环境卫生设施标准配套建设城市生活垃圾收集设施的处罚。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城市生活垃圾处置设施未经验收或者验收不合格投入使用的处罚。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未经批准擅自关闭、闲置或者拆除城市生活垃圾处置设施、场所的处罚。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随意倾倒、抛洒、堆放城市生活垃圾的处罚。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未经批准从事城市生活垃圾经营性清扫、收集、运输或者处置活动的处罚。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从事城市生活垃圾经营性清扫、收集、运输的企业在运输过程中沿途丢弃、遗撒生活垃圾的处罚。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562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从事城市生活垃圾经营性清扫、收集、运输的企业应当未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从事城市生活垃圾经营性清扫、收集、运输的企业，未经批准擅自停业、歇业的处罚。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80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对以下行为的处罚：（一）将建筑垃圾混入生活垃圾的；（二）将危险废物混入建筑垃圾的；（三）擅自设立弃置场受纳建筑垃圾的处罚；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建筑垃圾储运消纳场受纳工业垃圾、生活垃圾和有毒有害垃圾的处罚。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292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施工单位未及时清运工程施工过程中产生的建筑垃圾，造成环境污染的：施工单位将建筑垃圾交给个人或者未经核准从事建筑垃圾运输的单位处置的，处置建筑垃圾的单位在运输建筑垃圾过程中沿途丢弃、遗撒建筑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涂改、倒卖、出租、出借或者以其他形式非法转让城市建筑垃圾处置核准文件的处罚。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未经核准擅自处置或者超出核准范围处置建筑垃圾的处罚。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任何单位和个人随意倾倒、抛撒或者堆放建筑垃圾的处罚。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90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以下行为的处罚：(一)未按照城市生活垃圾处理规划和环境卫生设施标准配套建设城市生活垃圾收集设施的;(二)城市生活垃圾处置设施未经验收或者验收不合格投入使用的,建设单位不按照规定报送建设工程项目档案的;(三)从事城市生活垃圾经营性清扫、收集、运输、处置的单位擅自停业、歇业的;(四)处置单位未保持处置设施、设备正常运行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360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以下行为的处罚：(一)未进行城市生活垃圾申报或者申报不实的;(二)处置单位未按规定要求提交检测报告的;(三)城市生活垃圾收集、运输、处置单位未按规定建立台账或者城市生活垃圾处置单位未报送处置报表的;(四)将分类收集的城市生活垃圾混合收集、运输、处置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建筑施工噪声污染的处罚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《中华人民共和国噪声污染防治法》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94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城市焚烧沥青塑料垃圾等烟尘和恶臭污染的处罚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《中华人民共和国大气污染防治法》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露天焚烧秸秆落叶等烟尘污染的处罚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《中华人民共和国大气污染防治法》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露天烧烤污染的处罚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《中华人民共和国大气污染防治法》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43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建筑施工扬尘污染处罚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《中华人民共和国大气污染防治法》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户外公共场所无照经营行为的处罚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《无照经营查处取缔办法》（2003年1月6日国务院令第370号）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汽车类机动车在道路上违反规定停放的的处罚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《道路交通安全法》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社会生活噪声污染的处罚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《中华人民共和国环境噪声污染防治法》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在河道、湖泊管理范围内倾倒垃圾、渣土，从事影响河势稳定、危害河岸堤防安全和其他妨碍河道行洪的活动的处罚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《中华人民共和国防洪法》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40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未取得户外公共场所食品生产经营许可从事食品生产经营活动，或者未取得食品添加剂生产许可从事食品添加剂生产活动;明知道从事上述活动而为其提供生产经营场所的处罚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《中华人民共和国食品安全法》（主席令第21号）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未取得《药品生产许可证》、《药品经营许可证》或者《医疗机构制剂许可证》从事违法回收贩卖药品的处罚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《中华人民共和国药品管理法》（2015年修订）</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餐饮服务业油烟污染的处罚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《中华人民共和国大气污染防治法》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45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城市垃圾处理费征收</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《城市生活垃圾管理办法》（建设部令第157号）</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《城市市容和环境卫生管理条例》，国发〔2011〕9号</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从事城市生活垃圾经营性清扫、收集、运输处理服务审批条件</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《城市建设垃圾管理规定》（建设部第139号令）</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《建设部关于纳入国务院决定的十五项行政许可的条件的规定》（建设部第135号令）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城镇建筑垃圾处置核准条件</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《城市建筑垃圾管理规定》（2005年住建部令第139号）</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《建设部关于纳入国务院决定的十五项行政许可的条件的规定》（建设部第135号令）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市容环境卫生管理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关闭、闲置、拆除城市环境卫生设施许可</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《城市建筑垃圾管理规定》（2005年住建部令第139号）</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《建设部关于纳入国务院决定的十五项行政许可的条件的规定》（建设部第135号令）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单位或者个人擅自在城市桥梁上架设各类管线、设置广告等辅助物的处罚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《城市桥梁检测和养护维修管理办法》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单位或者个人擅自在城市桥梁施工控制范围内从事河道疏浚、挖掘、打桩、地下管道顶进、爆破等作业的处罚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《城市桥梁检测和养护维修管理办法》</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缴纳义务人不缴纳污水处理费的处罚。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《城镇排水与污水处理条例》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对未取得燃气经营许可证从事燃气经营活动的处罚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对燃气经营者不按照燃气经营许可证的规定从事燃气经营活动的处罚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60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拒绝向市政燃气管网覆盖范围内符合用气条件的单位或者个人供气的2、倒卖、抵押、出租、出借、转让、涂改燃气经营许可证的；3、未履行必要告知义务擅自停止供气，调整供气量，或者未经审查擅自停业或者歇业的；4、向未取得燃气经营许可证的单位或者个人提供用于经营的燃气的；5、在不具备安全条件的场所储存燃气的处罚；6、要求燃气用户购买其指定的产品或者接受其提供的服务的；7、燃气经营者未向燃气用户持续、稳定、安全供应符合国家质量标准的燃气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60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对销售充装单位擅自为非自有气瓶充装的瓶装燃气的处罚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315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消除燃气安全事故隐患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675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对燃气用户及相关单位和个人有下列行为之一的处罚：1、擅自操作公用燃气阀门的处罚；2、将燃气管道作为负重支架或者接地引线的；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3、安装、使用不符合气源要求的燃气燃烧器具的；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4、擅自安装、改装、拆除户内燃气设施和燃气计进装置的；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5、在不具备安全条件的场所使用、储存燃气的；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6、改变燃气用途或者转供燃气的；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7、未设立售后服务站点或者未配备经考核合格的燃气燃烧器具安装、维修人员的；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8、燃气燃烧器具的安装、维修不符合国家有关标准的处罚。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3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对在燃气设施保护范围内从事下列活动之一的处罚：</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1、进行爆破、取土等作业或者动用明火的；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2、倾倒、排放腐蚀性物质的处罚；</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3、放置易燃易爆物品或者种植深根植物的；</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4、未与燃气经营者共同制定燃气设施保护方案，采取相应的安全保护措施，从事敷设管道、打桩、顶进、挖掘、钻探等可能影响燃气设施安全活动的处罚。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对侵占、毁损、擅自拆除、移动燃气设施或者擅自改动市政燃气设施的处罚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对毁损、覆盖、涂改、擅自拆除或者移动设施安全警示标志的处罚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24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125</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对建设工程施工范围内有地下燃气管线等重要燃气设施，建设单位未会同施工单位与管道燃气经营者共同制定燃气设施保护方案，或者建设单位、施工单位未采取相应的安全保护措施的处罚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《城镇燃气管理条例》（中华人民共和国国务院第583号令）</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202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126</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对燃气经营企业分立、合并、中止经营,或者燃气经营许可证载明的内容发生变更,燃气经营企业未在规定期限内报原审批机关申请办理相关手续的处罚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315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127</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（一）对超过检验期限、检验不合格或者报废、改装的气瓶进行灌装;</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（二）用贮罐、槽车直接向气瓶充装燃气或者用气瓶相互倒灌燃气;</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（三）在不符合安全条件的场地存放已充装气瓶;</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（四）法律、法规禁止的其他行为的处罚。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128</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对向未经使用登记、与使用登记证不一致的车用气瓶加气或者向车用气瓶以外的其他气瓶或者装置加气的处罚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80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129</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对燃气燃烧器具安装维修企业安装不符合国家标准或者与气源不适配的燃气燃烧器具，或者维修达到报废年限的燃、气燃烧器具的处罚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《城镇燃气管理条例》</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585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130</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对燃气燃烧器具安装、维修企业违反本规定，有下列行为之一的处罚</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（一）伪造、涂改、出租、借用、转让或者出卖《资质证书》；</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（二）年检不合格的企业，继续从事安装、维修业务；</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（三）由于燃气燃烧器具安装、维修原因发生燃气事故；</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（四）未经燃气供应企业同意，移动燃气计量表及表前设施。</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燃气管理部门吊销燃气燃烧器具安装、维修企业《资质证书》后，应当提请工商行政管理部门吊销其营业执照。</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《燃气燃烧器具安装维修理规定》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315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131</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对燃气燃烧器具安装、维修企业违反本规定，有下列行为之一的处罚：</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（一）限定用户购买本企业生产的或者其指定的燃气燃烧器具和相关产品；</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（二）聘用无《岗位证书》的人员从事安装、维修业务。</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《燃气燃烧器具安装维修理规定》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132</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对燃气燃烧器具安装、维企企业没有在规定的时间内或者与用户约定的时间安装、维修的处罚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《燃气燃烧器具安装维修理规定》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575"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133</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对无《资质证书》的企业从事燃气燃烧器具安装、维修业务的处罚</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《燃气燃烧器具安装维修理规定》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3150" w:hRule="atLeast"/>
        </w:trPr>
        <w:tc>
          <w:tcPr>
            <w:tcW w:w="5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134</w:t>
            </w:r>
          </w:p>
        </w:tc>
        <w:tc>
          <w:tcPr>
            <w:tcW w:w="7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市政公用管理</w:t>
            </w:r>
          </w:p>
        </w:tc>
        <w:tc>
          <w:tcPr>
            <w:tcW w:w="15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对燃气燃烧器具安装、维修企业的安装、维修人员违反本规定，有下列行为之一的处罚：</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（一）无《岗位证书》，擅自从事燃气燃烧器具的安装，维修业务；</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（二）以个人名义承揽燃气燃烧器具的安装，维修业务。</w:t>
            </w:r>
          </w:p>
        </w:tc>
        <w:tc>
          <w:tcPr>
            <w:tcW w:w="20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1.机构职能、权责清单、执法人员名单；</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2.执法程序或行政强制流程图；</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3.执法依据；</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4.行政处罚自由裁量基准；</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5.咨询、监督投诉方式；</w:t>
            </w: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6.处罚决定。</w:t>
            </w:r>
          </w:p>
        </w:tc>
        <w:tc>
          <w:tcPr>
            <w:tcW w:w="166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《燃气燃烧器具安装维修理规定》</w:t>
            </w:r>
          </w:p>
        </w:tc>
        <w:tc>
          <w:tcPr>
            <w:tcW w:w="10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20个工作日内。</w:t>
            </w:r>
          </w:p>
        </w:tc>
        <w:tc>
          <w:tcPr>
            <w:tcW w:w="12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城市管理行政执法部门或相关行政主管部门</w:t>
            </w:r>
          </w:p>
        </w:tc>
        <w:tc>
          <w:tcPr>
            <w:tcW w:w="870" w:type="dxa"/>
            <w:tcBorders>
              <w:tl2br w:val="nil"/>
              <w:tr2bl w:val="nil"/>
            </w:tcBorders>
            <w:shd w:val="clear" w:color="auto" w:fill="auto"/>
            <w:vAlign w:val="center"/>
          </w:tcPr>
          <w:p>
            <w:pPr>
              <w:keepNext w:val="0"/>
              <w:keepLines w:val="0"/>
              <w:widowControl/>
              <w:suppressLineNumbers w:val="0"/>
              <w:spacing w:before="0" w:beforeAutospacing="0" w:after="27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■政府网站</w:t>
            </w:r>
          </w:p>
        </w:tc>
        <w:tc>
          <w:tcPr>
            <w:tcW w:w="6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6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70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tc>
        <w:tc>
          <w:tcPr>
            <w:tcW w:w="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c>
          <w:tcPr>
            <w:tcW w:w="57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w:t>
            </w:r>
          </w:p>
        </w:tc>
      </w:tr>
    </w:tbl>
    <w:p>
      <w:pPr>
        <w:jc w:val="center"/>
        <w:rPr>
          <w:rFonts w:ascii="方正小标宋简体" w:hAnsi="方正小标宋简体" w:eastAsia="方正小标宋简体" w:cs="方正小标宋简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73D01"/>
    <w:rsid w:val="5D57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2021-12-28T01:51:00Z</dcterms:created>
  <dc:creator>一依</dc:creator>
  <cp:lastModifiedBy>一依</cp:lastModifiedBy>
  <dcterms:modified xsi:type="dcterms:W3CDTF">2021-12-28T01:52:32Z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02A7851BE18D416FA043EBD78FBB7D0F</vt:lpwstr>
  </property>
</Properties>
</file>