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r>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t>傅家镇人民政府2021年政府信息公开</w:t>
      </w: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r>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t>工作年度报告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微软雅黑" w:hAnsi="微软雅黑" w:eastAsia="微软雅黑" w:cs="微软雅黑"/>
          <w:i w:val="0"/>
          <w:iCs w:val="0"/>
          <w:caps w:val="0"/>
          <w:color w:val="000000"/>
          <w:spacing w:val="0"/>
          <w:sz w:val="24"/>
          <w:szCs w:val="24"/>
        </w:rPr>
      </w:pPr>
      <w:r>
        <w:rPr>
          <w:rFonts w:ascii="黑体" w:hAnsi="宋体" w:eastAsia="黑体" w:cs="黑体"/>
          <w:i w:val="0"/>
          <w:iCs w:val="0"/>
          <w:caps w:val="0"/>
          <w:color w:val="000000"/>
          <w:spacing w:val="0"/>
          <w:sz w:val="32"/>
          <w:szCs w:val="32"/>
          <w:bdr w:val="none" w:color="auto" w:sz="0" w:space="0"/>
          <w:shd w:val="clear" w:fill="FFFFFF"/>
        </w:rPr>
        <w:t>一、</w:t>
      </w:r>
      <w:r>
        <w:rPr>
          <w:rFonts w:hint="eastAsia" w:ascii="黑体" w:hAnsi="宋体" w:eastAsia="黑体" w:cs="黑体"/>
          <w:i w:val="0"/>
          <w:iCs w:val="0"/>
          <w:caps w:val="0"/>
          <w:color w:val="000000"/>
          <w:spacing w:val="0"/>
          <w:sz w:val="32"/>
          <w:szCs w:val="32"/>
          <w:bdr w:val="none" w:color="auto" w:sz="0" w:space="0"/>
          <w:shd w:val="clear" w:fill="FFFFFF"/>
        </w:rPr>
        <w:t>总体情况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微软雅黑" w:hAnsi="微软雅黑" w:eastAsia="微软雅黑" w:cs="微软雅黑"/>
          <w:i w:val="0"/>
          <w:iCs w:val="0"/>
          <w:caps w:val="0"/>
          <w:color w:val="000000"/>
          <w:spacing w:val="0"/>
          <w:sz w:val="24"/>
          <w:szCs w:val="24"/>
        </w:rPr>
      </w:pPr>
      <w:r>
        <w:rPr>
          <w:rFonts w:hint="default" w:ascii="Times New Roman" w:hAnsi="Times New Roman" w:eastAsia="仿宋_GB2312" w:cs="Times New Roman"/>
          <w:i w:val="0"/>
          <w:iCs w:val="0"/>
          <w:caps w:val="0"/>
          <w:color w:val="000000"/>
          <w:spacing w:val="0"/>
          <w:sz w:val="32"/>
          <w:szCs w:val="32"/>
          <w:bdr w:val="none" w:color="auto" w:sz="0" w:space="0"/>
          <w:shd w:val="clear" w:fill="FFFFFF"/>
        </w:rPr>
        <w:t>2021</w:t>
      </w:r>
      <w:r>
        <w:rPr>
          <w:rFonts w:ascii="仿宋_GB2312" w:hAnsi="微软雅黑" w:eastAsia="仿宋_GB2312" w:cs="仿宋_GB2312"/>
          <w:i w:val="0"/>
          <w:iCs w:val="0"/>
          <w:caps w:val="0"/>
          <w:color w:val="000000"/>
          <w:spacing w:val="0"/>
          <w:sz w:val="32"/>
          <w:szCs w:val="32"/>
          <w:bdr w:val="none" w:color="auto" w:sz="0" w:space="0"/>
          <w:shd w:val="clear" w:fill="FFFFFF"/>
        </w:rPr>
        <w:t>年，傅家镇深入贯彻落实《中华人民共和国政府信息公开条例》《国务院办公厅关于实施中华人民共和国政府信息公开条例若干问题的意见》和省市区有关文件的规定和要求，深入推进政府信息公开工作，紧紧围绕市委、市政府中心工作以及社会公众关切的热点和焦点问题，做好主动公开工作，努力满足公众知情权、参与权、监督权和表达权，助力全镇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Times New Roman" w:hAnsi="Times New Roman" w:eastAsia="仿宋_GB2312" w:cs="Times New Roman"/>
          <w:i w:val="0"/>
          <w:iCs w:val="0"/>
          <w:caps w:val="0"/>
          <w:color w:val="000000"/>
          <w:spacing w:val="0"/>
          <w:sz w:val="32"/>
          <w:szCs w:val="32"/>
          <w:shd w:val="clear" w:fill="FFFFFF"/>
        </w:rPr>
      </w:pPr>
      <w:r>
        <w:rPr>
          <w:rFonts w:hint="eastAsia" w:ascii="仿宋_GB2312" w:hAnsi="微软雅黑" w:eastAsia="仿宋_GB2312" w:cs="仿宋_GB2312"/>
          <w:i w:val="0"/>
          <w:iCs w:val="0"/>
          <w:caps w:val="0"/>
          <w:color w:val="000000"/>
          <w:spacing w:val="-28"/>
          <w:sz w:val="32"/>
          <w:szCs w:val="32"/>
          <w:bdr w:val="none" w:color="auto" w:sz="0" w:space="0"/>
          <w:shd w:val="clear" w:fill="FFFFFF"/>
        </w:rPr>
        <w:t>本报告可在淄博经济开发区门户网站(</w:t>
      </w:r>
      <w:r>
        <w:rPr>
          <w:rFonts w:hint="default" w:ascii="Times New Roman" w:hAnsi="Times New Roman" w:eastAsia="仿宋_GB2312" w:cs="Times New Roman"/>
          <w:i w:val="0"/>
          <w:iCs w:val="0"/>
          <w:caps w:val="0"/>
          <w:color w:val="000000"/>
          <w:spacing w:val="-28"/>
          <w:sz w:val="32"/>
          <w:szCs w:val="32"/>
          <w:bdr w:val="none" w:color="auto" w:sz="0" w:space="0"/>
          <w:shd w:val="clear" w:fill="FFFFFF"/>
        </w:rPr>
        <w:t>http://www.zbjkq.gov.cn</w:t>
      </w:r>
      <w:r>
        <w:rPr>
          <w:rFonts w:hint="eastAsia" w:ascii="仿宋_GB2312" w:hAnsi="微软雅黑" w:eastAsia="仿宋_GB2312" w:cs="仿宋_GB2312"/>
          <w:i w:val="0"/>
          <w:iCs w:val="0"/>
          <w:caps w:val="0"/>
          <w:color w:val="000000"/>
          <w:spacing w:val="-28"/>
          <w:sz w:val="32"/>
          <w:szCs w:val="32"/>
          <w:bdr w:val="none" w:color="auto" w:sz="0" w:space="0"/>
          <w:shd w:val="clear" w:fill="FFFFFF"/>
        </w:rPr>
        <w:t>)下载。如对本报告有任何疑问，请与傅</w:t>
      </w:r>
      <w:r>
        <w:rPr>
          <w:rFonts w:hint="eastAsia" w:ascii="仿宋_GB2312" w:hAnsi="微软雅黑" w:eastAsia="仿宋_GB2312" w:cs="仿宋_GB2312"/>
          <w:i w:val="0"/>
          <w:iCs w:val="0"/>
          <w:caps w:val="0"/>
          <w:color w:val="000000"/>
          <w:spacing w:val="0"/>
          <w:sz w:val="32"/>
          <w:szCs w:val="32"/>
          <w:bdr w:val="none" w:color="auto" w:sz="0" w:space="0"/>
          <w:shd w:val="clear" w:fill="FFFFFF"/>
        </w:rPr>
        <w:t>家镇人民政府联系（地址：傅家镇华福大道</w:t>
      </w:r>
      <w:r>
        <w:rPr>
          <w:rFonts w:hint="default" w:ascii="Times New Roman" w:hAnsi="Times New Roman" w:eastAsia="仿宋_GB2312" w:cs="Times New Roman"/>
          <w:i w:val="0"/>
          <w:iCs w:val="0"/>
          <w:caps w:val="0"/>
          <w:color w:val="000000"/>
          <w:spacing w:val="0"/>
          <w:sz w:val="32"/>
          <w:szCs w:val="32"/>
          <w:bdr w:val="none" w:color="auto" w:sz="0" w:space="0"/>
          <w:shd w:val="clear" w:fill="FFFFFF"/>
        </w:rPr>
        <w:t>108</w:t>
      </w:r>
      <w:r>
        <w:rPr>
          <w:rFonts w:hint="eastAsia" w:ascii="仿宋_GB2312" w:hAnsi="微软雅黑" w:eastAsia="仿宋_GB2312" w:cs="仿宋_GB2312"/>
          <w:i w:val="0"/>
          <w:iCs w:val="0"/>
          <w:caps w:val="0"/>
          <w:color w:val="000000"/>
          <w:spacing w:val="0"/>
          <w:sz w:val="32"/>
          <w:szCs w:val="32"/>
          <w:bdr w:val="none" w:color="auto" w:sz="0" w:space="0"/>
          <w:shd w:val="clear" w:fill="FFFFFF"/>
        </w:rPr>
        <w:t>号；邮编：</w:t>
      </w:r>
      <w:r>
        <w:rPr>
          <w:rFonts w:hint="eastAsia" w:ascii="Times New Roman" w:hAnsi="Times New Roman" w:eastAsia="仿宋_GB2312" w:cs="Times New Roman"/>
          <w:i w:val="0"/>
          <w:iCs w:val="0"/>
          <w:caps w:val="0"/>
          <w:color w:val="000000"/>
          <w:spacing w:val="0"/>
          <w:sz w:val="32"/>
          <w:szCs w:val="32"/>
          <w:shd w:val="clear" w:fill="FFFFFF"/>
        </w:rPr>
        <w:t>255000</w:t>
      </w:r>
      <w:r>
        <w:rPr>
          <w:rFonts w:hint="eastAsia" w:ascii="仿宋_GB2312" w:hAnsi="微软雅黑" w:eastAsia="仿宋_GB2312" w:cs="仿宋_GB2312"/>
          <w:i w:val="0"/>
          <w:iCs w:val="0"/>
          <w:caps w:val="0"/>
          <w:color w:val="000000"/>
          <w:spacing w:val="0"/>
          <w:sz w:val="32"/>
          <w:szCs w:val="32"/>
          <w:bdr w:val="none" w:color="auto" w:sz="0" w:space="0"/>
          <w:shd w:val="clear" w:fill="FFFFFF"/>
        </w:rPr>
        <w:t>；联系电话：</w:t>
      </w:r>
      <w:r>
        <w:rPr>
          <w:rFonts w:hint="eastAsia" w:ascii="Times New Roman" w:hAnsi="Times New Roman" w:eastAsia="仿宋_GB2312" w:cs="Times New Roman"/>
          <w:i w:val="0"/>
          <w:iCs w:val="0"/>
          <w:caps w:val="0"/>
          <w:color w:val="000000"/>
          <w:spacing w:val="0"/>
          <w:sz w:val="32"/>
          <w:szCs w:val="32"/>
          <w:shd w:val="clear" w:fill="FFFFFF"/>
        </w:rPr>
        <w:t>2902555</w:t>
      </w:r>
      <w:r>
        <w:rPr>
          <w:rFonts w:hint="eastAsia" w:ascii="仿宋_GB2312" w:hAnsi="微软雅黑" w:eastAsia="仿宋_GB2312" w:cs="仿宋_GB2312"/>
          <w:i w:val="0"/>
          <w:iCs w:val="0"/>
          <w:caps w:val="0"/>
          <w:color w:val="000000"/>
          <w:spacing w:val="0"/>
          <w:sz w:val="32"/>
          <w:szCs w:val="32"/>
          <w:bdr w:val="none" w:color="auto" w:sz="0" w:space="0"/>
          <w:shd w:val="clear" w:fill="FFFFFF"/>
        </w:rPr>
        <w:t>；传真</w:t>
      </w:r>
      <w:r>
        <w:rPr>
          <w:rFonts w:hint="eastAsia" w:ascii="Times New Roman" w:hAnsi="Times New Roman" w:eastAsia="仿宋_GB2312" w:cs="Times New Roman"/>
          <w:i w:val="0"/>
          <w:iCs w:val="0"/>
          <w:caps w:val="0"/>
          <w:color w:val="000000"/>
          <w:spacing w:val="0"/>
          <w:sz w:val="32"/>
          <w:szCs w:val="32"/>
          <w:shd w:val="clear" w:fill="FFFFFF"/>
        </w:rPr>
        <w:t>：2902569</w:t>
      </w:r>
      <w:r>
        <w:rPr>
          <w:rFonts w:hint="eastAsia" w:ascii="仿宋_GB2312" w:hAnsi="微软雅黑" w:eastAsia="仿宋_GB2312" w:cs="仿宋_GB2312"/>
          <w:i w:val="0"/>
          <w:iCs w:val="0"/>
          <w:caps w:val="0"/>
          <w:color w:val="000000"/>
          <w:spacing w:val="0"/>
          <w:sz w:val="32"/>
          <w:szCs w:val="32"/>
          <w:bdr w:val="none" w:color="auto" w:sz="0" w:space="0"/>
          <w:shd w:val="clear" w:fill="FFFFFF"/>
        </w:rPr>
        <w:t>；电子信箱：</w:t>
      </w:r>
      <w:r>
        <w:rPr>
          <w:rFonts w:hint="eastAsia" w:ascii="Times New Roman" w:hAnsi="Times New Roman" w:eastAsia="仿宋_GB2312" w:cs="Times New Roman"/>
          <w:i w:val="0"/>
          <w:iCs w:val="0"/>
          <w:caps w:val="0"/>
          <w:color w:val="000000"/>
          <w:spacing w:val="0"/>
          <w:sz w:val="32"/>
          <w:szCs w:val="32"/>
          <w:shd w:val="clear" w:fill="FFFFFF"/>
        </w:rPr>
        <w:fldChar w:fldCharType="begin"/>
      </w:r>
      <w:r>
        <w:rPr>
          <w:rFonts w:hint="eastAsia" w:ascii="Times New Roman" w:hAnsi="Times New Roman" w:eastAsia="仿宋_GB2312" w:cs="Times New Roman"/>
          <w:i w:val="0"/>
          <w:iCs w:val="0"/>
          <w:caps w:val="0"/>
          <w:color w:val="000000"/>
          <w:spacing w:val="0"/>
          <w:sz w:val="32"/>
          <w:szCs w:val="32"/>
          <w:shd w:val="clear" w:fill="FFFFFF"/>
        </w:rPr>
        <w:instrText xml:space="preserve"> HYPERLINK "mailto:zdqfjzdzb@zb.shandong.cn）。" </w:instrText>
      </w:r>
      <w:r>
        <w:rPr>
          <w:rFonts w:hint="eastAsia" w:ascii="Times New Roman" w:hAnsi="Times New Roman" w:eastAsia="仿宋_GB2312" w:cs="Times New Roman"/>
          <w:i w:val="0"/>
          <w:iCs w:val="0"/>
          <w:caps w:val="0"/>
          <w:color w:val="000000"/>
          <w:spacing w:val="0"/>
          <w:sz w:val="32"/>
          <w:szCs w:val="32"/>
          <w:shd w:val="clear" w:fill="FFFFFF"/>
        </w:rPr>
        <w:fldChar w:fldCharType="separate"/>
      </w:r>
      <w:r>
        <w:rPr>
          <w:rFonts w:hint="eastAsia" w:ascii="Times New Roman" w:hAnsi="Times New Roman" w:eastAsia="仿宋_GB2312" w:cs="Times New Roman"/>
          <w:i w:val="0"/>
          <w:iCs w:val="0"/>
          <w:caps w:val="0"/>
          <w:color w:val="000000"/>
          <w:spacing w:val="0"/>
          <w:sz w:val="32"/>
          <w:szCs w:val="32"/>
          <w:shd w:val="clear" w:fill="FFFFFF"/>
        </w:rPr>
        <w:t>zdqfjzdzb@zb.shandong.cn）。</w:t>
      </w:r>
      <w:r>
        <w:rPr>
          <w:rFonts w:hint="eastAsia" w:ascii="Times New Roman" w:hAnsi="Times New Roman" w:eastAsia="仿宋_GB2312" w:cs="Times New Roman"/>
          <w:i w:val="0"/>
          <w:iCs w:val="0"/>
          <w:caps w:val="0"/>
          <w:color w:val="000000"/>
          <w:spacing w:val="0"/>
          <w:sz w:val="32"/>
          <w:szCs w:val="32"/>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微软雅黑" w:hAnsi="微软雅黑" w:eastAsia="微软雅黑" w:cs="微软雅黑"/>
          <w:b/>
          <w:bCs/>
          <w:i w:val="0"/>
          <w:iCs w:val="0"/>
          <w:caps w:val="0"/>
          <w:color w:val="000000"/>
          <w:spacing w:val="0"/>
          <w:sz w:val="32"/>
          <w:szCs w:val="32"/>
        </w:rPr>
      </w:pPr>
      <w:r>
        <w:rPr>
          <w:rFonts w:ascii="楷体_GB2312" w:hAnsi="微软雅黑" w:eastAsia="楷体_GB2312" w:cs="楷体_GB2312"/>
          <w:b/>
          <w:bCs/>
          <w:i w:val="0"/>
          <w:iCs w:val="0"/>
          <w:caps w:val="0"/>
          <w:color w:val="000000"/>
          <w:spacing w:val="0"/>
          <w:sz w:val="32"/>
          <w:szCs w:val="32"/>
          <w:bdr w:val="none" w:color="auto" w:sz="0" w:space="0"/>
          <w:shd w:val="clear" w:fill="FFFFFF"/>
        </w:rPr>
        <w:t>（一）主动公开情况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微软雅黑" w:hAnsi="微软雅黑" w:eastAsia="微软雅黑" w:cs="微软雅黑"/>
          <w:i w:val="0"/>
          <w:iCs w:val="0"/>
          <w:caps w:val="0"/>
          <w:color w:val="000000"/>
          <w:spacing w:val="0"/>
          <w:sz w:val="24"/>
          <w:szCs w:val="24"/>
        </w:rPr>
      </w:pPr>
      <w:r>
        <w:rPr>
          <w:rFonts w:hint="default" w:ascii="Times New Roman" w:hAnsi="Times New Roman" w:eastAsia="仿宋_GB2312" w:cs="Times New Roman"/>
          <w:i w:val="0"/>
          <w:iCs w:val="0"/>
          <w:caps w:val="0"/>
          <w:color w:val="000000"/>
          <w:spacing w:val="0"/>
          <w:sz w:val="32"/>
          <w:szCs w:val="32"/>
          <w:shd w:val="clear" w:fill="FFFFFF"/>
        </w:rPr>
        <w:t>2</w:t>
      </w:r>
      <w:r>
        <w:rPr>
          <w:rFonts w:hint="default" w:ascii="Times New Roman" w:hAnsi="Times New Roman" w:eastAsia="仿宋_GB2312" w:cs="Times New Roman"/>
          <w:i w:val="0"/>
          <w:iCs w:val="0"/>
          <w:caps w:val="0"/>
          <w:color w:val="000000"/>
          <w:spacing w:val="0"/>
          <w:sz w:val="32"/>
          <w:szCs w:val="32"/>
          <w:shd w:val="clear" w:fill="FFFFFF"/>
        </w:rPr>
        <w:t>021</w:t>
      </w:r>
      <w:r>
        <w:rPr>
          <w:rFonts w:hint="eastAsia" w:ascii="仿宋_GB2312" w:hAnsi="仿宋_GB2312" w:eastAsia="仿宋_GB2312" w:cs="仿宋_GB2312"/>
          <w:i w:val="0"/>
          <w:iCs w:val="0"/>
          <w:caps w:val="0"/>
          <w:color w:val="000000"/>
          <w:spacing w:val="0"/>
          <w:sz w:val="32"/>
          <w:szCs w:val="32"/>
          <w:bdr w:val="none" w:color="auto" w:sz="0" w:space="0"/>
          <w:shd w:val="clear" w:fill="FFFFFF"/>
        </w:rPr>
        <w:t>年度，我镇按照《中华人民共和国政府信息公开条例》要求，认真做好政府信息的主动公开工作，对政府信息进行梳理和编目，通过政务公开网站、“傅家新语”微信公众等平台，全年持续报送各类信息，其中镇政府信息公开指南</w:t>
      </w:r>
      <w:r>
        <w:rPr>
          <w:rFonts w:hint="default" w:ascii="楷体_GB2312" w:hAnsi="微软雅黑" w:eastAsia="楷体_GB2312" w:cs="楷体_GB2312"/>
          <w:i w:val="0"/>
          <w:iCs w:val="0"/>
          <w:caps w:val="0"/>
          <w:color w:val="000000"/>
          <w:spacing w:val="0"/>
          <w:sz w:val="32"/>
          <w:szCs w:val="32"/>
          <w:bdr w:val="none" w:color="auto" w:sz="0" w:space="0"/>
          <w:shd w:val="clear" w:fill="FFFFFF"/>
        </w:rPr>
        <w:t>1</w:t>
      </w:r>
      <w:r>
        <w:rPr>
          <w:rFonts w:hint="eastAsia" w:ascii="仿宋_GB2312" w:hAnsi="仿宋_GB2312" w:eastAsia="仿宋_GB2312" w:cs="仿宋_GB2312"/>
          <w:i w:val="0"/>
          <w:iCs w:val="0"/>
          <w:caps w:val="0"/>
          <w:color w:val="000000"/>
          <w:spacing w:val="0"/>
          <w:sz w:val="32"/>
          <w:szCs w:val="32"/>
          <w:bdr w:val="none" w:color="auto" w:sz="0" w:space="0"/>
          <w:shd w:val="clear" w:fill="FFFFFF"/>
        </w:rPr>
        <w:t>篇，镇政府信息公开年</w:t>
      </w:r>
      <w:r>
        <w:rPr>
          <w:rFonts w:hint="eastAsia" w:ascii="仿宋_GB2312" w:hAnsi="仿宋_GB2312" w:eastAsia="仿宋_GB2312" w:cs="仿宋_GB2312"/>
          <w:i w:val="0"/>
          <w:iCs w:val="0"/>
          <w:caps w:val="0"/>
          <w:color w:val="000000"/>
          <w:spacing w:val="0"/>
          <w:sz w:val="32"/>
          <w:szCs w:val="32"/>
          <w:shd w:val="clear" w:fill="FFFFFF"/>
        </w:rPr>
        <w:t>报</w:t>
      </w:r>
      <w:r>
        <w:rPr>
          <w:rFonts w:hint="default" w:ascii="Times New Roman" w:hAnsi="Times New Roman" w:eastAsia="仿宋_GB2312" w:cs="Times New Roman"/>
          <w:i w:val="0"/>
          <w:iCs w:val="0"/>
          <w:caps w:val="0"/>
          <w:color w:val="000000"/>
          <w:spacing w:val="0"/>
          <w:sz w:val="32"/>
          <w:szCs w:val="32"/>
          <w:shd w:val="clear" w:fill="FFFFFF"/>
        </w:rPr>
        <w:t>1</w:t>
      </w:r>
      <w:r>
        <w:rPr>
          <w:rFonts w:hint="eastAsia" w:ascii="仿宋_GB2312" w:hAnsi="仿宋_GB2312" w:eastAsia="仿宋_GB2312" w:cs="仿宋_GB2312"/>
          <w:i w:val="0"/>
          <w:iCs w:val="0"/>
          <w:caps w:val="0"/>
          <w:color w:val="000000"/>
          <w:spacing w:val="0"/>
          <w:sz w:val="32"/>
          <w:szCs w:val="32"/>
          <w:bdr w:val="none" w:color="auto" w:sz="0" w:space="0"/>
          <w:shd w:val="clear" w:fill="FFFFFF"/>
        </w:rPr>
        <w:t>篇，业务工作、法规公文等其他信息多条。以文字、图片、视频等形式，及时发布重大政策和相关政策解读及我镇重点工作开展情况，积极回应社会关切，得到了广大群众的极大认可。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微软雅黑" w:hAnsi="微软雅黑" w:eastAsia="微软雅黑" w:cs="微软雅黑"/>
          <w:b/>
          <w:bCs/>
          <w:i w:val="0"/>
          <w:iCs w:val="0"/>
          <w:caps w:val="0"/>
          <w:color w:val="000000"/>
          <w:spacing w:val="0"/>
          <w:sz w:val="32"/>
          <w:szCs w:val="32"/>
        </w:rPr>
      </w:pPr>
      <w:r>
        <w:rPr>
          <w:rFonts w:hint="default" w:ascii="楷体_GB2312" w:hAnsi="微软雅黑" w:eastAsia="楷体_GB2312" w:cs="楷体_GB2312"/>
          <w:b/>
          <w:bCs/>
          <w:i w:val="0"/>
          <w:iCs w:val="0"/>
          <w:caps w:val="0"/>
          <w:color w:val="000000"/>
          <w:spacing w:val="0"/>
          <w:sz w:val="32"/>
          <w:szCs w:val="32"/>
          <w:bdr w:val="none" w:color="auto" w:sz="0" w:space="0"/>
          <w:shd w:val="clear" w:fill="FFFFFF"/>
        </w:rPr>
        <w:t>（二）依申请公开情况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仿宋_GB2312" w:eastAsia="仿宋_GB2312" w:cs="仿宋_GB2312"/>
          <w:i w:val="0"/>
          <w:iCs w:val="0"/>
          <w:caps w:val="0"/>
          <w:color w:val="000000"/>
          <w:spacing w:val="0"/>
          <w:sz w:val="24"/>
          <w:szCs w:val="24"/>
        </w:rPr>
      </w:pPr>
      <w:r>
        <w:rPr>
          <w:rFonts w:hint="default" w:ascii="Times New Roman" w:hAnsi="Times New Roman" w:eastAsia="楷体_GB2312" w:cs="Times New Roman"/>
          <w:i w:val="0"/>
          <w:iCs w:val="0"/>
          <w:caps w:val="0"/>
          <w:color w:val="000000"/>
          <w:spacing w:val="0"/>
          <w:sz w:val="32"/>
          <w:szCs w:val="32"/>
          <w:bdr w:val="none" w:color="auto" w:sz="0" w:space="0"/>
          <w:shd w:val="clear" w:fill="FFFFFF"/>
        </w:rPr>
        <w:t>2021</w:t>
      </w:r>
      <w:r>
        <w:rPr>
          <w:rFonts w:hint="eastAsia" w:ascii="仿宋_GB2312" w:hAnsi="仿宋_GB2312" w:eastAsia="仿宋_GB2312" w:cs="仿宋_GB2312"/>
          <w:i w:val="0"/>
          <w:iCs w:val="0"/>
          <w:caps w:val="0"/>
          <w:color w:val="000000"/>
          <w:spacing w:val="0"/>
          <w:sz w:val="32"/>
          <w:szCs w:val="32"/>
          <w:bdr w:val="none" w:color="auto" w:sz="0" w:space="0"/>
          <w:shd w:val="clear" w:fill="FFFFFF"/>
        </w:rPr>
        <w:t>年度我镇收到依申请公开</w:t>
      </w:r>
      <w:r>
        <w:rPr>
          <w:rFonts w:hint="default" w:ascii="Times New Roman" w:hAnsi="Times New Roman" w:eastAsia="楷体_GB2312" w:cs="Times New Roman"/>
          <w:i w:val="0"/>
          <w:iCs w:val="0"/>
          <w:caps w:val="0"/>
          <w:color w:val="000000"/>
          <w:spacing w:val="0"/>
          <w:sz w:val="32"/>
          <w:szCs w:val="32"/>
          <w:bdr w:val="none" w:color="auto" w:sz="0" w:space="0"/>
          <w:shd w:val="clear" w:fill="FFFFFF"/>
        </w:rPr>
        <w:t>0</w:t>
      </w:r>
      <w:r>
        <w:rPr>
          <w:rFonts w:hint="eastAsia" w:ascii="仿宋_GB2312" w:hAnsi="仿宋_GB2312" w:eastAsia="仿宋_GB2312" w:cs="仿宋_GB2312"/>
          <w:i w:val="0"/>
          <w:iCs w:val="0"/>
          <w:caps w:val="0"/>
          <w:color w:val="000000"/>
          <w:spacing w:val="0"/>
          <w:sz w:val="32"/>
          <w:szCs w:val="32"/>
          <w:bdr w:val="none" w:color="auto" w:sz="0" w:space="0"/>
          <w:shd w:val="clear" w:fill="FFFFFF"/>
        </w:rPr>
        <w:t>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微软雅黑" w:hAnsi="微软雅黑" w:eastAsia="微软雅黑" w:cs="微软雅黑"/>
          <w:b/>
          <w:bCs/>
          <w:i w:val="0"/>
          <w:iCs w:val="0"/>
          <w:caps w:val="0"/>
          <w:color w:val="000000"/>
          <w:spacing w:val="0"/>
          <w:sz w:val="32"/>
          <w:szCs w:val="32"/>
        </w:rPr>
      </w:pPr>
      <w:r>
        <w:rPr>
          <w:rFonts w:hint="default" w:ascii="楷体_GB2312" w:hAnsi="微软雅黑" w:eastAsia="楷体_GB2312" w:cs="楷体_GB2312"/>
          <w:b/>
          <w:bCs/>
          <w:i w:val="0"/>
          <w:iCs w:val="0"/>
          <w:caps w:val="0"/>
          <w:color w:val="000000"/>
          <w:spacing w:val="0"/>
          <w:sz w:val="32"/>
          <w:szCs w:val="32"/>
          <w:bdr w:val="none" w:color="auto" w:sz="0" w:space="0"/>
          <w:shd w:val="clear" w:fill="FFFFFF"/>
        </w:rPr>
        <w:t>（三）政府信息管理工作情况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rPr>
      </w:pPr>
      <w:r>
        <w:rPr>
          <w:rFonts w:hint="eastAsia" w:ascii="仿宋_GB2312" w:hAnsi="仿宋_GB2312" w:eastAsia="仿宋_GB2312" w:cs="仿宋_GB2312"/>
          <w:b/>
          <w:bCs/>
          <w:i w:val="0"/>
          <w:iCs w:val="0"/>
          <w:caps w:val="0"/>
          <w:color w:val="000000"/>
          <w:spacing w:val="0"/>
          <w:sz w:val="32"/>
          <w:szCs w:val="32"/>
          <w:bdr w:val="none" w:color="auto" w:sz="0" w:space="0"/>
          <w:shd w:val="clear" w:fill="FFFFFF"/>
        </w:rPr>
        <w:t>规范程序，严守纪律</w:t>
      </w:r>
      <w:r>
        <w:rPr>
          <w:rFonts w:hint="default" w:ascii="楷体_GB2312" w:hAnsi="微软雅黑" w:eastAsia="楷体_GB2312" w:cs="楷体_GB2312"/>
          <w:i w:val="0"/>
          <w:iCs w:val="0"/>
          <w:caps w:val="0"/>
          <w:color w:val="000000"/>
          <w:spacing w:val="0"/>
          <w:sz w:val="32"/>
          <w:szCs w:val="32"/>
          <w:bdr w:val="none" w:color="auto" w:sz="0" w:space="0"/>
          <w:shd w:val="clear" w:fill="FFFFFF"/>
        </w:rPr>
        <w:t>。</w:t>
      </w:r>
      <w:r>
        <w:rPr>
          <w:rFonts w:ascii="仿宋_GB2312" w:hAnsi="微软雅黑" w:eastAsia="仿宋_GB2312" w:cs="仿宋_GB2312"/>
          <w:i w:val="0"/>
          <w:iCs w:val="0"/>
          <w:caps w:val="0"/>
          <w:color w:val="000000"/>
          <w:spacing w:val="0"/>
          <w:sz w:val="32"/>
          <w:szCs w:val="32"/>
          <w:bdr w:val="none" w:color="auto" w:sz="0" w:space="0"/>
          <w:shd w:val="clear" w:fill="FFFFFF"/>
        </w:rPr>
        <w:t>依据《中华人民共和国政府信息公开条例》和市区有关文件要求，按照</w:t>
      </w:r>
      <w:r>
        <w:rPr>
          <w:rFonts w:hint="eastAsia" w:ascii="仿宋_GB2312" w:hAnsi="微软雅黑" w:eastAsia="仿宋_GB2312" w:cs="仿宋_GB2312"/>
          <w:i w:val="0"/>
          <w:iCs w:val="0"/>
          <w:caps w:val="0"/>
          <w:color w:val="000000"/>
          <w:spacing w:val="0"/>
          <w:sz w:val="32"/>
          <w:szCs w:val="32"/>
          <w:bdr w:val="none" w:color="auto" w:sz="0" w:space="0"/>
          <w:shd w:val="clear" w:fill="FFFFFF"/>
        </w:rPr>
        <w:t>“涉密信息不公开，公开信息不涉密”的原则，制定了《傅家镇人民政府信息公开制度》，使我镇信息公开工作有据可依、有章可循，切实加强了政府信息公开工作的制度化、规范化建设。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rPr>
      </w:pPr>
      <w:r>
        <w:rPr>
          <w:rFonts w:hint="eastAsia" w:ascii="仿宋_GB2312" w:hAnsi="微软雅黑" w:eastAsia="仿宋_GB2312" w:cs="仿宋_GB2312"/>
          <w:i w:val="0"/>
          <w:iCs w:val="0"/>
          <w:caps w:val="0"/>
          <w:color w:val="000000"/>
          <w:spacing w:val="0"/>
          <w:sz w:val="32"/>
          <w:szCs w:val="32"/>
          <w:shd w:val="clear" w:fill="FFFFFF"/>
          <w:lang w:eastAsia="zh-CN"/>
        </w:rPr>
        <w:drawing>
          <wp:anchor distT="0" distB="0" distL="114300" distR="114300" simplePos="0" relativeHeight="251659264" behindDoc="1" locked="0" layoutInCell="1" allowOverlap="1">
            <wp:simplePos x="0" y="0"/>
            <wp:positionH relativeFrom="column">
              <wp:posOffset>-41275</wp:posOffset>
            </wp:positionH>
            <wp:positionV relativeFrom="paragraph">
              <wp:posOffset>26035</wp:posOffset>
            </wp:positionV>
            <wp:extent cx="5716905" cy="3839210"/>
            <wp:effectExtent l="0" t="0" r="17145" b="8890"/>
            <wp:wrapNone/>
            <wp:docPr id="1" name="图片 1" descr="傅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傅家1"/>
                    <pic:cNvPicPr>
                      <a:picLocks noChangeAspect="1"/>
                    </pic:cNvPicPr>
                  </pic:nvPicPr>
                  <pic:blipFill>
                    <a:blip r:embed="rId4"/>
                    <a:stretch>
                      <a:fillRect/>
                    </a:stretch>
                  </pic:blipFill>
                  <pic:spPr>
                    <a:xfrm>
                      <a:off x="0" y="0"/>
                      <a:ext cx="5716905" cy="3839210"/>
                    </a:xfrm>
                    <a:prstGeom prst="rect">
                      <a:avLst/>
                    </a:prstGeom>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微软雅黑" w:hAnsi="微软雅黑" w:eastAsia="微软雅黑" w:cs="微软雅黑"/>
          <w:b/>
          <w:bCs/>
          <w:i w:val="0"/>
          <w:iCs w:val="0"/>
          <w:caps w:val="0"/>
          <w:color w:val="000000"/>
          <w:spacing w:val="0"/>
          <w:sz w:val="32"/>
          <w:szCs w:val="32"/>
        </w:rPr>
      </w:pPr>
      <w:r>
        <w:rPr>
          <w:rFonts w:ascii="楷体_GB2312" w:hAnsi="微软雅黑" w:eastAsia="楷体_GB2312" w:cs="楷体_GB2312"/>
          <w:b/>
          <w:bCs/>
          <w:i w:val="0"/>
          <w:iCs w:val="0"/>
          <w:caps w:val="0"/>
          <w:color w:val="000000"/>
          <w:spacing w:val="0"/>
          <w:sz w:val="32"/>
          <w:szCs w:val="32"/>
          <w:bdr w:val="none" w:color="auto" w:sz="0" w:space="0"/>
          <w:shd w:val="clear" w:fill="FFFFFF"/>
        </w:rPr>
        <w:t>（四）政府信息公开平台建设情况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rPr>
      </w:pPr>
      <w:r>
        <w:rPr>
          <w:rFonts w:hint="eastAsia" w:ascii="仿宋_GB2312" w:hAnsi="仿宋_GB2312" w:eastAsia="仿宋_GB2312" w:cs="仿宋_GB2312"/>
          <w:b/>
          <w:bCs/>
          <w:i w:val="0"/>
          <w:iCs w:val="0"/>
          <w:caps w:val="0"/>
          <w:color w:val="000000"/>
          <w:spacing w:val="0"/>
          <w:sz w:val="32"/>
          <w:szCs w:val="32"/>
          <w:bdr w:val="none" w:color="auto" w:sz="0" w:space="0"/>
          <w:shd w:val="clear" w:fill="FFFFFF"/>
        </w:rPr>
        <w:t>创新形式，打造队伍</w:t>
      </w:r>
      <w:r>
        <w:rPr>
          <w:rFonts w:hint="default" w:ascii="楷体_GB2312" w:hAnsi="微软雅黑" w:eastAsia="楷体_GB2312" w:cs="楷体_GB2312"/>
          <w:i w:val="0"/>
          <w:iCs w:val="0"/>
          <w:caps w:val="0"/>
          <w:color w:val="000000"/>
          <w:spacing w:val="0"/>
          <w:sz w:val="32"/>
          <w:szCs w:val="32"/>
          <w:bdr w:val="none" w:color="auto" w:sz="0" w:space="0"/>
          <w:shd w:val="clear" w:fill="FFFFFF"/>
        </w:rPr>
        <w:t>。</w:t>
      </w:r>
      <w:r>
        <w:rPr>
          <w:rFonts w:ascii="仿宋_GB2312" w:hAnsi="微软雅黑" w:eastAsia="仿宋_GB2312" w:cs="仿宋_GB2312"/>
          <w:i w:val="0"/>
          <w:iCs w:val="0"/>
          <w:caps w:val="0"/>
          <w:color w:val="000000"/>
          <w:spacing w:val="0"/>
          <w:sz w:val="32"/>
          <w:szCs w:val="32"/>
          <w:bdr w:val="none" w:color="auto" w:sz="0" w:space="0"/>
          <w:shd w:val="clear" w:fill="FFFFFF"/>
        </w:rPr>
        <w:t>打造信息宣传专业人才队伍，创新公开形式，积极通过政务新媒体进行公开，通过</w:t>
      </w:r>
      <w:r>
        <w:rPr>
          <w:rFonts w:hint="eastAsia" w:ascii="仿宋_GB2312" w:hAnsi="微软雅黑" w:eastAsia="仿宋_GB2312" w:cs="仿宋_GB2312"/>
          <w:i w:val="0"/>
          <w:iCs w:val="0"/>
          <w:caps w:val="0"/>
          <w:color w:val="000000"/>
          <w:spacing w:val="0"/>
          <w:sz w:val="32"/>
          <w:szCs w:val="32"/>
          <w:bdr w:val="none" w:color="auto" w:sz="0" w:space="0"/>
          <w:shd w:val="clear" w:fill="FFFFFF"/>
        </w:rPr>
        <w:t>“傅家新语”微信公众号、《傅家月报》等形式，实时报道镇上的建设动态、大事小情，让群众足不出户就能了解到政府动态及身边事，更好发挥自己的监督权利，推动政府办公透明化、公开化。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lang w:eastAsia="zh-CN"/>
        </w:rPr>
      </w:pPr>
      <w:r>
        <w:rPr>
          <w:rFonts w:hint="eastAsia" w:ascii="仿宋_GB2312" w:hAnsi="微软雅黑" w:eastAsia="仿宋_GB2312" w:cs="仿宋_GB2312"/>
          <w:i w:val="0"/>
          <w:iCs w:val="0"/>
          <w:caps w:val="0"/>
          <w:color w:val="000000"/>
          <w:spacing w:val="0"/>
          <w:sz w:val="32"/>
          <w:szCs w:val="32"/>
          <w:bdr w:val="none" w:color="auto" w:sz="0" w:space="0"/>
          <w:shd w:val="clear" w:fill="FFFFFF"/>
          <w:lang w:eastAsia="zh-CN"/>
        </w:rPr>
        <w:drawing>
          <wp:anchor distT="0" distB="0" distL="114300" distR="114300" simplePos="0" relativeHeight="251660288" behindDoc="1" locked="0" layoutInCell="1" allowOverlap="1">
            <wp:simplePos x="0" y="0"/>
            <wp:positionH relativeFrom="column">
              <wp:posOffset>-304165</wp:posOffset>
            </wp:positionH>
            <wp:positionV relativeFrom="paragraph">
              <wp:posOffset>193675</wp:posOffset>
            </wp:positionV>
            <wp:extent cx="6375400" cy="4681220"/>
            <wp:effectExtent l="0" t="0" r="6350" b="5080"/>
            <wp:wrapNone/>
            <wp:docPr id="2" name="图片 2" descr="傅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傅家2"/>
                    <pic:cNvPicPr>
                      <a:picLocks noChangeAspect="1"/>
                    </pic:cNvPicPr>
                  </pic:nvPicPr>
                  <pic:blipFill>
                    <a:blip r:embed="rId5"/>
                    <a:stretch>
                      <a:fillRect/>
                    </a:stretch>
                  </pic:blipFill>
                  <pic:spPr>
                    <a:xfrm>
                      <a:off x="0" y="0"/>
                      <a:ext cx="6375400" cy="4681220"/>
                    </a:xfrm>
                    <a:prstGeom prst="rect">
                      <a:avLst/>
                    </a:prstGeom>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right="0"/>
        <w:jc w:val="left"/>
        <w:rPr>
          <w:rFonts w:ascii="楷体_GB2312" w:hAnsi="微软雅黑" w:eastAsia="楷体_GB2312" w:cs="楷体_GB2312"/>
          <w:i w:val="0"/>
          <w:iCs w:val="0"/>
          <w:caps w:val="0"/>
          <w:color w:val="000000"/>
          <w:spacing w:val="0"/>
          <w:sz w:val="32"/>
          <w:szCs w:val="32"/>
          <w:bdr w:val="none" w:color="auto" w:sz="0" w:space="0"/>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ascii="微软雅黑" w:hAnsi="微软雅黑" w:eastAsia="微软雅黑" w:cs="微软雅黑"/>
          <w:b/>
          <w:bCs/>
          <w:i w:val="0"/>
          <w:iCs w:val="0"/>
          <w:caps w:val="0"/>
          <w:color w:val="000000"/>
          <w:spacing w:val="0"/>
          <w:sz w:val="32"/>
          <w:szCs w:val="32"/>
        </w:rPr>
      </w:pPr>
      <w:r>
        <w:rPr>
          <w:rFonts w:ascii="楷体_GB2312" w:hAnsi="微软雅黑" w:eastAsia="楷体_GB2312" w:cs="楷体_GB2312"/>
          <w:b/>
          <w:bCs/>
          <w:i w:val="0"/>
          <w:iCs w:val="0"/>
          <w:caps w:val="0"/>
          <w:color w:val="000000"/>
          <w:spacing w:val="0"/>
          <w:sz w:val="32"/>
          <w:szCs w:val="32"/>
          <w:bdr w:val="none" w:color="auto" w:sz="0" w:space="0"/>
          <w:shd w:val="clear" w:fill="FFFFFF"/>
        </w:rPr>
        <w:t>（五）监督保障情况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rPr>
      </w:pPr>
      <w:r>
        <w:rPr>
          <w:rFonts w:hint="eastAsia" w:ascii="仿宋_GB2312" w:hAnsi="仿宋_GB2312" w:eastAsia="仿宋_GB2312" w:cs="仿宋_GB2312"/>
          <w:b/>
          <w:bCs/>
          <w:i w:val="0"/>
          <w:iCs w:val="0"/>
          <w:caps w:val="0"/>
          <w:color w:val="000000"/>
          <w:spacing w:val="0"/>
          <w:sz w:val="32"/>
          <w:szCs w:val="32"/>
          <w:bdr w:val="none" w:color="auto" w:sz="0" w:space="0"/>
          <w:shd w:val="clear" w:fill="FFFFFF"/>
        </w:rPr>
        <w:t>高度重视，健全机制</w:t>
      </w:r>
      <w:r>
        <w:rPr>
          <w:rFonts w:hint="default" w:ascii="楷体_GB2312" w:hAnsi="微软雅黑" w:eastAsia="楷体_GB2312" w:cs="楷体_GB2312"/>
          <w:i w:val="0"/>
          <w:iCs w:val="0"/>
          <w:caps w:val="0"/>
          <w:color w:val="000000"/>
          <w:spacing w:val="0"/>
          <w:sz w:val="32"/>
          <w:szCs w:val="32"/>
          <w:bdr w:val="none" w:color="auto" w:sz="0" w:space="0"/>
          <w:shd w:val="clear" w:fill="FFFFFF"/>
        </w:rPr>
        <w:t>。</w:t>
      </w:r>
      <w:r>
        <w:rPr>
          <w:rFonts w:ascii="仿宋_GB2312" w:hAnsi="微软雅黑" w:eastAsia="仿宋_GB2312" w:cs="仿宋_GB2312"/>
          <w:i w:val="0"/>
          <w:iCs w:val="0"/>
          <w:caps w:val="0"/>
          <w:color w:val="000000"/>
          <w:spacing w:val="0"/>
          <w:sz w:val="32"/>
          <w:szCs w:val="32"/>
          <w:bdr w:val="none" w:color="auto" w:sz="0" w:space="0"/>
          <w:shd w:val="clear" w:fill="FFFFFF"/>
        </w:rPr>
        <w:t>建立起</w:t>
      </w:r>
      <w:r>
        <w:rPr>
          <w:rFonts w:hint="eastAsia" w:ascii="仿宋_GB2312" w:hAnsi="微软雅黑" w:eastAsia="仿宋_GB2312" w:cs="仿宋_GB2312"/>
          <w:i w:val="0"/>
          <w:iCs w:val="0"/>
          <w:caps w:val="0"/>
          <w:color w:val="000000"/>
          <w:spacing w:val="0"/>
          <w:sz w:val="32"/>
          <w:szCs w:val="32"/>
          <w:bdr w:val="none" w:color="auto" w:sz="0" w:space="0"/>
          <w:shd w:val="clear" w:fill="FFFFFF"/>
        </w:rPr>
        <w:t>“一把手亲自抓，分管领导具体抓，各部门配合”的工作机制，将责任明确到人，做到一级抓一级，层层抓落实，保障了政府信息公开工作的高效运行。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643"/>
        <w:jc w:val="left"/>
        <w:rPr>
          <w:rFonts w:hint="eastAsia" w:ascii="仿宋_GB2312" w:hAnsi="微软雅黑" w:eastAsia="仿宋_GB2312" w:cs="仿宋_GB2312"/>
          <w:i w:val="0"/>
          <w:iCs w:val="0"/>
          <w:caps w:val="0"/>
          <w:color w:val="000000"/>
          <w:spacing w:val="0"/>
          <w:sz w:val="32"/>
          <w:szCs w:val="32"/>
          <w:bdr w:val="none" w:color="auto" w:sz="0" w:space="0"/>
          <w:shd w:val="clear" w:fill="FFFFFF"/>
          <w:lang w:eastAsia="zh-CN"/>
        </w:rPr>
      </w:pPr>
      <w:r>
        <w:rPr>
          <w:rFonts w:hint="eastAsia" w:ascii="仿宋_GB2312" w:hAnsi="微软雅黑" w:eastAsia="仿宋_GB2312" w:cs="仿宋_GB2312"/>
          <w:i w:val="0"/>
          <w:iCs w:val="0"/>
          <w:caps w:val="0"/>
          <w:color w:val="000000"/>
          <w:spacing w:val="0"/>
          <w:sz w:val="32"/>
          <w:szCs w:val="32"/>
          <w:bdr w:val="none" w:color="auto" w:sz="0" w:space="0"/>
          <w:shd w:val="clear" w:fill="FFFFFF"/>
          <w:lang w:eastAsia="zh-CN"/>
        </w:rPr>
        <w:drawing>
          <wp:anchor distT="0" distB="0" distL="114300" distR="114300" simplePos="0" relativeHeight="251661312" behindDoc="1" locked="0" layoutInCell="1" allowOverlap="1">
            <wp:simplePos x="0" y="0"/>
            <wp:positionH relativeFrom="column">
              <wp:posOffset>-193040</wp:posOffset>
            </wp:positionH>
            <wp:positionV relativeFrom="paragraph">
              <wp:posOffset>131445</wp:posOffset>
            </wp:positionV>
            <wp:extent cx="6076315" cy="4074160"/>
            <wp:effectExtent l="0" t="0" r="635" b="2540"/>
            <wp:wrapNone/>
            <wp:docPr id="3" name="图片 3" descr="傅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傅家3"/>
                    <pic:cNvPicPr>
                      <a:picLocks noChangeAspect="1"/>
                    </pic:cNvPicPr>
                  </pic:nvPicPr>
                  <pic:blipFill>
                    <a:blip r:embed="rId6"/>
                    <a:stretch>
                      <a:fillRect/>
                    </a:stretch>
                  </pic:blipFill>
                  <pic:spPr>
                    <a:xfrm>
                      <a:off x="0" y="0"/>
                      <a:ext cx="6076315" cy="4074160"/>
                    </a:xfrm>
                    <a:prstGeom prst="rect">
                      <a:avLst/>
                    </a:prstGeom>
                  </pic:spPr>
                </pic:pic>
              </a:graphicData>
            </a:graphic>
          </wp:anchor>
        </w:drawing>
      </w: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p>
      <w:pPr>
        <w:numPr>
          <w:ilvl w:val="0"/>
          <w:numId w:val="0"/>
        </w:numPr>
        <w:ind w:leftChars="0" w:firstLine="640" w:firstLineChars="200"/>
        <w:jc w:val="left"/>
      </w:pPr>
      <w:r>
        <w:rPr>
          <w:rFonts w:hint="eastAsia" w:ascii="黑体" w:hAnsi="宋体" w:eastAsia="黑体" w:cs="黑体"/>
          <w:color w:val="000000"/>
          <w:sz w:val="32"/>
          <w:szCs w:val="32"/>
          <w:shd w:val="clear" w:color="auto" w:fill="FFFFFF"/>
        </w:rPr>
        <w:t>二、主动公开政府信息情况</w:t>
      </w:r>
    </w:p>
    <w:tbl>
      <w:tblPr>
        <w:tblStyle w:val="3"/>
        <w:tblW w:w="940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2192"/>
        <w:gridCol w:w="2460"/>
        <w:gridCol w:w="2208"/>
        <w:gridCol w:w="254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75" w:hRule="atLeast"/>
          <w:jc w:val="center"/>
        </w:trPr>
        <w:tc>
          <w:tcPr>
            <w:tcW w:w="8415" w:type="dxa"/>
            <w:gridSpan w:val="4"/>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黑体" w:hAnsi="宋体" w:eastAsia="黑体" w:cs="黑体"/>
                <w:sz w:val="24"/>
                <w:szCs w:val="24"/>
              </w:rPr>
              <w:t>第二十条 第（一）项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pStyle w:val="2"/>
              <w:keepNext w:val="0"/>
              <w:keepLines w:val="0"/>
              <w:widowControl/>
              <w:suppressLineNumbers w:val="0"/>
              <w:jc w:val="both"/>
            </w:pPr>
            <w:r>
              <w:rPr>
                <w:rFonts w:hint="eastAsia" w:ascii="宋体" w:hAnsi="宋体" w:eastAsia="宋体" w:cs="宋体"/>
                <w:sz w:val="18"/>
                <w:szCs w:val="18"/>
              </w:rPr>
              <w:t>信息内容</w:t>
            </w:r>
          </w:p>
        </w:tc>
        <w:tc>
          <w:tcPr>
            <w:tcW w:w="2201"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本年制发件数</w:t>
            </w:r>
          </w:p>
        </w:tc>
        <w:tc>
          <w:tcPr>
            <w:tcW w:w="1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本年废止件数</w:t>
            </w:r>
          </w:p>
        </w:tc>
        <w:tc>
          <w:tcPr>
            <w:tcW w:w="22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现行有效件数</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30"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both"/>
            </w:pPr>
            <w:r>
              <w:rPr>
                <w:rFonts w:hint="eastAsia" w:ascii="宋体" w:hAnsi="宋体" w:eastAsia="宋体" w:cs="宋体"/>
                <w:sz w:val="18"/>
                <w:szCs w:val="18"/>
              </w:rPr>
              <w:t>规章</w:t>
            </w:r>
          </w:p>
        </w:tc>
        <w:tc>
          <w:tcPr>
            <w:tcW w:w="220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c>
          <w:tcPr>
            <w:tcW w:w="197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c>
          <w:tcPr>
            <w:tcW w:w="227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7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both"/>
            </w:pPr>
            <w:r>
              <w:rPr>
                <w:rFonts w:hint="eastAsia" w:ascii="宋体" w:hAnsi="宋体" w:eastAsia="宋体" w:cs="宋体"/>
                <w:sz w:val="18"/>
                <w:szCs w:val="18"/>
              </w:rPr>
              <w:t>行政规范性文件</w:t>
            </w:r>
          </w:p>
        </w:tc>
        <w:tc>
          <w:tcPr>
            <w:tcW w:w="220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c>
          <w:tcPr>
            <w:tcW w:w="197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c>
          <w:tcPr>
            <w:tcW w:w="2276"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0" w:hRule="atLeast"/>
          <w:jc w:val="center"/>
        </w:trPr>
        <w:tc>
          <w:tcPr>
            <w:tcW w:w="8415" w:type="dxa"/>
            <w:gridSpan w:val="4"/>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黑体" w:hAnsi="宋体" w:eastAsia="黑体" w:cs="黑体"/>
                <w:sz w:val="24"/>
                <w:szCs w:val="24"/>
              </w:rPr>
              <w:t>第二十条 第（五）项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信息内容</w:t>
            </w:r>
          </w:p>
        </w:tc>
        <w:tc>
          <w:tcPr>
            <w:tcW w:w="645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本年处理决定数量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90"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行政许可</w:t>
            </w:r>
          </w:p>
        </w:tc>
        <w:tc>
          <w:tcPr>
            <w:tcW w:w="6454"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default" w:ascii="Times New Roman" w:hAnsi="Times New Roman" w:eastAsia="宋体" w:cs="Times New Roman"/>
                <w:sz w:val="18"/>
                <w:szCs w:val="18"/>
              </w:rPr>
              <w:t>667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75" w:hRule="atLeast"/>
          <w:jc w:val="center"/>
        </w:trPr>
        <w:tc>
          <w:tcPr>
            <w:tcW w:w="8415" w:type="dxa"/>
            <w:gridSpan w:val="4"/>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黑体" w:hAnsi="宋体" w:eastAsia="黑体" w:cs="黑体"/>
                <w:sz w:val="24"/>
                <w:szCs w:val="24"/>
              </w:rPr>
              <w:t>第二十条 第（六）项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信息内容</w:t>
            </w:r>
          </w:p>
        </w:tc>
        <w:tc>
          <w:tcPr>
            <w:tcW w:w="645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本年处理决定数量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0"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行政处罚</w:t>
            </w:r>
          </w:p>
        </w:tc>
        <w:tc>
          <w:tcPr>
            <w:tcW w:w="6454"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Times New Roman" w:hAnsi="Times New Roman" w:eastAsia="宋体" w:cs="Times New Roman"/>
                <w:sz w:val="18"/>
                <w:szCs w:val="18"/>
              </w:rPr>
              <w:t>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1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行政强制</w:t>
            </w:r>
          </w:p>
        </w:tc>
        <w:tc>
          <w:tcPr>
            <w:tcW w:w="6454"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50" w:hRule="atLeast"/>
          <w:jc w:val="center"/>
        </w:trPr>
        <w:tc>
          <w:tcPr>
            <w:tcW w:w="8415" w:type="dxa"/>
            <w:gridSpan w:val="4"/>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黑体" w:hAnsi="宋体" w:eastAsia="黑体" w:cs="黑体"/>
                <w:sz w:val="24"/>
                <w:szCs w:val="24"/>
              </w:rPr>
              <w:t>第二十条 第（八）项</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0"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信息内容</w:t>
            </w:r>
          </w:p>
        </w:tc>
        <w:tc>
          <w:tcPr>
            <w:tcW w:w="6454" w:type="dxa"/>
            <w:gridSpan w:val="3"/>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本年收费金额（单位：万元）</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45" w:hRule="atLeast"/>
          <w:jc w:val="center"/>
        </w:trPr>
        <w:tc>
          <w:tcPr>
            <w:tcW w:w="1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行政事业性收费</w:t>
            </w:r>
          </w:p>
        </w:tc>
        <w:tc>
          <w:tcPr>
            <w:tcW w:w="6454" w:type="dxa"/>
            <w:gridSpan w:val="3"/>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Times New Roman" w:hAnsi="Times New Roman" w:eastAsia="宋体" w:cs="Times New Roman"/>
                <w:sz w:val="18"/>
                <w:szCs w:val="18"/>
              </w:rPr>
              <w:t>0</w:t>
            </w:r>
          </w:p>
        </w:tc>
      </w:tr>
    </w:tbl>
    <w:p>
      <w:pPr>
        <w:numPr>
          <w:ilvl w:val="0"/>
          <w:numId w:val="0"/>
        </w:numPr>
        <w:ind w:leftChars="0" w:firstLine="640" w:firstLineChars="200"/>
        <w:jc w:val="left"/>
      </w:pPr>
      <w:r>
        <w:rPr>
          <w:rFonts w:hint="eastAsia" w:ascii="黑体" w:hAnsi="宋体" w:eastAsia="黑体" w:cs="黑体"/>
          <w:color w:val="000000"/>
          <w:sz w:val="32"/>
          <w:szCs w:val="32"/>
          <w:shd w:val="clear" w:color="auto" w:fill="FFFFFF"/>
        </w:rPr>
        <w:t>三、收到和处理政府信息公开申请情况</w:t>
      </w:r>
    </w:p>
    <w:tbl>
      <w:tblPr>
        <w:tblStyle w:val="3"/>
        <w:tblW w:w="941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576"/>
        <w:gridCol w:w="1391"/>
        <w:gridCol w:w="2478"/>
        <w:gridCol w:w="803"/>
        <w:gridCol w:w="689"/>
        <w:gridCol w:w="666"/>
        <w:gridCol w:w="695"/>
        <w:gridCol w:w="631"/>
        <w:gridCol w:w="731"/>
        <w:gridCol w:w="75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45" w:hRule="atLeast"/>
          <w:jc w:val="center"/>
        </w:trPr>
        <w:tc>
          <w:tcPr>
            <w:tcW w:w="4328" w:type="dxa"/>
            <w:gridSpan w:val="3"/>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w:t>
            </w:r>
            <w:r>
              <w:rPr>
                <w:rFonts w:ascii="楷体" w:hAnsi="楷体" w:eastAsia="楷体" w:cs="楷体"/>
                <w:sz w:val="21"/>
                <w:szCs w:val="21"/>
              </w:rPr>
              <w:t>本列数据的勾稽关系为：第一项加第二项之和，等于第三项加第四项之和</w:t>
            </w:r>
            <w:r>
              <w:rPr>
                <w:rFonts w:hint="eastAsia" w:ascii="宋体" w:hAnsi="宋体" w:eastAsia="宋体" w:cs="宋体"/>
                <w:sz w:val="18"/>
                <w:szCs w:val="18"/>
              </w:rPr>
              <w:t>）</w:t>
            </w:r>
          </w:p>
        </w:tc>
        <w:tc>
          <w:tcPr>
            <w:tcW w:w="5091"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35" w:hRule="atLeast"/>
          <w:jc w:val="center"/>
        </w:trPr>
        <w:tc>
          <w:tcPr>
            <w:tcW w:w="4328" w:type="dxa"/>
            <w:gridSpan w:val="3"/>
            <w:vMerge w:val="continue"/>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82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自然人</w:t>
            </w:r>
          </w:p>
        </w:tc>
        <w:tc>
          <w:tcPr>
            <w:tcW w:w="3489"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法人或其他组织</w:t>
            </w:r>
          </w:p>
        </w:tc>
        <w:tc>
          <w:tcPr>
            <w:tcW w:w="777"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10" w:hRule="atLeast"/>
          <w:jc w:val="center"/>
        </w:trPr>
        <w:tc>
          <w:tcPr>
            <w:tcW w:w="4328" w:type="dxa"/>
            <w:gridSpan w:val="3"/>
            <w:vMerge w:val="continue"/>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8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商业企业</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科研机构</w:t>
            </w:r>
          </w:p>
        </w:tc>
        <w:tc>
          <w:tcPr>
            <w:tcW w:w="711"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社会公益组织</w:t>
            </w:r>
          </w:p>
        </w:tc>
        <w:tc>
          <w:tcPr>
            <w:tcW w:w="644"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法律服务机构</w:t>
            </w:r>
          </w:p>
        </w:tc>
        <w:tc>
          <w:tcPr>
            <w:tcW w:w="749"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其他</w:t>
            </w:r>
          </w:p>
        </w:tc>
        <w:tc>
          <w:tcPr>
            <w:tcW w:w="777"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50" w:hRule="atLeast"/>
          <w:jc w:val="center"/>
        </w:trPr>
        <w:tc>
          <w:tcPr>
            <w:tcW w:w="4328"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pStyle w:val="2"/>
              <w:keepNext w:val="0"/>
              <w:keepLines w:val="0"/>
              <w:widowControl/>
              <w:suppressLineNumbers w:val="0"/>
              <w:jc w:val="both"/>
            </w:pPr>
            <w:r>
              <w:rPr>
                <w:rFonts w:hint="eastAsia" w:ascii="宋体" w:hAnsi="宋体" w:eastAsia="宋体" w:cs="宋体"/>
                <w:sz w:val="18"/>
                <w:szCs w:val="18"/>
              </w:rPr>
              <w:t>一、本年新收政府信息公开申请数量</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6</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0" w:hRule="atLeast"/>
          <w:jc w:val="center"/>
        </w:trPr>
        <w:tc>
          <w:tcPr>
            <w:tcW w:w="4328"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pStyle w:val="2"/>
              <w:keepNext w:val="0"/>
              <w:keepLines w:val="0"/>
              <w:widowControl/>
              <w:suppressLineNumbers w:val="0"/>
              <w:jc w:val="both"/>
            </w:pPr>
            <w:r>
              <w:rPr>
                <w:rFonts w:hint="eastAsia" w:ascii="宋体" w:hAnsi="宋体" w:eastAsia="宋体" w:cs="宋体"/>
                <w:sz w:val="18"/>
                <w:szCs w:val="18"/>
              </w:rPr>
              <w:t>二、上年结转政府信息公开申请数量</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12" w:hRule="atLeast"/>
          <w:jc w:val="center"/>
        </w:trPr>
        <w:tc>
          <w:tcPr>
            <w:tcW w:w="323"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三、本年度办理结果</w:t>
            </w:r>
          </w:p>
        </w:tc>
        <w:tc>
          <w:tcPr>
            <w:tcW w:w="400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top"/>
          </w:tcPr>
          <w:p>
            <w:pPr>
              <w:pStyle w:val="2"/>
              <w:keepNext w:val="0"/>
              <w:keepLines w:val="0"/>
              <w:widowControl/>
              <w:suppressLineNumbers w:val="0"/>
              <w:jc w:val="both"/>
            </w:pPr>
            <w:r>
              <w:rPr>
                <w:rFonts w:hint="eastAsia" w:ascii="宋体" w:hAnsi="宋体" w:eastAsia="宋体" w:cs="宋体"/>
                <w:sz w:val="18"/>
                <w:szCs w:val="18"/>
              </w:rPr>
              <w:t>（一）予以公开</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4"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400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top"/>
          </w:tcPr>
          <w:p>
            <w:pPr>
              <w:pStyle w:val="2"/>
              <w:keepNext w:val="0"/>
              <w:keepLines w:val="0"/>
              <w:widowControl/>
              <w:suppressLineNumbers w:val="0"/>
              <w:jc w:val="both"/>
            </w:pPr>
            <w:r>
              <w:rPr>
                <w:rFonts w:hint="eastAsia" w:ascii="宋体" w:hAnsi="宋体" w:eastAsia="宋体" w:cs="宋体"/>
                <w:sz w:val="18"/>
                <w:szCs w:val="18"/>
              </w:rPr>
              <w:t>（二）部分公开（</w:t>
            </w:r>
            <w:r>
              <w:rPr>
                <w:rStyle w:val="5"/>
                <w:rFonts w:hint="eastAsia" w:ascii="楷体" w:hAnsi="楷体" w:eastAsia="楷体" w:cs="楷体"/>
                <w:sz w:val="21"/>
                <w:szCs w:val="21"/>
              </w:rPr>
              <w:t>区分处理的，只记这一情形，不计其他情形</w:t>
            </w:r>
            <w:r>
              <w:rPr>
                <w:rFonts w:hint="eastAsia" w:ascii="宋体" w:hAnsi="宋体" w:eastAsia="宋体" w:cs="宋体"/>
                <w:sz w:val="18"/>
                <w:szCs w:val="18"/>
              </w:rPr>
              <w:t>）</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（三）不予公开</w:t>
            </w: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1.属于国家机密</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2.其他法律行政法规禁止公开</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3.危及“三安全一稳定”</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4.保护第三方合法权益</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3</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5.属于三类内部事务信息</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6.属于四类过程性信息</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7.属于行政执法案卷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92"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8.属于行政查询事项</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08"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（四）无法提供</w:t>
            </w: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1.本机关不掌握相关政府信息</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08"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2.没有现成信息需要另行制作</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08"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3.补正后申请内容仍不明确</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5"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（五）不予处理</w:t>
            </w: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1.信访举报投诉类申请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5"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2.重复申请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5"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3.要求提供公开出版物</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5"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4.无正当理由大量反复申请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185"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5.要求行政机关确认或重新出具已获取信息</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08"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（六）其他处理</w:t>
            </w: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1.申请人无正当理由逾期不补正、行政机关不再处理其政府信息公开申请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08"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2.申请人逾期未按收费通知要求缴纳费用、行政机关不再处理其他政府公开申请</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9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1425"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25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3.其他</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17" w:hRule="atLeast"/>
          <w:jc w:val="center"/>
        </w:trPr>
        <w:tc>
          <w:tcPr>
            <w:tcW w:w="323"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4005"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（七）总计</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6</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2" w:hRule="atLeast"/>
          <w:jc w:val="center"/>
        </w:trPr>
        <w:tc>
          <w:tcPr>
            <w:tcW w:w="4328" w:type="dxa"/>
            <w:gridSpan w:val="3"/>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left"/>
            </w:pPr>
            <w:r>
              <w:rPr>
                <w:rFonts w:hint="eastAsia" w:ascii="宋体" w:hAnsi="宋体" w:eastAsia="宋体" w:cs="宋体"/>
                <w:sz w:val="18"/>
                <w:szCs w:val="18"/>
              </w:rPr>
              <w:t>四、结转下年度继续办理</w:t>
            </w:r>
          </w:p>
        </w:tc>
        <w:tc>
          <w:tcPr>
            <w:tcW w:w="8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11"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4"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49"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777"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bl>
    <w:p>
      <w:pPr>
        <w:numPr>
          <w:ilvl w:val="0"/>
          <w:numId w:val="0"/>
        </w:numPr>
        <w:ind w:firstLine="640" w:firstLineChars="200"/>
        <w:jc w:val="left"/>
      </w:pPr>
      <w:r>
        <w:rPr>
          <w:rFonts w:hint="eastAsia" w:ascii="黑体" w:hAnsi="宋体" w:eastAsia="黑体" w:cs="黑体"/>
          <w:color w:val="000000"/>
          <w:sz w:val="32"/>
          <w:szCs w:val="32"/>
          <w:shd w:val="clear" w:color="auto" w:fill="FFFFFF"/>
        </w:rPr>
        <w:t>四、政府信息公开行政复议、行政诉讼情况</w:t>
      </w:r>
    </w:p>
    <w:tbl>
      <w:tblPr>
        <w:tblStyle w:val="3"/>
        <w:tblW w:w="9520"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15" w:type="dxa"/>
          <w:left w:w="15" w:type="dxa"/>
          <w:bottom w:w="15" w:type="dxa"/>
          <w:right w:w="15" w:type="dxa"/>
        </w:tblCellMar>
      </w:tblPr>
      <w:tblGrid>
        <w:gridCol w:w="750"/>
        <w:gridCol w:w="600"/>
        <w:gridCol w:w="645"/>
        <w:gridCol w:w="670"/>
        <w:gridCol w:w="605"/>
        <w:gridCol w:w="610"/>
        <w:gridCol w:w="585"/>
        <w:gridCol w:w="630"/>
        <w:gridCol w:w="645"/>
        <w:gridCol w:w="615"/>
        <w:gridCol w:w="578"/>
        <w:gridCol w:w="633"/>
        <w:gridCol w:w="633"/>
        <w:gridCol w:w="633"/>
        <w:gridCol w:w="688"/>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27" w:hRule="atLeast"/>
          <w:jc w:val="center"/>
        </w:trPr>
        <w:tc>
          <w:tcPr>
            <w:tcW w:w="3270" w:type="dxa"/>
            <w:gridSpan w:val="5"/>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行政复议</w:t>
            </w:r>
          </w:p>
        </w:tc>
        <w:tc>
          <w:tcPr>
            <w:tcW w:w="6250" w:type="dxa"/>
            <w:gridSpan w:val="10"/>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12" w:hRule="atLeast"/>
          <w:jc w:val="center"/>
        </w:trPr>
        <w:tc>
          <w:tcPr>
            <w:tcW w:w="750"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结果维持</w:t>
            </w:r>
          </w:p>
        </w:tc>
        <w:tc>
          <w:tcPr>
            <w:tcW w:w="600" w:type="dxa"/>
            <w:vMerge w:val="restart"/>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结果纠正</w:t>
            </w:r>
          </w:p>
        </w:tc>
        <w:tc>
          <w:tcPr>
            <w:tcW w:w="64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其他结果</w:t>
            </w:r>
          </w:p>
        </w:tc>
        <w:tc>
          <w:tcPr>
            <w:tcW w:w="670"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尚未审结</w:t>
            </w:r>
          </w:p>
        </w:tc>
        <w:tc>
          <w:tcPr>
            <w:tcW w:w="605" w:type="dxa"/>
            <w:vMerge w:val="restart"/>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总计</w:t>
            </w:r>
          </w:p>
        </w:tc>
        <w:tc>
          <w:tcPr>
            <w:tcW w:w="3085"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未经复议直接起诉</w:t>
            </w:r>
          </w:p>
        </w:tc>
        <w:tc>
          <w:tcPr>
            <w:tcW w:w="3165" w:type="dxa"/>
            <w:gridSpan w:val="5"/>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pPr>
            <w:r>
              <w:rPr>
                <w:rFonts w:hint="eastAsia" w:ascii="宋体" w:hAnsi="宋体" w:eastAsia="宋体" w:cs="宋体"/>
                <w:sz w:val="18"/>
                <w:szCs w:val="18"/>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17" w:hRule="atLeast"/>
          <w:jc w:val="center"/>
        </w:trPr>
        <w:tc>
          <w:tcPr>
            <w:tcW w:w="750" w:type="dxa"/>
            <w:vMerge w:val="continue"/>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600" w:type="dxa"/>
            <w:vMerge w:val="continue"/>
            <w:tcBorders>
              <w:top w:val="nil"/>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645"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670"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605" w:type="dxa"/>
            <w:vMerge w:val="continue"/>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宋体"/>
                <w:sz w:val="24"/>
                <w:szCs w:val="24"/>
              </w:rPr>
            </w:pPr>
          </w:p>
        </w:tc>
        <w:tc>
          <w:tcPr>
            <w:tcW w:w="6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结果维持</w:t>
            </w:r>
          </w:p>
        </w:tc>
        <w:tc>
          <w:tcPr>
            <w:tcW w:w="58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结果纠正</w:t>
            </w:r>
          </w:p>
        </w:tc>
        <w:tc>
          <w:tcPr>
            <w:tcW w:w="630"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其他结果</w:t>
            </w:r>
          </w:p>
        </w:tc>
        <w:tc>
          <w:tcPr>
            <w:tcW w:w="6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尚未审结</w:t>
            </w:r>
          </w:p>
        </w:tc>
        <w:tc>
          <w:tcPr>
            <w:tcW w:w="61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总计</w:t>
            </w:r>
          </w:p>
        </w:tc>
        <w:tc>
          <w:tcPr>
            <w:tcW w:w="57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结果维持</w:t>
            </w:r>
          </w:p>
        </w:tc>
        <w:tc>
          <w:tcPr>
            <w:tcW w:w="63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结果纠正</w:t>
            </w:r>
          </w:p>
        </w:tc>
        <w:tc>
          <w:tcPr>
            <w:tcW w:w="63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其他结果</w:t>
            </w:r>
          </w:p>
        </w:tc>
        <w:tc>
          <w:tcPr>
            <w:tcW w:w="633"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尚未审结</w:t>
            </w:r>
          </w:p>
        </w:tc>
        <w:tc>
          <w:tcPr>
            <w:tcW w:w="68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ind w:left="0" w:firstLine="0"/>
              <w:jc w:val="center"/>
            </w:pPr>
            <w:r>
              <w:rPr>
                <w:rFonts w:hint="eastAsia" w:ascii="宋体" w:hAnsi="宋体" w:eastAsia="宋体" w:cs="宋体"/>
                <w:sz w:val="18"/>
                <w:szCs w:val="1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717" w:hRule="atLeast"/>
          <w:jc w:val="center"/>
        </w:trPr>
        <w:tc>
          <w:tcPr>
            <w:tcW w:w="750"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60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6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7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0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2</w:t>
            </w:r>
          </w:p>
        </w:tc>
        <w:tc>
          <w:tcPr>
            <w:tcW w:w="61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58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30"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4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61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1</w:t>
            </w:r>
          </w:p>
        </w:tc>
        <w:tc>
          <w:tcPr>
            <w:tcW w:w="57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3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3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33"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c>
          <w:tcPr>
            <w:tcW w:w="68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pStyle w:val="2"/>
              <w:keepNext w:val="0"/>
              <w:keepLines w:val="0"/>
              <w:widowControl/>
              <w:suppressLineNumbers w:val="0"/>
              <w:jc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rPr>
              <w:t>0</w:t>
            </w:r>
          </w:p>
        </w:tc>
      </w:tr>
    </w:tbl>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ascii="微软雅黑" w:hAnsi="微软雅黑" w:eastAsia="微软雅黑" w:cs="微软雅黑"/>
          <w:i w:val="0"/>
          <w:iCs w:val="0"/>
          <w:caps w:val="0"/>
          <w:color w:val="000000"/>
          <w:spacing w:val="0"/>
          <w:sz w:val="24"/>
          <w:szCs w:val="24"/>
        </w:rPr>
      </w:pPr>
      <w:r>
        <w:rPr>
          <w:rFonts w:ascii="黑体" w:hAnsi="宋体" w:eastAsia="黑体" w:cs="黑体"/>
          <w:i w:val="0"/>
          <w:iCs w:val="0"/>
          <w:caps w:val="0"/>
          <w:color w:val="000000"/>
          <w:spacing w:val="0"/>
          <w:sz w:val="32"/>
          <w:szCs w:val="32"/>
          <w:bdr w:val="none" w:color="auto" w:sz="0" w:space="0"/>
          <w:shd w:val="clear" w:fill="FFFFFF"/>
        </w:rPr>
        <w:t>五、存在的主要问题及改进情况</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微软雅黑" w:hAnsi="微软雅黑" w:eastAsia="微软雅黑" w:cs="微软雅黑"/>
          <w:i w:val="0"/>
          <w:iCs w:val="0"/>
          <w:caps w:val="0"/>
          <w:color w:val="000000"/>
          <w:spacing w:val="0"/>
          <w:sz w:val="24"/>
          <w:szCs w:val="24"/>
        </w:rPr>
      </w:pPr>
      <w:r>
        <w:rPr>
          <w:rFonts w:ascii="楷体_GB2312" w:hAnsi="微软雅黑" w:eastAsia="楷体_GB2312" w:cs="楷体_GB2312"/>
          <w:b/>
          <w:bCs/>
          <w:i w:val="0"/>
          <w:iCs w:val="0"/>
          <w:caps w:val="0"/>
          <w:color w:val="000000"/>
          <w:spacing w:val="0"/>
          <w:sz w:val="32"/>
          <w:szCs w:val="32"/>
          <w:bdr w:val="none" w:color="auto" w:sz="0" w:space="0"/>
          <w:shd w:val="clear" w:fill="FFFFFF"/>
        </w:rPr>
        <w:t>存在的主要问题</w:t>
      </w:r>
      <w:r>
        <w:rPr>
          <w:rFonts w:hint="default" w:ascii="楷体_GB2312" w:hAnsi="微软雅黑" w:eastAsia="楷体_GB2312" w:cs="楷体_GB2312"/>
          <w:i w:val="0"/>
          <w:iCs w:val="0"/>
          <w:caps w:val="0"/>
          <w:color w:val="000000"/>
          <w:spacing w:val="0"/>
          <w:sz w:val="32"/>
          <w:szCs w:val="32"/>
          <w:bdr w:val="none" w:color="auto" w:sz="0" w:space="0"/>
          <w:shd w:val="clear" w:fill="FFFFFF"/>
        </w:rPr>
        <w:t>：</w:t>
      </w:r>
      <w:r>
        <w:rPr>
          <w:rFonts w:ascii="仿宋_GB2312" w:hAnsi="微软雅黑" w:eastAsia="仿宋_GB2312" w:cs="仿宋_GB2312"/>
          <w:i w:val="0"/>
          <w:iCs w:val="0"/>
          <w:caps w:val="0"/>
          <w:color w:val="000000"/>
          <w:spacing w:val="0"/>
          <w:sz w:val="32"/>
          <w:szCs w:val="32"/>
          <w:bdr w:val="none" w:color="auto" w:sz="0" w:space="0"/>
          <w:shd w:val="clear" w:fill="FFFFFF"/>
        </w:rPr>
        <w:t>一是政府信息公开的</w:t>
      </w:r>
      <w:r>
        <w:rPr>
          <w:rFonts w:hint="eastAsia" w:ascii="仿宋_GB2312" w:hAnsi="微软雅黑" w:eastAsia="仿宋_GB2312" w:cs="仿宋_GB2312"/>
          <w:i w:val="0"/>
          <w:iCs w:val="0"/>
          <w:caps w:val="0"/>
          <w:color w:val="000000"/>
          <w:spacing w:val="0"/>
          <w:sz w:val="32"/>
          <w:szCs w:val="32"/>
          <w:bdr w:val="none" w:color="auto" w:sz="0" w:space="0"/>
          <w:shd w:val="clear" w:fill="FFFFFF"/>
        </w:rPr>
        <w:t>普及度不高，部分群众不了解信息获取方式；二是政务公开业务知识缺乏；三是政务公开的及时性还不到位。</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微软雅黑" w:hAnsi="微软雅黑" w:eastAsia="微软雅黑" w:cs="微软雅黑"/>
          <w:i w:val="0"/>
          <w:iCs w:val="0"/>
          <w:caps w:val="0"/>
          <w:color w:val="000000"/>
          <w:spacing w:val="0"/>
          <w:sz w:val="24"/>
          <w:szCs w:val="24"/>
        </w:rPr>
      </w:pPr>
      <w:r>
        <w:rPr>
          <w:rFonts w:hint="default" w:ascii="楷体_GB2312" w:hAnsi="微软雅黑" w:eastAsia="楷体_GB2312" w:cs="楷体_GB2312"/>
          <w:b/>
          <w:bCs/>
          <w:i w:val="0"/>
          <w:iCs w:val="0"/>
          <w:caps w:val="0"/>
          <w:color w:val="000000"/>
          <w:spacing w:val="0"/>
          <w:sz w:val="32"/>
          <w:szCs w:val="32"/>
          <w:bdr w:val="none" w:color="auto" w:sz="0" w:space="0"/>
          <w:shd w:val="clear" w:fill="FFFFFF"/>
        </w:rPr>
        <w:t>改进措施</w:t>
      </w:r>
      <w:r>
        <w:rPr>
          <w:rFonts w:hint="default" w:ascii="楷体_GB2312" w:hAnsi="微软雅黑" w:eastAsia="楷体_GB2312" w:cs="楷体_GB2312"/>
          <w:i w:val="0"/>
          <w:iCs w:val="0"/>
          <w:caps w:val="0"/>
          <w:color w:val="000000"/>
          <w:spacing w:val="0"/>
          <w:sz w:val="32"/>
          <w:szCs w:val="32"/>
          <w:bdr w:val="none" w:color="auto" w:sz="0" w:space="0"/>
          <w:shd w:val="clear" w:fill="FFFFFF"/>
        </w:rPr>
        <w:t>：</w:t>
      </w:r>
      <w:r>
        <w:rPr>
          <w:rFonts w:hint="eastAsia" w:ascii="仿宋_GB2312" w:hAnsi="微软雅黑" w:eastAsia="仿宋_GB2312" w:cs="仿宋_GB2312"/>
          <w:i w:val="0"/>
          <w:iCs w:val="0"/>
          <w:caps w:val="0"/>
          <w:color w:val="000000"/>
          <w:spacing w:val="0"/>
          <w:sz w:val="32"/>
          <w:szCs w:val="32"/>
          <w:bdr w:val="none" w:color="auto" w:sz="0" w:space="0"/>
          <w:shd w:val="clear" w:fill="FFFFFF"/>
        </w:rPr>
        <w:t>一是进一步推广政府信息公开平台的知悉度，提高政府信息公开成效；二是完善信息公开队伍建设，加强对政府信息公开的培训与学习，提升政务信息公开水平；三是进一步提高政府信息公开实效，督促各部门加快工作对接，提高信息传输效率，更好更及时地服务群众。</w:t>
      </w:r>
      <w:bookmarkStart w:id="0" w:name="_GoBack"/>
      <w:bookmarkEnd w:id="0"/>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微软雅黑" w:hAnsi="微软雅黑" w:eastAsia="微软雅黑" w:cs="微软雅黑"/>
          <w:i w:val="0"/>
          <w:iCs w:val="0"/>
          <w:caps w:val="0"/>
          <w:color w:val="000000"/>
          <w:spacing w:val="0"/>
          <w:sz w:val="24"/>
          <w:szCs w:val="24"/>
        </w:rPr>
      </w:pPr>
      <w:r>
        <w:rPr>
          <w:rFonts w:hint="eastAsia" w:ascii="黑体" w:hAnsi="宋体" w:eastAsia="黑体" w:cs="黑体"/>
          <w:i w:val="0"/>
          <w:iCs w:val="0"/>
          <w:caps w:val="0"/>
          <w:color w:val="000000"/>
          <w:spacing w:val="0"/>
          <w:sz w:val="32"/>
          <w:szCs w:val="32"/>
          <w:bdr w:val="none" w:color="auto" w:sz="0" w:space="0"/>
          <w:shd w:val="clear" w:fill="FFFFFF"/>
        </w:rPr>
        <w:t>六、需要报告的其他事项</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微软雅黑" w:hAnsi="微软雅黑" w:eastAsia="仿宋_GB2312" w:cs="微软雅黑"/>
          <w:i w:val="0"/>
          <w:iCs w:val="0"/>
          <w:caps w:val="0"/>
          <w:color w:val="000000"/>
          <w:spacing w:val="0"/>
          <w:sz w:val="24"/>
          <w:szCs w:val="24"/>
          <w:lang w:val="en-US" w:eastAsia="zh-CN"/>
        </w:rPr>
      </w:pPr>
      <w:r>
        <w:rPr>
          <w:rFonts w:hint="eastAsia" w:ascii="仿宋_GB2312" w:hAnsi="微软雅黑" w:eastAsia="仿宋_GB2312" w:cs="仿宋_GB2312"/>
          <w:i w:val="0"/>
          <w:iCs w:val="0"/>
          <w:caps w:val="0"/>
          <w:color w:val="000000"/>
          <w:spacing w:val="0"/>
          <w:sz w:val="32"/>
          <w:szCs w:val="32"/>
          <w:bdr w:val="none" w:color="auto" w:sz="0" w:space="0"/>
          <w:shd w:val="clear" w:fill="FFFFFF"/>
        </w:rPr>
        <w:t>无</w:t>
      </w:r>
      <w:r>
        <w:rPr>
          <w:rFonts w:hint="eastAsia" w:ascii="仿宋_GB2312" w:hAnsi="微软雅黑" w:eastAsia="仿宋_GB2312" w:cs="仿宋_GB2312"/>
          <w:i w:val="0"/>
          <w:iCs w:val="0"/>
          <w:caps w:val="0"/>
          <w:color w:val="000000"/>
          <w:spacing w:val="0"/>
          <w:sz w:val="32"/>
          <w:szCs w:val="32"/>
          <w:bdr w:val="none" w:color="auto" w:sz="0" w:space="0"/>
          <w:shd w:val="clear" w:fill="FFFFFF"/>
          <w:lang w:eastAsia="zh-CN"/>
        </w:rPr>
        <w:t>。</w:t>
      </w:r>
    </w:p>
    <w:p>
      <w:pPr>
        <w:pageBreakBefore w:val="0"/>
        <w:widowControl w:val="0"/>
        <w:kinsoku/>
        <w:wordWrap/>
        <w:overflowPunct/>
        <w:topLinePunct w:val="0"/>
        <w:bidi w:val="0"/>
        <w:snapToGrid/>
        <w:spacing w:line="560" w:lineRule="exact"/>
        <w:jc w:val="center"/>
        <w:textAlignment w:val="auto"/>
        <w:rPr>
          <w:rFonts w:hint="eastAsia" w:ascii="方正小标宋简体" w:hAnsi="方正小标宋简体" w:eastAsia="方正小标宋简体" w:cs="方正小标宋简体"/>
          <w:b w:val="0"/>
          <w:bCs/>
          <w:i w:val="0"/>
          <w:caps w:val="0"/>
          <w:color w:val="333333"/>
          <w:spacing w:val="8"/>
          <w:kern w:val="2"/>
          <w:sz w:val="44"/>
          <w:szCs w:val="44"/>
          <w:shd w:val="clear" w:color="auto" w:fill="FFFFFF"/>
          <w:lang w:val="en-US" w:eastAsia="zh-CN" w:bidi="ar-SA"/>
        </w:rPr>
      </w:pPr>
    </w:p>
    <w:sectPr>
      <w:pgSz w:w="11906" w:h="16838"/>
      <w:pgMar w:top="2098" w:right="1474" w:bottom="1984" w:left="1587"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3F79F4"/>
    <w:rsid w:val="24FC7829"/>
    <w:rsid w:val="7CAE2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22"/>
    <w:rPr>
      <w:b/>
      <w:bCs/>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2022-01-28T05:46:51Z</dcterms:created>
  <dc:creator>Lenovo009</dc:creator>
  <cp:lastModifiedBy>一依</cp:lastModifiedBy>
  <dcterms:modified xsi:type="dcterms:W3CDTF">2022-01-28T06:15:39Z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D3C1C8C052C343EB8142C7D8DC136D73</vt:lpwstr>
  </property>
</Properties>
</file>