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1E7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张店五中2025-2026学年第二学期党建工作</w:t>
      </w:r>
    </w:p>
    <w:p w14:paraId="70285D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计划</w:t>
      </w:r>
    </w:p>
    <w:p w14:paraId="3DF317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淄博市张店区第五中学 王千千</w:t>
      </w:r>
    </w:p>
    <w:p w14:paraId="36750E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2026年2月26日</w:t>
      </w:r>
    </w:p>
    <w:p w14:paraId="5CAEF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二十大及二十届三中、四中全会精神，全面落实新时代党的建设总要求，坚持和加强党对学校工作的全面领导，紧扣立德树人根本任务，依据学校2025-2026学年第二学期工作部署，结合党总支实际，总结经验、补齐短板，特制定本学期党建工作计划</w:t>
      </w:r>
      <w:r>
        <w:rPr>
          <w:rFonts w:hint="eastAsia" w:ascii="仿宋_GB2312" w:hAnsi="仿宋_GB2312" w:eastAsia="仿宋_GB2312" w:cs="仿宋_GB2312"/>
          <w:sz w:val="32"/>
          <w:szCs w:val="32"/>
          <w:lang w:eastAsia="zh-CN"/>
        </w:rPr>
        <w:t>：</w:t>
      </w:r>
    </w:p>
    <w:p w14:paraId="324B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一、指导思想</w:t>
      </w:r>
    </w:p>
    <w:p w14:paraId="55717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二十大及二十届三中、四中全会精神，认真落实“十五五”规划部署与学校三年发展规划要求。深刻领悟“两个确立”的决定性意义，增强“四个意识”、坚定“四个自信”、做到“两个维护”。牢牢把握政治引领、立德树人、融合赋能、提质增效工作主线，持续做强“一校一品”党建品牌与“清廉教育”建设，推动党建与教育教学、德育美育、校园治理深度融合，为学校高质量发展提供坚强政治保证、思想保证和组织保证。</w:t>
      </w:r>
    </w:p>
    <w:p w14:paraId="4766F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二、工作目标</w:t>
      </w:r>
    </w:p>
    <w:p w14:paraId="6BAF2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聚焦上学期理论学习深度不足、党建业务融合载体不多、品牌影响力有待提升等问题，靶向发力、精准施策，确保实现以下目标：</w:t>
      </w:r>
    </w:p>
    <w:p w14:paraId="33115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理论学习全覆盖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党员集中学习参与率保持98%以上，专题研讨不少于4次；“灯塔-党建在线”线上学习人均学时达标率100%。组织生活规范化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“三会一课”、主题党日按期开展率100%；党员积分制管理全员覆盖、月度公示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品牌建设显成效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组织完</w:t>
      </w:r>
      <w:r>
        <w:rPr>
          <w:rFonts w:hint="eastAsia" w:ascii="仿宋_GB2312" w:hAnsi="仿宋_GB2312" w:eastAsia="仿宋_GB2312" w:cs="仿宋_GB2312"/>
          <w:sz w:val="32"/>
          <w:szCs w:val="32"/>
        </w:rPr>
        <w:t>“岗位争先·强国有我”党员示范课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融合育人深推进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“党建+德育”“党建+美育”创作红色与廉洁主题作品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清廉校园常态化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开展廉洁主题活动，警示教育2次，关键岗位廉政谈话覆盖率100%。服务质效再提升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党员服务师生满意度达90%以上，党组织政治功能、组织功能与号召力显著增强。</w:t>
      </w:r>
    </w:p>
    <w:p w14:paraId="396C95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三、工作重点</w:t>
      </w:r>
    </w:p>
    <w:p w14:paraId="21DD4D71">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（一）常规工作优化：落实“常规+”，夯实党建基础</w:t>
      </w:r>
    </w:p>
    <w:p w14:paraId="4946B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针对上学期存在的基础工作细节不够扎实等问题，本学期</w:t>
      </w:r>
      <w:r>
        <w:rPr>
          <w:rFonts w:hint="eastAsia" w:ascii="仿宋_GB2312" w:hAnsi="仿宋_GB2312" w:eastAsia="仿宋_GB2312" w:cs="仿宋_GB2312"/>
          <w:sz w:val="32"/>
          <w:szCs w:val="32"/>
        </w:rPr>
        <w:t>以规范、精细、高效为标准，抓实基础、补齐短板，推动党建工作提质增效。</w:t>
      </w:r>
    </w:p>
    <w:p w14:paraId="15FB7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严格组织生活制度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规范落实“三会一课”、组织生活会、民主评议党员，主题党日每月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前后</w:t>
      </w:r>
      <w:r>
        <w:rPr>
          <w:rFonts w:hint="eastAsia" w:ascii="仿宋_GB2312" w:hAnsi="仿宋_GB2312" w:eastAsia="仿宋_GB2312" w:cs="仿宋_GB2312"/>
          <w:sz w:val="32"/>
          <w:szCs w:val="32"/>
        </w:rPr>
        <w:t>完成，做到有计划、有签到、有记录、有宣传。</w:t>
      </w:r>
    </w:p>
    <w:p w14:paraId="3192D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精准维护党建系统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“灯塔-党建在线”维护，确保信息更新及时、数据准确无误。</w:t>
      </w:r>
    </w:p>
    <w:p w14:paraId="54D81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规范党费收缴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季度10</w:t>
      </w:r>
      <w:r>
        <w:rPr>
          <w:rFonts w:hint="eastAsia" w:ascii="仿宋_GB2312" w:hAnsi="仿宋_GB2312" w:eastAsia="仿宋_GB2312" w:cs="仿宋_GB2312"/>
          <w:sz w:val="32"/>
          <w:szCs w:val="32"/>
        </w:rPr>
        <w:t>日前完成核算收缴，建立电子台账、定期公示，账实相符。</w:t>
      </w:r>
    </w:p>
    <w:p w14:paraId="5F8A3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强化积分管理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将学习、履职、服务纳入积分，每月通报</w:t>
      </w:r>
      <w:r>
        <w:rPr>
          <w:rFonts w:hint="eastAsia" w:ascii="仿宋_GB2312" w:hAnsi="仿宋_GB2312" w:eastAsia="仿宋_GB2312" w:cs="仿宋_GB2312"/>
          <w:sz w:val="32"/>
          <w:szCs w:val="32"/>
          <w:lang w:eastAsia="zh-CN"/>
        </w:rPr>
        <w:t>。</w:t>
      </w:r>
    </w:p>
    <w:p w14:paraId="258F5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（二）核心工作推进：聚焦主责主业，提升党建质量</w:t>
      </w:r>
    </w:p>
    <w:p w14:paraId="58C14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 深化理论武装，筑牢思想根基</w:t>
      </w:r>
    </w:p>
    <w:p w14:paraId="69DE4784">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严格落实“第一议题”制度，将习近平新时代中国特色社会主义思想、党的二十大及二十届四中全会精神、习近平总书记关于教育的重要论述，与“十五五”规划战略部署、2026年全国教育大会要求紧密结合，列为理论学习核心内容。重点围绕教育强国建设、发展新质生产力、中国式现代化等重大主题，组织专题学习和深入研讨。</w:t>
      </w:r>
    </w:p>
    <w:p w14:paraId="0ADB70EE">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丰富创新学习形式载体。用好“灯塔-党建在线”</w:t>
      </w:r>
      <w:r>
        <w:rPr>
          <w:rFonts w:hint="eastAsia" w:ascii="仿宋_GB2312" w:hAnsi="仿宋_GB2312" w:eastAsia="仿宋_GB2312" w:cs="仿宋_GB2312"/>
          <w:color w:val="000000"/>
          <w:kern w:val="0"/>
          <w:sz w:val="32"/>
          <w:szCs w:val="32"/>
          <w:lang w:val="en-US" w:eastAsia="zh-CN" w:bidi="ar"/>
        </w:rPr>
        <w:t>“共产党员网”</w:t>
      </w:r>
      <w:r>
        <w:rPr>
          <w:rFonts w:hint="eastAsia" w:ascii="仿宋_GB2312" w:hAnsi="仿宋_GB2312" w:eastAsia="仿宋_GB2312" w:cs="仿宋_GB2312"/>
          <w:color w:val="000000"/>
          <w:sz w:val="32"/>
          <w:szCs w:val="32"/>
          <w:lang w:val="en-US" w:eastAsia="zh-CN"/>
        </w:rPr>
        <w:t>等平台，综合运用专题党课、在线学习、实践研学等多种形式，增强学习吸引力与实效性。定期通报学习情况，并确保每年至少组织1次赴红色教育基地的沉浸式学习，持续强化党员理想信念教育。</w:t>
      </w:r>
    </w:p>
    <w:p w14:paraId="39261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 建强党员队伍，提升能力素质</w:t>
      </w:r>
    </w:p>
    <w:p w14:paraId="3A79F345">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扎实推进“双培养”计划，制定年度发展党员与骨干培养计划。组织党员教学技能专项培训、党务工作实务培训等。搭建党员作用发挥平台，鼓励党员在跨部门项目、重大活动、志愿服务中挑重担、当先锋，促进政治能力与专业能力双提升。</w:t>
      </w:r>
    </w:p>
    <w:p w14:paraId="6D007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 建设清廉校园，涵养优良生态</w:t>
      </w:r>
    </w:p>
    <w:p w14:paraId="1225C2B3">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强化文化浸润与教育。充分利用已建成的“清廉文化长廊”“宣传栏”等阵地，开展常态化宣传教育。组织开展“清廉家风”故事征集、廉洁书画作品展、廉洁主题辩论赛等活动。党总支书记主讲廉洁专题党课，分层组织教职工观看警示教育片，针对关键岗位人员开展廉政谈话。</w:t>
      </w:r>
    </w:p>
    <w:p w14:paraId="30FE7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（三）重点突破任务：打造亮点特色，提升党建影响力</w:t>
      </w:r>
    </w:p>
    <w:p w14:paraId="1C97D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突破任务一：党建品牌“微光行”项目化升级</w:t>
      </w:r>
    </w:p>
    <w:p w14:paraId="4C0050D0">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完成“微光赞”主题阵地建设，联合工会、团队持续组建并培训学生进行“微光故事”分享会，系统梳理师德先进事迹，推动其深度融入思政课程、主题班会及教研活动，初步形成具有校本特色的师德建设模式。</w:t>
      </w:r>
    </w:p>
    <w:p w14:paraId="74A6E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突破任务二：“党建+美育”融合育人实践</w:t>
      </w:r>
    </w:p>
    <w:p w14:paraId="11C9741B">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做实“党建+德育美育”。系统实施“三维思政体系”，由党员骨干牵头，完善红色研学、主题班会、家校共育课程资源包。组织开展“党支部书记讲党史、党员教师讲思政、少先队员讲故事”系列主题活动。发挥“党员美育先锋队”作用，结合重要节庆日，创作一批红色主题或传统文化艺术作品，举办年度“美育成果展”，优化“美育长廊”展示内容。</w:t>
      </w:r>
    </w:p>
    <w:p w14:paraId="0DEFF90C">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健全“党建+党团队建”链条。全面实施“红色基因传承”计划。检查党员教师担任团队指导员覆盖率，指导共青团、少先队开展“红领巾讲解员”实践、团员志愿服务等项目。支持培育有影响力的红色学生社团，开展红色文化传播活动，形成党团队衔接紧密、协同发力的育人实践记录。</w:t>
      </w:r>
    </w:p>
    <w:p w14:paraId="59AC620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实施步骤（月度工作配档）</w:t>
      </w:r>
    </w:p>
    <w:p w14:paraId="4B91C8A0">
      <w:pPr>
        <w:keepNext w:val="0"/>
        <w:keepLines w:val="0"/>
        <w:pageBreakBefore w:val="0"/>
        <w:widowControl w:val="0"/>
        <w:numPr>
          <w:numId w:val="0"/>
        </w:numPr>
        <w:kinsoku/>
        <w:wordWrap/>
        <w:overflowPunct/>
        <w:topLinePunct w:val="0"/>
        <w:autoSpaceDE/>
        <w:autoSpaceDN/>
        <w:bidi w:val="0"/>
        <w:adjustRightInd/>
        <w:snapToGrid/>
        <w:spacing w:line="2880" w:lineRule="auto"/>
        <w:textAlignment w:val="auto"/>
      </w:pPr>
      <w:bookmarkStart w:id="0" w:name="_GoBack"/>
      <w:bookmarkEnd w:id="0"/>
      <w:r>
        <w:drawing>
          <wp:inline distT="0" distB="0" distL="114300" distR="114300">
            <wp:extent cx="3813175" cy="1360170"/>
            <wp:effectExtent l="0" t="0" r="9525"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3813175" cy="1360170"/>
                    </a:xfrm>
                    <a:prstGeom prst="rect">
                      <a:avLst/>
                    </a:prstGeom>
                    <a:noFill/>
                    <a:ln>
                      <a:noFill/>
                    </a:ln>
                  </pic:spPr>
                </pic:pic>
              </a:graphicData>
            </a:graphic>
          </wp:inline>
        </w:drawing>
      </w:r>
      <w:r>
        <w:drawing>
          <wp:inline distT="0" distB="0" distL="114300" distR="114300">
            <wp:extent cx="3742690" cy="3959225"/>
            <wp:effectExtent l="0" t="0" r="381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3742690" cy="3959225"/>
                    </a:xfrm>
                    <a:prstGeom prst="rect">
                      <a:avLst/>
                    </a:prstGeom>
                    <a:noFill/>
                    <a:ln>
                      <a:noFill/>
                    </a:ln>
                  </pic:spPr>
                </pic:pic>
              </a:graphicData>
            </a:graphic>
          </wp:inline>
        </w:drawing>
      </w:r>
      <w:r>
        <w:drawing>
          <wp:inline distT="0" distB="0" distL="114300" distR="114300">
            <wp:extent cx="3552190" cy="4029075"/>
            <wp:effectExtent l="0" t="0" r="381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3552190" cy="4029075"/>
                    </a:xfrm>
                    <a:prstGeom prst="rect">
                      <a:avLst/>
                    </a:prstGeom>
                    <a:noFill/>
                    <a:ln>
                      <a:noFill/>
                    </a:ln>
                  </pic:spPr>
                </pic:pic>
              </a:graphicData>
            </a:graphic>
          </wp:inline>
        </w:drawing>
      </w:r>
    </w:p>
    <w:p w14:paraId="553AFE63">
      <w:pPr>
        <w:keepNext w:val="0"/>
        <w:keepLines w:val="0"/>
        <w:pageBreakBefore w:val="0"/>
        <w:widowControl w:val="0"/>
        <w:numPr>
          <w:numId w:val="0"/>
        </w:numPr>
        <w:kinsoku/>
        <w:wordWrap/>
        <w:overflowPunct/>
        <w:topLinePunct w:val="0"/>
        <w:autoSpaceDE/>
        <w:autoSpaceDN/>
        <w:bidi w:val="0"/>
        <w:adjustRightInd/>
        <w:snapToGrid/>
        <w:spacing w:line="2880" w:lineRule="auto"/>
        <w:textAlignment w:val="auto"/>
      </w:pPr>
      <w:r>
        <w:drawing>
          <wp:inline distT="0" distB="0" distL="114300" distR="114300">
            <wp:extent cx="3576955" cy="4452620"/>
            <wp:effectExtent l="0" t="0" r="444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3576955" cy="4452620"/>
                    </a:xfrm>
                    <a:prstGeom prst="rect">
                      <a:avLst/>
                    </a:prstGeom>
                    <a:noFill/>
                    <a:ln>
                      <a:noFill/>
                    </a:ln>
                  </pic:spPr>
                </pic:pic>
              </a:graphicData>
            </a:graphic>
          </wp:inline>
        </w:drawing>
      </w:r>
    </w:p>
    <w:p w14:paraId="78D08463">
      <w:pPr>
        <w:keepNext w:val="0"/>
        <w:keepLines w:val="0"/>
        <w:pageBreakBefore w:val="0"/>
        <w:widowControl w:val="0"/>
        <w:numPr>
          <w:numId w:val="0"/>
        </w:numPr>
        <w:kinsoku/>
        <w:wordWrap/>
        <w:overflowPunct/>
        <w:topLinePunct w:val="0"/>
        <w:autoSpaceDE/>
        <w:autoSpaceDN/>
        <w:bidi w:val="0"/>
        <w:adjustRightInd/>
        <w:snapToGrid/>
        <w:spacing w:line="2880" w:lineRule="auto"/>
        <w:textAlignment w:val="auto"/>
        <w:rPr>
          <w:rFonts w:hint="eastAsia" w:ascii="仿宋_GB2312" w:hAnsi="仿宋_GB2312" w:eastAsia="仿宋_GB2312" w:cs="仿宋_GB2312"/>
          <w:sz w:val="32"/>
          <w:szCs w:val="32"/>
        </w:rPr>
      </w:pPr>
      <w:r>
        <w:drawing>
          <wp:inline distT="0" distB="0" distL="114300" distR="114300">
            <wp:extent cx="3471545" cy="2426970"/>
            <wp:effectExtent l="0" t="0" r="8255" b="114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stretch>
                      <a:fillRect/>
                    </a:stretch>
                  </pic:blipFill>
                  <pic:spPr>
                    <a:xfrm>
                      <a:off x="0" y="0"/>
                      <a:ext cx="3471545" cy="2426970"/>
                    </a:xfrm>
                    <a:prstGeom prst="rect">
                      <a:avLst/>
                    </a:prstGeom>
                    <a:noFill/>
                    <a:ln>
                      <a:noFill/>
                    </a:ln>
                  </pic:spPr>
                </pic:pic>
              </a:graphicData>
            </a:graphic>
          </wp:inline>
        </w:drawing>
      </w:r>
    </w:p>
    <w:p w14:paraId="603BC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五、保障机制</w:t>
      </w:r>
    </w:p>
    <w:p w14:paraId="3F6C3CDD">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强化组织领导。党总支切实履行主体责任，定期研究部署党建工作。党总支书记履行第一责任人职责，班子成员落实“一岗双责”，各党支部具体落实，形成齐抓共管合力。</w:t>
      </w:r>
    </w:p>
    <w:p w14:paraId="332C8BF0">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加强条件保障。保障党建工作必要经费和活动场地，优化党建信息化平台功能，为各项工作开展提供支持。</w:t>
      </w:r>
    </w:p>
    <w:p w14:paraId="427F1DED">
      <w:pPr>
        <w:spacing w:line="560" w:lineRule="exact"/>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注重督导考评。党总支定期对支部工作进行检查指导，及时发现和解决问题，推动计划落地见效。利用党员量化积分</w:t>
      </w:r>
    </w:p>
    <w:p w14:paraId="3A6371BF">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营造良好氛围。充分利用校园公众号、宣传栏等媒介，宣传党建工作动态、品牌成效和先进典型，讲好五中党建故事，凝聚发展正能量。</w:t>
      </w:r>
    </w:p>
    <w:p w14:paraId="415AF71D">
      <w:pPr>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2026年，张店五中党总支将以更加坚定的决心、更加务实的作风，推动各项党建工作任务落实落细，以高质量党建引领保障学校事业发展再上新台阶，以优异成绩迎接新的征程。</w:t>
      </w:r>
    </w:p>
    <w:p w14:paraId="56E9F9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871" w:right="141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1EE26"/>
    <w:multiLevelType w:val="singleLevel"/>
    <w:tmpl w:val="4361EE2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D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2026-02-25T15:07:15Z</dcterms:created>
  <dc:creator>Administrator</dc:creator>
  <cp:lastModifiedBy>有一个姑娘  </cp:lastModifiedBy>
  <dcterms:modified xsi:type="dcterms:W3CDTF">2026-02-25T15:51:57Z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eyJoZGlkIjoiZDY3ZWNmNjlkYWUzODc0MDJjYzYyMmRjOWZiMWJlMGMiLCJ1c2VySWQiOiIzNTY4MDE4MzgifQ==</vt:lpwstr>
  </property>
  <property fmtid="{D5CDD505-2E9C-101B-9397-08002B2CF9AE}" pid="4" name="ICV">
    <vt:lpwstr>93F2029FB1F0483F9CC5E955BC08B7EA_12</vt:lpwstr>
  </property>
</Properties>
</file>