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A868B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b w:val="0"/>
          <w:bCs/>
          <w:i w:val="0"/>
          <w:iCs w:val="0"/>
          <w:caps w:val="0"/>
          <w:color w:val="000000"/>
          <w:spacing w:val="0"/>
          <w:sz w:val="44"/>
          <w:szCs w:val="44"/>
        </w:rPr>
      </w:pPr>
      <w:r>
        <w:rPr>
          <w:rStyle w:val="7"/>
          <w:rFonts w:hint="eastAsia" w:ascii="方正小标宋简体" w:hAnsi="方正小标宋简体" w:eastAsia="方正小标宋简体" w:cs="方正小标宋简体"/>
          <w:b w:val="0"/>
          <w:bCs/>
          <w:i w:val="0"/>
          <w:iCs w:val="0"/>
          <w:caps w:val="0"/>
          <w:color w:val="000000"/>
          <w:spacing w:val="0"/>
          <w:sz w:val="44"/>
          <w:szCs w:val="44"/>
          <w:lang w:val="en-US" w:eastAsia="zh-CN"/>
        </w:rPr>
        <w:t>淄博经开区耿家小学</w:t>
      </w:r>
      <w:r>
        <w:rPr>
          <w:rStyle w:val="7"/>
          <w:rFonts w:hint="eastAsia" w:ascii="方正小标宋简体" w:hAnsi="方正小标宋简体" w:eastAsia="方正小标宋简体" w:cs="方正小标宋简体"/>
          <w:b w:val="0"/>
          <w:bCs/>
          <w:i w:val="0"/>
          <w:iCs w:val="0"/>
          <w:caps w:val="0"/>
          <w:color w:val="000000"/>
          <w:spacing w:val="0"/>
          <w:sz w:val="44"/>
          <w:szCs w:val="44"/>
        </w:rPr>
        <w:t>三年发展规划</w:t>
      </w:r>
    </w:p>
    <w:p w14:paraId="00A4703E">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楷体_GB2312" w:hAnsi="楷体_GB2312" w:eastAsia="楷体_GB2312" w:cs="楷体_GB2312"/>
          <w:i w:val="0"/>
          <w:iCs w:val="0"/>
          <w:caps w:val="0"/>
          <w:color w:val="auto"/>
          <w:spacing w:val="0"/>
          <w:sz w:val="32"/>
          <w:szCs w:val="32"/>
          <w:lang w:eastAsia="zh-CN"/>
        </w:rPr>
      </w:pPr>
      <w:r>
        <w:rPr>
          <w:rFonts w:hint="eastAsia" w:ascii="楷体_GB2312" w:hAnsi="楷体_GB2312" w:eastAsia="楷体_GB2312" w:cs="楷体_GB2312"/>
          <w:i w:val="0"/>
          <w:iCs w:val="0"/>
          <w:caps w:val="0"/>
          <w:color w:val="auto"/>
          <w:spacing w:val="0"/>
          <w:sz w:val="32"/>
          <w:szCs w:val="32"/>
          <w:lang w:eastAsia="zh-CN"/>
        </w:rPr>
        <w:t>（202</w:t>
      </w:r>
      <w:r>
        <w:rPr>
          <w:rFonts w:hint="eastAsia" w:ascii="楷体_GB2312" w:hAnsi="楷体_GB2312" w:eastAsia="楷体_GB2312" w:cs="楷体_GB2312"/>
          <w:i w:val="0"/>
          <w:iCs w:val="0"/>
          <w:caps w:val="0"/>
          <w:color w:val="auto"/>
          <w:spacing w:val="0"/>
          <w:sz w:val="32"/>
          <w:szCs w:val="32"/>
          <w:lang w:val="en-US" w:eastAsia="zh-CN"/>
        </w:rPr>
        <w:t>5</w:t>
      </w:r>
      <w:r>
        <w:rPr>
          <w:rFonts w:hint="eastAsia" w:ascii="楷体_GB2312" w:hAnsi="楷体_GB2312" w:eastAsia="楷体_GB2312" w:cs="楷体_GB2312"/>
          <w:i w:val="0"/>
          <w:iCs w:val="0"/>
          <w:caps w:val="0"/>
          <w:color w:val="auto"/>
          <w:spacing w:val="0"/>
          <w:sz w:val="32"/>
          <w:szCs w:val="32"/>
          <w:lang w:eastAsia="zh-CN"/>
        </w:rPr>
        <w:t>.9-202</w:t>
      </w:r>
      <w:r>
        <w:rPr>
          <w:rFonts w:hint="eastAsia" w:ascii="楷体_GB2312" w:hAnsi="楷体_GB2312" w:eastAsia="楷体_GB2312" w:cs="楷体_GB2312"/>
          <w:i w:val="0"/>
          <w:iCs w:val="0"/>
          <w:caps w:val="0"/>
          <w:color w:val="auto"/>
          <w:spacing w:val="0"/>
          <w:sz w:val="32"/>
          <w:szCs w:val="32"/>
          <w:lang w:val="en-US" w:eastAsia="zh-CN"/>
        </w:rPr>
        <w:t>8</w:t>
      </w:r>
      <w:r>
        <w:rPr>
          <w:rFonts w:hint="eastAsia" w:ascii="楷体_GB2312" w:hAnsi="楷体_GB2312" w:eastAsia="楷体_GB2312" w:cs="楷体_GB2312"/>
          <w:i w:val="0"/>
          <w:iCs w:val="0"/>
          <w:caps w:val="0"/>
          <w:color w:val="auto"/>
          <w:spacing w:val="0"/>
          <w:sz w:val="32"/>
          <w:szCs w:val="32"/>
          <w:lang w:eastAsia="zh-CN"/>
        </w:rPr>
        <w:t>.8）</w:t>
      </w:r>
    </w:p>
    <w:p w14:paraId="67B201D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Style w:val="7"/>
          <w:rFonts w:hint="default" w:ascii="华文中宋" w:hAnsi="华文中宋" w:eastAsia="华文中宋" w:cs="华文中宋"/>
          <w:i w:val="0"/>
          <w:iCs w:val="0"/>
          <w:caps w:val="0"/>
          <w:color w:val="000000"/>
          <w:spacing w:val="0"/>
          <w:sz w:val="31"/>
          <w:szCs w:val="31"/>
        </w:rPr>
      </w:pPr>
    </w:p>
    <w:p w14:paraId="5F04D9DB">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705"/>
        <w:textAlignment w:val="auto"/>
        <w:rPr>
          <w:rFonts w:hint="eastAsia" w:ascii="黑体" w:hAnsi="宋体" w:eastAsia="黑体" w:cs="黑体"/>
          <w:i w:val="0"/>
          <w:iCs w:val="0"/>
          <w:caps w:val="0"/>
          <w:color w:val="000000"/>
          <w:spacing w:val="0"/>
          <w:sz w:val="32"/>
          <w:szCs w:val="32"/>
        </w:rPr>
      </w:pPr>
      <w:r>
        <w:rPr>
          <w:rFonts w:hint="eastAsia" w:ascii="黑体" w:hAnsi="宋体" w:eastAsia="黑体" w:cs="黑体"/>
          <w:i w:val="0"/>
          <w:iCs w:val="0"/>
          <w:caps w:val="0"/>
          <w:color w:val="000000"/>
          <w:spacing w:val="0"/>
          <w:sz w:val="32"/>
          <w:szCs w:val="32"/>
        </w:rPr>
        <w:t>现状分析</w:t>
      </w:r>
    </w:p>
    <w:p w14:paraId="4389C464">
      <w:pPr>
        <w:keepNext w:val="0"/>
        <w:keepLines w:val="0"/>
        <w:pageBreakBefore w:val="0"/>
        <w:numPr>
          <w:ilvl w:val="0"/>
          <w:numId w:val="2"/>
        </w:numPr>
        <w:kinsoku/>
        <w:wordWrap/>
        <w:overflowPunct/>
        <w:topLinePunct w:val="0"/>
        <w:bidi w:val="0"/>
        <w:spacing w:line="560" w:lineRule="exact"/>
        <w:ind w:firstLine="640" w:firstLineChars="200"/>
        <w:rPr>
          <w:rFonts w:hint="eastAsia" w:ascii="楷体" w:hAnsi="楷体" w:eastAsia="楷体" w:cs="楷体"/>
          <w:i w:val="0"/>
          <w:iCs w:val="0"/>
          <w:caps w:val="0"/>
          <w:color w:val="000000"/>
          <w:spacing w:val="0"/>
          <w:sz w:val="32"/>
          <w:szCs w:val="32"/>
          <w:lang w:eastAsia="zh-CN"/>
        </w:rPr>
      </w:pPr>
      <w:r>
        <w:rPr>
          <w:rFonts w:hint="eastAsia" w:ascii="楷体" w:hAnsi="楷体" w:eastAsia="楷体" w:cs="楷体"/>
          <w:i w:val="0"/>
          <w:iCs w:val="0"/>
          <w:caps w:val="0"/>
          <w:color w:val="000000"/>
          <w:spacing w:val="0"/>
          <w:sz w:val="32"/>
          <w:szCs w:val="32"/>
          <w:lang w:eastAsia="zh-CN"/>
        </w:rPr>
        <w:t>基本情况</w:t>
      </w:r>
    </w:p>
    <w:p w14:paraId="05F8E6C4">
      <w:pPr>
        <w:keepNext w:val="0"/>
        <w:keepLines w:val="0"/>
        <w:pageBreakBefore w:val="0"/>
        <w:numPr>
          <w:ilvl w:val="0"/>
          <w:numId w:val="0"/>
        </w:numPr>
        <w:kinsoku/>
        <w:wordWrap/>
        <w:overflowPunct/>
        <w:topLinePunct w:val="0"/>
        <w:bidi w:val="0"/>
        <w:spacing w:line="56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eastAsia="zh-CN"/>
        </w:rPr>
        <w:t>淄川区双杨镇耿家小学，原名淄川区杨寨镇袁家小学。2005年8月，学校从双杨镇袁家村整体搬迁至双杨镇耿家村，并更名为淄川区双杨镇耿家小学。2021年1月，学校由淄川区教育和体育局划归至南部生态产业新城发展中心教育文化事业部管理。学校现占地面积18250平方米，建筑面积2710平方米，</w:t>
      </w:r>
      <w:r>
        <w:rPr>
          <w:rFonts w:hint="eastAsia" w:ascii="仿宋_GB2312" w:hAnsi="仿宋" w:eastAsia="仿宋_GB2312"/>
          <w:sz w:val="32"/>
          <w:szCs w:val="32"/>
          <w:lang w:val="en-US" w:eastAsia="zh-CN"/>
        </w:rPr>
        <w:t>运动场面积4000平方米，绿化面积3800平方米。其服务学区涵盖袁家村、梁家村、郭家村和耿家村四个村居。截至2025年9月，学校设有6个教学班，共有在校生143人，在岗教师23人，其中高级教师10人。</w:t>
      </w:r>
    </w:p>
    <w:p w14:paraId="1C2FD03D">
      <w:pPr>
        <w:keepNext w:val="0"/>
        <w:keepLines w:val="0"/>
        <w:pageBreakBefore w:val="0"/>
        <w:kinsoku/>
        <w:wordWrap/>
        <w:overflowPunct/>
        <w:topLinePunct w:val="0"/>
        <w:bidi w:val="0"/>
        <w:spacing w:line="56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学校是一所典型的“小而美、小而暖、小而活”的农村小规模学校，校园绿化面积广阔，环境温馨淳朴。近年来，学校持续改善办学条件：2020年5月，投资20余万元为每个班级配备了触控一体机；2021年7月，新建了一间高标准信息化教室；2022年7月，投资80余万元改建学校围墙，改造电线路，并将教室及功能室全部更换为LED护眼灯。2024年暑期，学校运动场进行了全面改造。学校功能教室齐全，包括音乐教室、科学实验室、图书室（阅览室）、综合实践活动室、微机室、心理咨询室、德育活动室等，均按相关标准配备了网络终端和多媒体设施。2024年，学校重点对校园文化和非遗纸浆画美术教室进行了美化提升。同时，学校严格完善各类制度，管理到位，专设图书阅览室，生均藏书40余册，基本满足教育教学需求。近五年来，学校先后荣获山东省绿色校园、淄博市智慧校园、淄博市数字化校园、淄博市书香校园、经开区温馨校园、经开区德育工作先进单位、党建工作先进单位、区级文明校园等多项荣誉称号。</w:t>
      </w:r>
    </w:p>
    <w:p w14:paraId="76962F02">
      <w:pPr>
        <w:pStyle w:val="4"/>
        <w:keepNext w:val="0"/>
        <w:keepLines w:val="0"/>
        <w:pageBreakBefore w:val="0"/>
        <w:widowControl/>
        <w:numPr>
          <w:ilvl w:val="0"/>
          <w:numId w:val="2"/>
        </w:numPr>
        <w:kinsoku/>
        <w:wordWrap/>
        <w:overflowPunct/>
        <w:topLinePunct w:val="0"/>
        <w:bidi w:val="0"/>
        <w:spacing w:line="560" w:lineRule="exact"/>
        <w:ind w:left="0" w:leftChars="0" w:firstLine="640" w:firstLineChars="200"/>
        <w:rPr>
          <w:rFonts w:hint="eastAsia" w:ascii="仿宋_GB2312" w:hAnsi="Arial" w:eastAsia="仿宋_GB2312" w:cs="仿宋_GB2312"/>
          <w:i w:val="0"/>
          <w:iCs w:val="0"/>
          <w:caps w:val="0"/>
          <w:color w:val="auto"/>
          <w:spacing w:val="0"/>
          <w:sz w:val="32"/>
          <w:szCs w:val="32"/>
          <w:lang w:eastAsia="zh-CN"/>
        </w:rPr>
      </w:pPr>
      <w:r>
        <w:rPr>
          <w:rFonts w:hint="eastAsia" w:ascii="楷体" w:hAnsi="楷体" w:eastAsia="楷体" w:cs="楷体"/>
          <w:i w:val="0"/>
          <w:iCs w:val="0"/>
          <w:caps w:val="0"/>
          <w:color w:val="000000"/>
          <w:spacing w:val="0"/>
          <w:sz w:val="32"/>
          <w:szCs w:val="32"/>
          <w:lang w:eastAsia="zh-CN"/>
        </w:rPr>
        <w:t>办学现状分析</w:t>
      </w:r>
    </w:p>
    <w:p w14:paraId="60193544">
      <w:pPr>
        <w:pStyle w:val="4"/>
        <w:keepNext w:val="0"/>
        <w:keepLines w:val="0"/>
        <w:pageBreakBefore w:val="0"/>
        <w:widowControl/>
        <w:numPr>
          <w:ilvl w:val="0"/>
          <w:numId w:val="0"/>
        </w:numPr>
        <w:kinsoku/>
        <w:wordWrap/>
        <w:overflowPunct/>
        <w:topLinePunct w:val="0"/>
        <w:bidi w:val="0"/>
        <w:spacing w:line="560" w:lineRule="exact"/>
        <w:ind w:right="0" w:rightChars="0"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管理保障促稳定。以制度建设为核心，通过健全学校管理机制来夯实办学基础。党支部和工会组织健全，学校落实中层管理人员竞争上岗制度，并下设党政办、办公室、教导处、德育处、总务处和安全办公室等科室，确保学校健康运转。各职能部门职责明确，权责清晰，一岗双责，互相配合，很好地发挥了班子的整体功能。</w:t>
      </w:r>
    </w:p>
    <w:p w14:paraId="21202025">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优化师资促提升。学校着力提高教师的职业道德和专业能力来推动教育教学质量和综合素养。教师先后有14人次获得市区级各类荣誉称号；8人次在区域内进行公开课、展示课和业务发言；4篇论文在省级刊物发表，3个课题结题，15人次在市区师德征文、作业设计等项目中获奖；3人入选区科研专家人才库、2人入选区名校长名班主任、1人次获淄博市基础教育精品课。</w:t>
      </w:r>
    </w:p>
    <w:p w14:paraId="170CE66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3.以德育人促发展。学校立足学生成长视角出发，与老师们一同为农村孩子们搭建成长舞台，先后开展“美好“拾”光十岁成长礼感恩实践活动、赓续雷锋精神 争做新时代好队员、“悦”读经典、会“生长”的劳动教育、爆棚的六一儿童节、“我们的节日—端午节”等39项赋能主题成长活动，让“走心”的德育教育活动在耿小扎根。先后9项师生活动信息被今日头条、山东少先队、齐鲁少年报、淄博科技频道等刊登报道。</w:t>
      </w:r>
    </w:p>
    <w:p w14:paraId="5F470BE6">
      <w:pPr>
        <w:keepNext w:val="0"/>
        <w:keepLines w:val="0"/>
        <w:pageBreakBefore w:val="0"/>
        <w:kinsoku/>
        <w:wordWrap/>
        <w:overflowPunct/>
        <w:topLinePunct w:val="0"/>
        <w:autoSpaceDE w:val="0"/>
        <w:autoSpaceDN/>
        <w:bidi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4.</w:t>
      </w:r>
      <w:r>
        <w:rPr>
          <w:rFonts w:hint="eastAsia" w:ascii="仿宋_GB2312" w:hAnsi="仿宋_GB2312" w:eastAsia="仿宋_GB2312" w:cs="仿宋_GB2312"/>
          <w:kern w:val="2"/>
          <w:sz w:val="32"/>
          <w:szCs w:val="32"/>
          <w:lang w:val="en-US" w:eastAsia="zh-CN" w:bidi="ar-SA"/>
        </w:rPr>
        <w:t>学为中心促养成。学校</w:t>
      </w:r>
      <w:r>
        <w:rPr>
          <w:rFonts w:hint="eastAsia" w:ascii="仿宋_GB2312" w:hAnsi="仿宋_GB2312" w:eastAsia="仿宋_GB2312" w:cs="仿宋_GB2312"/>
          <w:sz w:val="32"/>
          <w:szCs w:val="32"/>
        </w:rPr>
        <w:t>紧跟经开区教研步伐，</w:t>
      </w:r>
      <w:r>
        <w:rPr>
          <w:rFonts w:hint="eastAsia" w:ascii="仿宋_GB2312" w:hAnsi="仿宋_GB2312" w:eastAsia="仿宋_GB2312" w:cs="仿宋_GB2312"/>
          <w:sz w:val="32"/>
          <w:szCs w:val="32"/>
          <w:lang w:val="en-US" w:eastAsia="zh-CN"/>
        </w:rPr>
        <w:t>认真落实推门听课、区蹲校指导和“校长推进教学”，</w:t>
      </w:r>
      <w:r>
        <w:rPr>
          <w:rFonts w:hint="eastAsia" w:ascii="仿宋_GB2312" w:hAnsi="仿宋_GB2312" w:eastAsia="仿宋_GB2312" w:cs="仿宋_GB2312"/>
          <w:sz w:val="32"/>
          <w:szCs w:val="32"/>
        </w:rPr>
        <w:t>以交互式系统为平台，开展三个课堂等教学研讨活动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学校</w:t>
      </w:r>
      <w:r>
        <w:rPr>
          <w:rFonts w:hint="eastAsia" w:ascii="仿宋_GB2312" w:hAnsi="仿宋_GB2312" w:eastAsia="仿宋_GB2312" w:cs="仿宋_GB2312"/>
          <w:sz w:val="32"/>
          <w:szCs w:val="32"/>
        </w:rPr>
        <w:t>开齐开全各</w:t>
      </w:r>
      <w:r>
        <w:rPr>
          <w:rFonts w:hint="eastAsia" w:ascii="仿宋_GB2312" w:hAnsi="仿宋_GB2312" w:eastAsia="仿宋_GB2312" w:cs="仿宋_GB2312"/>
          <w:sz w:val="32"/>
          <w:szCs w:val="32"/>
          <w:lang w:val="en-US" w:eastAsia="zh-CN"/>
        </w:rPr>
        <w:t>类校本</w:t>
      </w:r>
      <w:r>
        <w:rPr>
          <w:rFonts w:hint="eastAsia" w:ascii="仿宋_GB2312" w:hAnsi="仿宋_GB2312" w:eastAsia="仿宋_GB2312" w:cs="仿宋_GB2312"/>
          <w:sz w:val="32"/>
          <w:szCs w:val="32"/>
        </w:rPr>
        <w:t>课程，</w:t>
      </w:r>
      <w:r>
        <w:rPr>
          <w:rFonts w:hint="eastAsia" w:ascii="仿宋_GB2312" w:hAnsi="仿宋_GB2312" w:eastAsia="仿宋_GB2312" w:cs="仿宋_GB2312"/>
          <w:sz w:val="32"/>
          <w:szCs w:val="32"/>
          <w:lang w:val="en-US" w:eastAsia="zh-CN"/>
        </w:rPr>
        <w:t>严格</w:t>
      </w:r>
      <w:r>
        <w:rPr>
          <w:rFonts w:hint="eastAsia" w:ascii="仿宋_GB2312" w:hAnsi="仿宋_GB2312" w:eastAsia="仿宋_GB2312" w:cs="仿宋_GB2312"/>
          <w:sz w:val="32"/>
          <w:szCs w:val="32"/>
        </w:rPr>
        <w:t>落实双减</w:t>
      </w:r>
      <w:r>
        <w:rPr>
          <w:rFonts w:hint="eastAsia" w:ascii="仿宋_GB2312" w:hAnsi="仿宋_GB2312" w:eastAsia="仿宋_GB2312" w:cs="仿宋_GB2312"/>
          <w:sz w:val="32"/>
          <w:szCs w:val="32"/>
          <w:lang w:val="en-US" w:eastAsia="zh-CN"/>
        </w:rPr>
        <w:t>、一二年级无纸化测试和课后服务等工作。</w:t>
      </w:r>
      <w:r>
        <w:rPr>
          <w:rFonts w:hint="eastAsia" w:ascii="仿宋_GB2312" w:hAnsi="仿宋_GB2312" w:eastAsia="仿宋_GB2312" w:cs="仿宋_GB2312"/>
          <w:sz w:val="32"/>
          <w:szCs w:val="32"/>
        </w:rPr>
        <w:t>认真落实</w:t>
      </w:r>
      <w:r>
        <w:rPr>
          <w:rFonts w:hint="eastAsia" w:ascii="仿宋_GB2312" w:hAnsi="仿宋_GB2312" w:eastAsia="仿宋_GB2312" w:cs="仿宋_GB2312"/>
          <w:sz w:val="32"/>
          <w:szCs w:val="32"/>
          <w:lang w:val="en-US" w:eastAsia="zh-CN"/>
        </w:rPr>
        <w:t>两</w:t>
      </w:r>
      <w:r>
        <w:rPr>
          <w:rFonts w:hint="eastAsia" w:ascii="仿宋_GB2312" w:hAnsi="仿宋_GB2312" w:eastAsia="仿宋_GB2312" w:cs="仿宋_GB2312"/>
          <w:sz w:val="32"/>
          <w:szCs w:val="32"/>
        </w:rPr>
        <w:t>操、午写、口算及写字比赛等教学活动，</w:t>
      </w:r>
      <w:r>
        <w:rPr>
          <w:rFonts w:hint="eastAsia" w:ascii="仿宋_GB2312" w:hAnsi="仿宋_GB2312" w:eastAsia="仿宋_GB2312" w:cs="仿宋_GB2312"/>
          <w:sz w:val="32"/>
          <w:szCs w:val="32"/>
          <w:lang w:val="en-US" w:eastAsia="zh-CN"/>
        </w:rPr>
        <w:t>并依托</w:t>
      </w:r>
      <w:r>
        <w:rPr>
          <w:rFonts w:hint="eastAsia" w:ascii="仿宋_GB2312" w:hAnsi="仿宋_GB2312" w:eastAsia="仿宋_GB2312" w:cs="仿宋_GB2312"/>
          <w:sz w:val="32"/>
          <w:szCs w:val="32"/>
        </w:rPr>
        <w:t>运动会、</w:t>
      </w:r>
      <w:r>
        <w:rPr>
          <w:rFonts w:hint="eastAsia" w:ascii="仿宋_GB2312" w:hAnsi="仿宋_GB2312" w:eastAsia="仿宋_GB2312" w:cs="仿宋_GB2312"/>
          <w:sz w:val="32"/>
          <w:szCs w:val="32"/>
          <w:lang w:val="en-US" w:eastAsia="zh-CN"/>
        </w:rPr>
        <w:t>科技节等，</w:t>
      </w:r>
      <w:r>
        <w:rPr>
          <w:rFonts w:hint="eastAsia" w:ascii="仿宋_GB2312" w:hAnsi="仿宋_GB2312" w:eastAsia="仿宋_GB2312" w:cs="仿宋_GB2312"/>
          <w:sz w:val="32"/>
          <w:szCs w:val="32"/>
        </w:rPr>
        <w:t>积极开发剪纸、纸浆画、七巧板、跳绳、篮球等，丰富</w:t>
      </w:r>
      <w:r>
        <w:rPr>
          <w:rFonts w:hint="eastAsia" w:ascii="仿宋_GB2312" w:hAnsi="仿宋_GB2312" w:eastAsia="仿宋_GB2312" w:cs="仿宋_GB2312"/>
          <w:sz w:val="32"/>
          <w:szCs w:val="32"/>
          <w:lang w:val="en-US" w:eastAsia="zh-CN"/>
        </w:rPr>
        <w:t>校本</w:t>
      </w:r>
      <w:r>
        <w:rPr>
          <w:rFonts w:hint="eastAsia" w:ascii="仿宋_GB2312" w:hAnsi="仿宋_GB2312" w:eastAsia="仿宋_GB2312" w:cs="仿宋_GB2312"/>
          <w:sz w:val="32"/>
          <w:szCs w:val="32"/>
        </w:rPr>
        <w:t>课程体系。</w:t>
      </w:r>
      <w:r>
        <w:rPr>
          <w:rFonts w:hint="eastAsia" w:ascii="仿宋_GB2312" w:hAnsi="仿宋_GB2312" w:eastAsia="仿宋_GB2312" w:cs="仿宋_GB2312"/>
          <w:sz w:val="32"/>
          <w:szCs w:val="32"/>
          <w:lang w:val="en-US" w:eastAsia="zh-CN"/>
        </w:rPr>
        <w:t>学校</w:t>
      </w:r>
      <w:r>
        <w:rPr>
          <w:rFonts w:hint="eastAsia" w:ascii="仿宋_GB2312" w:hAnsi="仿宋_GB2312" w:eastAsia="仿宋_GB2312" w:cs="仿宋_GB2312"/>
          <w:sz w:val="32"/>
          <w:szCs w:val="32"/>
        </w:rPr>
        <w:t>科研工作扎实有效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科研氛围浓厚，多名教师的十余篇论文在国家级刊物发表，近年来，5名教师主持或参与的7个课题结题。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纸与远方的约定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纸浆画校本课程荣获山东省二等奖。</w:t>
      </w:r>
    </w:p>
    <w:p w14:paraId="0E044C5D">
      <w:pPr>
        <w:keepNext w:val="0"/>
        <w:keepLines w:val="0"/>
        <w:pageBreakBefore w:val="0"/>
        <w:kinsoku/>
        <w:wordWrap/>
        <w:overflowPunct/>
        <w:topLinePunct w:val="0"/>
        <w:autoSpaceDE w:val="0"/>
        <w:autoSpaceDN/>
        <w:bidi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5.以文化人促内涵</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学校立足三年发展规划，全面落实提升三层教学楼校园文化和各教室班级阵地文化建设目标实施，实现了层层主题鲜明，内涵深厚，稳固“一校一品”“文化立校”发展理念，多举措让每一面墙都会说话，让师生受到教育和感化。</w:t>
      </w:r>
    </w:p>
    <w:p w14:paraId="74BFC99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Arial" w:eastAsia="仿宋_GB2312" w:cs="仿宋_GB2312"/>
          <w:i w:val="0"/>
          <w:iCs w:val="0"/>
          <w:caps w:val="0"/>
          <w:color w:val="auto"/>
          <w:spacing w:val="0"/>
          <w:sz w:val="32"/>
          <w:szCs w:val="32"/>
          <w:lang w:eastAsia="zh-CN"/>
        </w:rPr>
      </w:pPr>
      <w:r>
        <w:rPr>
          <w:rFonts w:hint="eastAsia" w:ascii="楷体" w:hAnsi="楷体" w:eastAsia="楷体" w:cs="楷体"/>
          <w:i w:val="0"/>
          <w:iCs w:val="0"/>
          <w:caps w:val="0"/>
          <w:color w:val="000000"/>
          <w:spacing w:val="0"/>
          <w:sz w:val="32"/>
          <w:szCs w:val="32"/>
          <w:lang w:eastAsia="zh-CN"/>
        </w:rPr>
        <w:t>（</w:t>
      </w:r>
      <w:r>
        <w:rPr>
          <w:rFonts w:hint="eastAsia" w:ascii="楷体" w:hAnsi="楷体" w:eastAsia="楷体" w:cs="楷体"/>
          <w:i w:val="0"/>
          <w:iCs w:val="0"/>
          <w:caps w:val="0"/>
          <w:color w:val="000000"/>
          <w:spacing w:val="0"/>
          <w:sz w:val="32"/>
          <w:szCs w:val="32"/>
          <w:lang w:val="en-US" w:eastAsia="zh-CN"/>
        </w:rPr>
        <w:t>三</w:t>
      </w:r>
      <w:r>
        <w:rPr>
          <w:rFonts w:hint="eastAsia" w:ascii="楷体" w:hAnsi="楷体" w:eastAsia="楷体" w:cs="楷体"/>
          <w:i w:val="0"/>
          <w:iCs w:val="0"/>
          <w:caps w:val="0"/>
          <w:color w:val="000000"/>
          <w:spacing w:val="0"/>
          <w:sz w:val="32"/>
          <w:szCs w:val="32"/>
          <w:lang w:eastAsia="zh-CN"/>
        </w:rPr>
        <w:t>）学校外部环境的分析</w:t>
      </w:r>
    </w:p>
    <w:p w14:paraId="0FB1BEF3">
      <w:pPr>
        <w:pStyle w:val="4"/>
        <w:keepNext w:val="0"/>
        <w:keepLines w:val="0"/>
        <w:pageBreakBefore w:val="0"/>
        <w:widowControl/>
        <w:kinsoku/>
        <w:wordWrap/>
        <w:overflowPunct/>
        <w:topLinePunct w:val="0"/>
        <w:bidi w:val="0"/>
        <w:spacing w:line="560" w:lineRule="exact"/>
        <w:ind w:firstLine="608" w:firstLineChars="200"/>
        <w:rPr>
          <w:rFonts w:hint="eastAsia" w:ascii="仿宋_GB2312" w:hAnsi="仿宋_GB2312" w:eastAsia="仿宋_GB2312" w:cs="仿宋_GB2312"/>
          <w:bCs/>
          <w:w w:val="95"/>
          <w:sz w:val="32"/>
          <w:szCs w:val="32"/>
          <w:lang w:val="en-US" w:eastAsia="zh-CN"/>
        </w:rPr>
      </w:pPr>
      <w:r>
        <w:rPr>
          <w:rFonts w:hint="eastAsia" w:ascii="仿宋_GB2312" w:hAnsi="仿宋_GB2312" w:eastAsia="仿宋_GB2312" w:cs="仿宋_GB2312"/>
          <w:bCs/>
          <w:w w:val="95"/>
          <w:sz w:val="32"/>
          <w:szCs w:val="32"/>
        </w:rPr>
        <w:t>1.</w:t>
      </w:r>
      <w:r>
        <w:rPr>
          <w:rFonts w:hint="eastAsia" w:ascii="仿宋_GB2312" w:hAnsi="仿宋_GB2312" w:eastAsia="仿宋_GB2312" w:cs="仿宋_GB2312"/>
          <w:bCs/>
          <w:w w:val="95"/>
          <w:sz w:val="32"/>
          <w:szCs w:val="32"/>
          <w:lang w:val="en-US" w:eastAsia="zh-CN"/>
        </w:rPr>
        <w:t>政策环境</w:t>
      </w:r>
    </w:p>
    <w:p w14:paraId="3C5109DE">
      <w:pPr>
        <w:pStyle w:val="4"/>
        <w:keepNext w:val="0"/>
        <w:keepLines w:val="0"/>
        <w:pageBreakBefore w:val="0"/>
        <w:widowControl/>
        <w:kinsoku/>
        <w:wordWrap/>
        <w:overflowPunct/>
        <w:topLinePunct w:val="0"/>
        <w:bidi w:val="0"/>
        <w:spacing w:line="560" w:lineRule="exact"/>
        <w:ind w:firstLine="608" w:firstLineChars="200"/>
        <w:rPr>
          <w:rFonts w:hint="eastAsia" w:ascii="仿宋_GB2312" w:hAnsi="仿宋_GB2312" w:eastAsia="仿宋_GB2312" w:cs="仿宋_GB2312"/>
          <w:bCs/>
          <w:w w:val="95"/>
          <w:sz w:val="32"/>
          <w:szCs w:val="32"/>
        </w:rPr>
      </w:pPr>
      <w:r>
        <w:rPr>
          <w:rFonts w:hint="eastAsia" w:ascii="仿宋_GB2312" w:hAnsi="仿宋_GB2312" w:eastAsia="仿宋_GB2312" w:cs="仿宋_GB2312"/>
          <w:w w:val="95"/>
          <w:sz w:val="32"/>
          <w:szCs w:val="32"/>
        </w:rPr>
        <w:t>区各级领导</w:t>
      </w:r>
      <w:r>
        <w:rPr>
          <w:rFonts w:hint="eastAsia" w:ascii="仿宋_GB2312" w:hAnsi="仿宋_GB2312" w:eastAsia="仿宋_GB2312" w:cs="仿宋_GB2312"/>
          <w:w w:val="95"/>
          <w:sz w:val="32"/>
          <w:szCs w:val="32"/>
          <w:lang w:val="en-US" w:eastAsia="zh-CN"/>
        </w:rPr>
        <w:t>在校舍维护等经费投入方面给予耿家小学师生细致入微的关怀；区教育文化事业部及教研员深入学校指导</w:t>
      </w:r>
      <w:r>
        <w:rPr>
          <w:rFonts w:hint="eastAsia" w:ascii="仿宋_GB2312" w:hAnsi="仿宋_GB2312" w:eastAsia="仿宋_GB2312" w:cs="仿宋_GB2312"/>
          <w:w w:val="95"/>
          <w:sz w:val="32"/>
          <w:szCs w:val="32"/>
        </w:rPr>
        <w:t>，</w:t>
      </w:r>
      <w:r>
        <w:rPr>
          <w:rFonts w:hint="eastAsia" w:ascii="仿宋_GB2312" w:hAnsi="仿宋_GB2312" w:eastAsia="仿宋_GB2312" w:cs="仿宋_GB2312"/>
          <w:bCs/>
          <w:w w:val="95"/>
          <w:sz w:val="32"/>
          <w:szCs w:val="32"/>
        </w:rPr>
        <w:t>为学校发展提供大力支持和政策帮助，使学校的办学条件不断改善，得到了驻地村居、家长的高度认可。</w:t>
      </w:r>
    </w:p>
    <w:p w14:paraId="1AFA31D5">
      <w:pPr>
        <w:pStyle w:val="4"/>
        <w:keepNext w:val="0"/>
        <w:keepLines w:val="0"/>
        <w:pageBreakBefore w:val="0"/>
        <w:widowControl/>
        <w:numPr>
          <w:ilvl w:val="0"/>
          <w:numId w:val="0"/>
        </w:numPr>
        <w:kinsoku/>
        <w:wordWrap/>
        <w:overflowPunct/>
        <w:topLinePunct w:val="0"/>
        <w:bidi w:val="0"/>
        <w:spacing w:line="560" w:lineRule="exact"/>
        <w:ind w:leftChars="200" w:right="0" w:rightChars="0" w:firstLine="304" w:firstLineChars="100"/>
        <w:rPr>
          <w:rFonts w:hint="eastAsia" w:ascii="仿宋_GB2312" w:hAnsi="仿宋_GB2312" w:eastAsia="仿宋_GB2312" w:cs="仿宋_GB2312"/>
          <w:bCs/>
          <w:w w:val="95"/>
          <w:sz w:val="32"/>
          <w:szCs w:val="32"/>
        </w:rPr>
      </w:pPr>
      <w:r>
        <w:rPr>
          <w:rFonts w:hint="eastAsia" w:ascii="仿宋_GB2312" w:hAnsi="仿宋_GB2312" w:eastAsia="仿宋_GB2312" w:cs="仿宋_GB2312"/>
          <w:bCs/>
          <w:w w:val="95"/>
          <w:sz w:val="32"/>
          <w:szCs w:val="32"/>
          <w:lang w:val="en-US" w:eastAsia="zh-CN"/>
        </w:rPr>
        <w:t>2.</w:t>
      </w:r>
      <w:r>
        <w:rPr>
          <w:rFonts w:hint="eastAsia" w:ascii="仿宋_GB2312" w:hAnsi="仿宋_GB2312" w:eastAsia="仿宋_GB2312" w:cs="仿宋_GB2312"/>
          <w:bCs/>
          <w:w w:val="95"/>
          <w:sz w:val="32"/>
          <w:szCs w:val="32"/>
        </w:rPr>
        <w:t>校际竞争</w:t>
      </w:r>
    </w:p>
    <w:p w14:paraId="6F6C37E0">
      <w:pPr>
        <w:pStyle w:val="4"/>
        <w:keepNext w:val="0"/>
        <w:keepLines w:val="0"/>
        <w:pageBreakBefore w:val="0"/>
        <w:widowControl/>
        <w:kinsoku/>
        <w:wordWrap/>
        <w:overflowPunct/>
        <w:topLinePunct w:val="0"/>
        <w:bidi w:val="0"/>
        <w:spacing w:line="560" w:lineRule="exact"/>
        <w:ind w:firstLine="608" w:firstLineChars="200"/>
        <w:rPr>
          <w:rFonts w:hint="eastAsia" w:ascii="仿宋_GB2312" w:hAnsi="仿宋_GB2312" w:eastAsia="仿宋_GB2312" w:cs="仿宋_GB2312"/>
          <w:w w:val="95"/>
          <w:sz w:val="32"/>
          <w:szCs w:val="32"/>
        </w:rPr>
      </w:pPr>
      <w:r>
        <w:rPr>
          <w:rFonts w:hint="eastAsia" w:ascii="仿宋_GB2312" w:hAnsi="仿宋_GB2312" w:eastAsia="仿宋_GB2312" w:cs="仿宋_GB2312"/>
          <w:w w:val="95"/>
          <w:sz w:val="32"/>
          <w:szCs w:val="32"/>
          <w:lang w:val="en-US" w:eastAsia="zh-CN"/>
        </w:rPr>
        <w:t>因人口数量逐年减少直接导致</w:t>
      </w:r>
      <w:r>
        <w:rPr>
          <w:rFonts w:hint="eastAsia" w:ascii="仿宋_GB2312" w:hAnsi="仿宋_GB2312" w:eastAsia="仿宋_GB2312" w:cs="仿宋_GB2312"/>
          <w:w w:val="95"/>
          <w:sz w:val="32"/>
          <w:szCs w:val="32"/>
        </w:rPr>
        <w:t>学校</w:t>
      </w:r>
      <w:r>
        <w:rPr>
          <w:rFonts w:hint="eastAsia" w:ascii="仿宋_GB2312" w:hAnsi="仿宋_GB2312" w:eastAsia="仿宋_GB2312" w:cs="仿宋_GB2312"/>
          <w:w w:val="95"/>
          <w:sz w:val="32"/>
          <w:szCs w:val="32"/>
          <w:lang w:val="en-US" w:eastAsia="zh-CN"/>
        </w:rPr>
        <w:t>所在区域适龄入学儿童数量下降，招生</w:t>
      </w:r>
      <w:r>
        <w:rPr>
          <w:rFonts w:hint="eastAsia" w:ascii="仿宋_GB2312" w:hAnsi="仿宋_GB2312" w:eastAsia="仿宋_GB2312" w:cs="仿宋_GB2312"/>
          <w:w w:val="95"/>
          <w:sz w:val="32"/>
          <w:szCs w:val="32"/>
        </w:rPr>
        <w:t>规模</w:t>
      </w:r>
      <w:r>
        <w:rPr>
          <w:rFonts w:hint="eastAsia" w:ascii="仿宋_GB2312" w:hAnsi="仿宋_GB2312" w:eastAsia="仿宋_GB2312" w:cs="仿宋_GB2312"/>
          <w:w w:val="95"/>
          <w:sz w:val="32"/>
          <w:szCs w:val="32"/>
          <w:lang w:val="en-US" w:eastAsia="zh-CN"/>
        </w:rPr>
        <w:t>缩</w:t>
      </w:r>
      <w:r>
        <w:rPr>
          <w:rFonts w:hint="eastAsia" w:ascii="仿宋_GB2312" w:hAnsi="仿宋_GB2312" w:eastAsia="仿宋_GB2312" w:cs="仿宋_GB2312"/>
          <w:w w:val="95"/>
          <w:sz w:val="32"/>
          <w:szCs w:val="32"/>
        </w:rPr>
        <w:t>小，</w:t>
      </w:r>
      <w:r>
        <w:rPr>
          <w:rFonts w:hint="eastAsia" w:ascii="仿宋_GB2312" w:hAnsi="仿宋_GB2312" w:eastAsia="仿宋_GB2312" w:cs="仿宋_GB2312"/>
          <w:w w:val="95"/>
          <w:sz w:val="32"/>
          <w:szCs w:val="32"/>
          <w:lang w:val="en-US" w:eastAsia="zh-CN"/>
        </w:rPr>
        <w:t>生源不足</w:t>
      </w:r>
      <w:r>
        <w:rPr>
          <w:rFonts w:hint="eastAsia" w:ascii="仿宋_GB2312" w:hAnsi="仿宋_GB2312" w:eastAsia="仿宋_GB2312" w:cs="仿宋_GB2312"/>
          <w:w w:val="95"/>
          <w:sz w:val="32"/>
          <w:szCs w:val="32"/>
        </w:rPr>
        <w:t>，相比较于区内同类学校</w:t>
      </w:r>
      <w:r>
        <w:rPr>
          <w:rFonts w:hint="eastAsia" w:ascii="仿宋_GB2312" w:hAnsi="仿宋_GB2312" w:eastAsia="仿宋_GB2312" w:cs="仿宋_GB2312"/>
          <w:w w:val="95"/>
          <w:sz w:val="32"/>
          <w:szCs w:val="32"/>
          <w:lang w:val="en-US" w:eastAsia="zh-CN"/>
        </w:rPr>
        <w:t>硬件设施方面经费投入</w:t>
      </w:r>
      <w:r>
        <w:rPr>
          <w:rFonts w:hint="eastAsia" w:ascii="仿宋_GB2312" w:hAnsi="仿宋_GB2312" w:eastAsia="仿宋_GB2312" w:cs="仿宋_GB2312"/>
          <w:w w:val="95"/>
          <w:sz w:val="32"/>
          <w:szCs w:val="32"/>
        </w:rPr>
        <w:t>办学方面竞争优势不明显。</w:t>
      </w:r>
    </w:p>
    <w:p w14:paraId="63DF5ADA">
      <w:pPr>
        <w:pStyle w:val="8"/>
        <w:keepNext w:val="0"/>
        <w:keepLines w:val="0"/>
        <w:pageBreakBefore w:val="0"/>
        <w:numPr>
          <w:ilvl w:val="0"/>
          <w:numId w:val="0"/>
        </w:numPr>
        <w:kinsoku/>
        <w:wordWrap/>
        <w:overflowPunct/>
        <w:topLinePunct w:val="0"/>
        <w:bidi w:val="0"/>
        <w:adjustRightInd w:val="0"/>
        <w:snapToGrid w:val="0"/>
        <w:spacing w:line="560" w:lineRule="exact"/>
        <w:ind w:firstLine="608" w:firstLineChars="200"/>
        <w:rPr>
          <w:rFonts w:hint="eastAsia" w:ascii="仿宋_GB2312" w:hAnsi="仿宋_GB2312" w:eastAsia="仿宋_GB2312" w:cs="仿宋_GB2312"/>
          <w:bCs w:val="0"/>
          <w:color w:val="auto"/>
          <w:w w:val="95"/>
          <w:sz w:val="32"/>
          <w:szCs w:val="32"/>
        </w:rPr>
      </w:pPr>
      <w:r>
        <w:rPr>
          <w:rFonts w:hint="eastAsia" w:ascii="仿宋_GB2312" w:hAnsi="仿宋_GB2312" w:eastAsia="仿宋_GB2312" w:cs="仿宋_GB2312"/>
          <w:bCs w:val="0"/>
          <w:color w:val="auto"/>
          <w:w w:val="95"/>
          <w:sz w:val="32"/>
          <w:szCs w:val="32"/>
          <w:lang w:val="en-US" w:eastAsia="zh-CN"/>
        </w:rPr>
        <w:t>3.</w:t>
      </w:r>
      <w:r>
        <w:rPr>
          <w:rFonts w:hint="eastAsia" w:ascii="仿宋_GB2312" w:hAnsi="仿宋_GB2312" w:eastAsia="仿宋_GB2312" w:cs="仿宋_GB2312"/>
          <w:bCs w:val="0"/>
          <w:color w:val="auto"/>
          <w:w w:val="95"/>
          <w:sz w:val="32"/>
          <w:szCs w:val="32"/>
        </w:rPr>
        <w:t>社区环境</w:t>
      </w:r>
    </w:p>
    <w:p w14:paraId="6ACF6528">
      <w:pPr>
        <w:pStyle w:val="8"/>
        <w:keepNext w:val="0"/>
        <w:keepLines w:val="0"/>
        <w:pageBreakBefore w:val="0"/>
        <w:numPr>
          <w:ilvl w:val="0"/>
          <w:numId w:val="0"/>
        </w:numPr>
        <w:kinsoku/>
        <w:wordWrap/>
        <w:overflowPunct/>
        <w:topLinePunct w:val="0"/>
        <w:bidi w:val="0"/>
        <w:adjustRightInd w:val="0"/>
        <w:snapToGrid w:val="0"/>
        <w:spacing w:line="560" w:lineRule="exact"/>
        <w:ind w:firstLine="608" w:firstLineChars="200"/>
        <w:rPr>
          <w:rFonts w:hint="eastAsia" w:ascii="仿宋_GB2312" w:hAnsi="仿宋_GB2312" w:eastAsia="仿宋_GB2312" w:cs="仿宋_GB2312"/>
          <w:bCs w:val="0"/>
          <w:color w:val="auto"/>
          <w:w w:val="95"/>
          <w:sz w:val="32"/>
          <w:szCs w:val="32"/>
        </w:rPr>
      </w:pPr>
      <w:r>
        <w:rPr>
          <w:rFonts w:hint="eastAsia" w:ascii="仿宋_GB2312" w:hAnsi="仿宋_GB2312" w:eastAsia="仿宋_GB2312" w:cs="仿宋_GB2312"/>
          <w:bCs w:val="0"/>
          <w:color w:val="auto"/>
          <w:w w:val="95"/>
          <w:sz w:val="32"/>
          <w:szCs w:val="32"/>
        </w:rPr>
        <w:t>学校坐落在耿家村，社会风气好，</w:t>
      </w:r>
      <w:r>
        <w:rPr>
          <w:rFonts w:hint="eastAsia" w:ascii="仿宋_GB2312" w:hAnsi="仿宋_GB2312" w:eastAsia="仿宋_GB2312" w:cs="仿宋_GB2312"/>
          <w:bCs w:val="0"/>
          <w:color w:val="auto"/>
          <w:w w:val="95"/>
          <w:sz w:val="32"/>
          <w:szCs w:val="32"/>
          <w:lang w:val="en-US" w:eastAsia="zh-CN"/>
        </w:rPr>
        <w:t>村居给予学校大力支持，</w:t>
      </w:r>
      <w:r>
        <w:rPr>
          <w:rFonts w:hint="eastAsia" w:ascii="仿宋_GB2312" w:hAnsi="仿宋_GB2312" w:eastAsia="仿宋_GB2312" w:cs="仿宋_GB2312"/>
          <w:bCs w:val="0"/>
          <w:color w:val="auto"/>
          <w:w w:val="95"/>
          <w:sz w:val="32"/>
          <w:szCs w:val="32"/>
        </w:rPr>
        <w:t>对学生成长有利</w:t>
      </w:r>
      <w:r>
        <w:rPr>
          <w:rFonts w:hint="eastAsia" w:ascii="仿宋_GB2312" w:hAnsi="仿宋_GB2312" w:eastAsia="仿宋_GB2312" w:cs="仿宋_GB2312"/>
          <w:bCs w:val="0"/>
          <w:color w:val="auto"/>
          <w:w w:val="95"/>
          <w:sz w:val="32"/>
          <w:szCs w:val="32"/>
          <w:lang w:eastAsia="zh-CN"/>
        </w:rPr>
        <w:t>。</w:t>
      </w:r>
      <w:r>
        <w:rPr>
          <w:rFonts w:hint="eastAsia" w:ascii="仿宋_GB2312" w:hAnsi="仿宋_GB2312" w:eastAsia="仿宋_GB2312" w:cs="仿宋_GB2312"/>
          <w:bCs w:val="0"/>
          <w:color w:val="auto"/>
          <w:w w:val="95"/>
          <w:sz w:val="32"/>
          <w:szCs w:val="32"/>
        </w:rPr>
        <w:t>但</w:t>
      </w:r>
      <w:r>
        <w:rPr>
          <w:rFonts w:hint="eastAsia" w:ascii="仿宋_GB2312" w:hAnsi="仿宋_GB2312" w:eastAsia="仿宋_GB2312" w:cs="仿宋_GB2312"/>
          <w:bCs w:val="0"/>
          <w:color w:val="auto"/>
          <w:w w:val="95"/>
          <w:sz w:val="32"/>
          <w:szCs w:val="32"/>
          <w:lang w:val="en-US" w:eastAsia="zh-CN"/>
        </w:rPr>
        <w:t>所处位置相对</w:t>
      </w:r>
      <w:r>
        <w:rPr>
          <w:rFonts w:hint="eastAsia" w:ascii="仿宋_GB2312" w:hAnsi="仿宋_GB2312" w:eastAsia="仿宋_GB2312" w:cs="仿宋_GB2312"/>
          <w:bCs w:val="0"/>
          <w:color w:val="auto"/>
          <w:w w:val="95"/>
          <w:sz w:val="32"/>
          <w:szCs w:val="32"/>
        </w:rPr>
        <w:t>偏远，</w:t>
      </w:r>
      <w:r>
        <w:rPr>
          <w:rFonts w:hint="eastAsia" w:ascii="仿宋_GB2312" w:hAnsi="仿宋_GB2312" w:eastAsia="仿宋_GB2312" w:cs="仿宋_GB2312"/>
          <w:bCs w:val="0"/>
          <w:color w:val="auto"/>
          <w:w w:val="95"/>
          <w:sz w:val="32"/>
          <w:szCs w:val="32"/>
          <w:lang w:val="en-US" w:eastAsia="zh-CN"/>
        </w:rPr>
        <w:t>在区域教育内的话语权较弱，不利于长期发展和竞争力提升</w:t>
      </w:r>
      <w:r>
        <w:rPr>
          <w:rFonts w:hint="eastAsia" w:ascii="仿宋_GB2312" w:hAnsi="仿宋_GB2312" w:eastAsia="仿宋_GB2312" w:cs="仿宋_GB2312"/>
          <w:bCs w:val="0"/>
          <w:color w:val="auto"/>
          <w:w w:val="95"/>
          <w:sz w:val="32"/>
          <w:szCs w:val="32"/>
        </w:rPr>
        <w:t>。</w:t>
      </w:r>
    </w:p>
    <w:p w14:paraId="46AFACD0">
      <w:pPr>
        <w:pStyle w:val="8"/>
        <w:keepNext w:val="0"/>
        <w:keepLines w:val="0"/>
        <w:pageBreakBefore w:val="0"/>
        <w:numPr>
          <w:ilvl w:val="0"/>
          <w:numId w:val="0"/>
        </w:numPr>
        <w:kinsoku/>
        <w:wordWrap/>
        <w:overflowPunct/>
        <w:topLinePunct w:val="0"/>
        <w:bidi w:val="0"/>
        <w:adjustRightInd w:val="0"/>
        <w:snapToGrid w:val="0"/>
        <w:spacing w:line="560" w:lineRule="exact"/>
        <w:ind w:firstLine="608" w:firstLineChars="200"/>
        <w:rPr>
          <w:rFonts w:hint="eastAsia" w:ascii="仿宋_GB2312" w:hAnsi="仿宋_GB2312" w:eastAsia="仿宋_GB2312" w:cs="仿宋_GB2312"/>
          <w:bCs w:val="0"/>
          <w:color w:val="auto"/>
          <w:w w:val="95"/>
          <w:sz w:val="32"/>
          <w:szCs w:val="32"/>
        </w:rPr>
      </w:pPr>
      <w:r>
        <w:rPr>
          <w:rFonts w:hint="eastAsia" w:ascii="仿宋_GB2312" w:hAnsi="仿宋_GB2312" w:eastAsia="仿宋_GB2312" w:cs="仿宋_GB2312"/>
          <w:bCs w:val="0"/>
          <w:color w:val="auto"/>
          <w:w w:val="95"/>
          <w:sz w:val="32"/>
          <w:szCs w:val="32"/>
          <w:lang w:val="en-US" w:eastAsia="zh-CN"/>
        </w:rPr>
        <w:t>4.</w:t>
      </w:r>
      <w:r>
        <w:rPr>
          <w:rFonts w:hint="eastAsia" w:ascii="仿宋_GB2312" w:hAnsi="仿宋_GB2312" w:eastAsia="仿宋_GB2312" w:cs="仿宋_GB2312"/>
          <w:bCs w:val="0"/>
          <w:color w:val="auto"/>
          <w:w w:val="95"/>
          <w:sz w:val="32"/>
          <w:szCs w:val="32"/>
        </w:rPr>
        <w:t>家长情况</w:t>
      </w:r>
    </w:p>
    <w:p w14:paraId="598F3739">
      <w:pPr>
        <w:pStyle w:val="8"/>
        <w:keepNext w:val="0"/>
        <w:keepLines w:val="0"/>
        <w:pageBreakBefore w:val="0"/>
        <w:numPr>
          <w:ilvl w:val="0"/>
          <w:numId w:val="0"/>
        </w:numPr>
        <w:kinsoku/>
        <w:wordWrap/>
        <w:overflowPunct/>
        <w:topLinePunct w:val="0"/>
        <w:bidi w:val="0"/>
        <w:adjustRightInd w:val="0"/>
        <w:snapToGrid w:val="0"/>
        <w:spacing w:line="560" w:lineRule="exact"/>
        <w:ind w:firstLine="608" w:firstLineChars="200"/>
        <w:rPr>
          <w:rFonts w:hint="eastAsia" w:ascii="仿宋_GB2312" w:hAnsi="仿宋_GB2312" w:eastAsia="仿宋_GB2312" w:cs="仿宋_GB2312"/>
          <w:bCs w:val="0"/>
          <w:color w:val="auto"/>
          <w:w w:val="95"/>
          <w:sz w:val="32"/>
          <w:szCs w:val="32"/>
        </w:rPr>
      </w:pPr>
      <w:r>
        <w:rPr>
          <w:rFonts w:hint="eastAsia" w:ascii="仿宋_GB2312" w:hAnsi="仿宋_GB2312" w:eastAsia="仿宋_GB2312" w:cs="仿宋_GB2312"/>
          <w:bCs w:val="0"/>
          <w:color w:val="auto"/>
          <w:w w:val="95"/>
          <w:sz w:val="32"/>
          <w:szCs w:val="32"/>
          <w:lang w:val="en-US" w:eastAsia="zh-CN"/>
        </w:rPr>
        <w:t>学校学生家长大部分</w:t>
      </w:r>
      <w:r>
        <w:rPr>
          <w:rFonts w:hint="eastAsia" w:ascii="仿宋_GB2312" w:hAnsi="仿宋_GB2312" w:eastAsia="仿宋_GB2312" w:cs="仿宋_GB2312"/>
          <w:color w:val="auto"/>
          <w:w w:val="95"/>
          <w:sz w:val="32"/>
          <w:szCs w:val="32"/>
        </w:rPr>
        <w:t>对学校</w:t>
      </w:r>
      <w:r>
        <w:rPr>
          <w:rFonts w:hint="eastAsia" w:ascii="仿宋_GB2312" w:hAnsi="仿宋_GB2312" w:eastAsia="仿宋_GB2312" w:cs="仿宋_GB2312"/>
          <w:color w:val="auto"/>
          <w:w w:val="95"/>
          <w:sz w:val="32"/>
          <w:szCs w:val="32"/>
          <w:lang w:val="en-US" w:eastAsia="zh-CN"/>
        </w:rPr>
        <w:t>非常</w:t>
      </w:r>
      <w:r>
        <w:rPr>
          <w:rFonts w:hint="eastAsia" w:ascii="仿宋_GB2312" w:hAnsi="仿宋_GB2312" w:eastAsia="仿宋_GB2312" w:cs="仿宋_GB2312"/>
          <w:color w:val="auto"/>
          <w:w w:val="95"/>
          <w:sz w:val="32"/>
          <w:szCs w:val="32"/>
        </w:rPr>
        <w:t>支持，能够积极</w:t>
      </w:r>
      <w:r>
        <w:rPr>
          <w:rFonts w:hint="eastAsia" w:ascii="仿宋_GB2312" w:hAnsi="仿宋_GB2312" w:eastAsia="仿宋_GB2312" w:cs="仿宋_GB2312"/>
          <w:color w:val="auto"/>
          <w:w w:val="95"/>
          <w:sz w:val="32"/>
          <w:szCs w:val="32"/>
          <w:lang w:val="en-US" w:eastAsia="zh-CN"/>
        </w:rPr>
        <w:t>响应号召并</w:t>
      </w:r>
      <w:r>
        <w:rPr>
          <w:rFonts w:hint="eastAsia" w:ascii="仿宋_GB2312" w:hAnsi="仿宋_GB2312" w:eastAsia="仿宋_GB2312" w:cs="仿宋_GB2312"/>
          <w:color w:val="auto"/>
          <w:w w:val="95"/>
          <w:sz w:val="32"/>
          <w:szCs w:val="32"/>
        </w:rPr>
        <w:t>参与学校</w:t>
      </w:r>
      <w:r>
        <w:rPr>
          <w:rFonts w:hint="eastAsia" w:ascii="仿宋_GB2312" w:hAnsi="仿宋_GB2312" w:eastAsia="仿宋_GB2312" w:cs="仿宋_GB2312"/>
          <w:color w:val="auto"/>
          <w:w w:val="95"/>
          <w:sz w:val="32"/>
          <w:szCs w:val="32"/>
          <w:lang w:val="en-US" w:eastAsia="zh-CN"/>
        </w:rPr>
        <w:t>各类家长培训等</w:t>
      </w:r>
      <w:r>
        <w:rPr>
          <w:rFonts w:hint="eastAsia" w:ascii="仿宋_GB2312" w:hAnsi="仿宋_GB2312" w:eastAsia="仿宋_GB2312" w:cs="仿宋_GB2312"/>
          <w:color w:val="auto"/>
          <w:w w:val="95"/>
          <w:sz w:val="32"/>
          <w:szCs w:val="32"/>
        </w:rPr>
        <w:t>活动</w:t>
      </w:r>
      <w:r>
        <w:rPr>
          <w:rFonts w:hint="eastAsia" w:ascii="仿宋_GB2312" w:hAnsi="仿宋_GB2312" w:eastAsia="仿宋_GB2312" w:cs="仿宋_GB2312"/>
          <w:color w:val="auto"/>
          <w:w w:val="95"/>
          <w:sz w:val="32"/>
          <w:szCs w:val="32"/>
          <w:lang w:eastAsia="zh-CN"/>
        </w:rPr>
        <w:t>，</w:t>
      </w:r>
      <w:r>
        <w:rPr>
          <w:rFonts w:hint="eastAsia" w:ascii="仿宋_GB2312" w:hAnsi="仿宋_GB2312" w:eastAsia="仿宋_GB2312" w:cs="仿宋_GB2312"/>
          <w:color w:val="auto"/>
          <w:w w:val="95"/>
          <w:sz w:val="32"/>
          <w:szCs w:val="32"/>
          <w:lang w:val="en-US" w:eastAsia="zh-CN"/>
        </w:rPr>
        <w:t>并按照</w:t>
      </w:r>
      <w:r>
        <w:rPr>
          <w:rFonts w:hint="eastAsia" w:ascii="仿宋_GB2312" w:hAnsi="仿宋_GB2312" w:eastAsia="仿宋_GB2312" w:cs="仿宋_GB2312"/>
          <w:color w:val="auto"/>
          <w:w w:val="95"/>
          <w:sz w:val="32"/>
          <w:szCs w:val="32"/>
        </w:rPr>
        <w:t>学校</w:t>
      </w:r>
      <w:r>
        <w:rPr>
          <w:rFonts w:hint="eastAsia" w:ascii="仿宋_GB2312" w:hAnsi="仿宋_GB2312" w:eastAsia="仿宋_GB2312" w:cs="仿宋_GB2312"/>
          <w:color w:val="auto"/>
          <w:w w:val="95"/>
          <w:sz w:val="32"/>
          <w:szCs w:val="32"/>
          <w:lang w:val="en-US" w:eastAsia="zh-CN"/>
        </w:rPr>
        <w:t>要求完成各类家校沟通</w:t>
      </w:r>
      <w:r>
        <w:rPr>
          <w:rFonts w:hint="eastAsia" w:ascii="仿宋_GB2312" w:hAnsi="仿宋_GB2312" w:eastAsia="仿宋_GB2312" w:cs="仿宋_GB2312"/>
          <w:color w:val="auto"/>
          <w:w w:val="95"/>
          <w:sz w:val="32"/>
          <w:szCs w:val="32"/>
        </w:rPr>
        <w:t>任务。由于生源部分来自</w:t>
      </w:r>
      <w:r>
        <w:rPr>
          <w:rFonts w:hint="eastAsia" w:ascii="仿宋_GB2312" w:hAnsi="仿宋_GB2312" w:eastAsia="仿宋_GB2312" w:cs="仿宋_GB2312"/>
          <w:bCs w:val="0"/>
          <w:color w:val="auto"/>
          <w:w w:val="95"/>
          <w:sz w:val="32"/>
          <w:szCs w:val="32"/>
        </w:rPr>
        <w:t>外来务工</w:t>
      </w:r>
      <w:r>
        <w:rPr>
          <w:rFonts w:hint="eastAsia" w:ascii="仿宋_GB2312" w:hAnsi="仿宋_GB2312" w:eastAsia="仿宋_GB2312" w:cs="仿宋_GB2312"/>
          <w:bCs w:val="0"/>
          <w:color w:val="auto"/>
          <w:w w:val="95"/>
          <w:sz w:val="32"/>
          <w:szCs w:val="32"/>
          <w:lang w:val="en-US" w:eastAsia="zh-CN"/>
        </w:rPr>
        <w:t>较多</w:t>
      </w:r>
      <w:r>
        <w:rPr>
          <w:rFonts w:hint="eastAsia" w:ascii="仿宋_GB2312" w:hAnsi="仿宋_GB2312" w:eastAsia="仿宋_GB2312" w:cs="仿宋_GB2312"/>
          <w:bCs w:val="0"/>
          <w:color w:val="auto"/>
          <w:w w:val="95"/>
          <w:sz w:val="32"/>
          <w:szCs w:val="32"/>
        </w:rPr>
        <w:t>，家长</w:t>
      </w:r>
      <w:r>
        <w:rPr>
          <w:rFonts w:hint="eastAsia" w:ascii="仿宋_GB2312" w:hAnsi="仿宋_GB2312" w:eastAsia="仿宋_GB2312" w:cs="仿宋_GB2312"/>
          <w:bCs w:val="0"/>
          <w:color w:val="auto"/>
          <w:w w:val="95"/>
          <w:sz w:val="32"/>
          <w:szCs w:val="32"/>
          <w:lang w:val="en-US" w:eastAsia="zh-CN"/>
        </w:rPr>
        <w:t>因谋生把孩子交给老人看管，对学生日常习惯关注不够。部分家长</w:t>
      </w:r>
      <w:r>
        <w:rPr>
          <w:rFonts w:hint="eastAsia" w:ascii="仿宋_GB2312" w:hAnsi="仿宋_GB2312" w:eastAsia="仿宋_GB2312" w:cs="仿宋_GB2312"/>
          <w:bCs w:val="0"/>
          <w:color w:val="auto"/>
          <w:w w:val="95"/>
          <w:sz w:val="32"/>
          <w:szCs w:val="32"/>
        </w:rPr>
        <w:t>教育理念落后，对孩子的教育不重视，缺乏科学有效的家教方法。</w:t>
      </w:r>
    </w:p>
    <w:p w14:paraId="6C585A8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705"/>
        <w:textAlignment w:val="auto"/>
        <w:rPr>
          <w:rFonts w:hint="eastAsia" w:ascii="Arial" w:hAnsi="Arial" w:eastAsia="黑体" w:cs="Arial"/>
          <w:i w:val="0"/>
          <w:iCs w:val="0"/>
          <w:caps w:val="0"/>
          <w:color w:val="000000"/>
          <w:spacing w:val="0"/>
          <w:sz w:val="32"/>
          <w:szCs w:val="32"/>
          <w:lang w:eastAsia="zh-CN"/>
        </w:rPr>
      </w:pPr>
      <w:r>
        <w:rPr>
          <w:rFonts w:hint="eastAsia" w:ascii="黑体" w:hAnsi="宋体" w:eastAsia="黑体" w:cs="黑体"/>
          <w:i w:val="0"/>
          <w:iCs w:val="0"/>
          <w:caps w:val="0"/>
          <w:color w:val="000000"/>
          <w:spacing w:val="0"/>
          <w:sz w:val="32"/>
          <w:szCs w:val="32"/>
        </w:rPr>
        <w:t>二、</w:t>
      </w:r>
      <w:r>
        <w:rPr>
          <w:rFonts w:hint="eastAsia" w:ascii="黑体" w:hAnsi="宋体" w:eastAsia="黑体" w:cs="黑体"/>
          <w:i w:val="0"/>
          <w:iCs w:val="0"/>
          <w:caps w:val="0"/>
          <w:color w:val="000000"/>
          <w:spacing w:val="0"/>
          <w:sz w:val="32"/>
          <w:szCs w:val="32"/>
          <w:lang w:eastAsia="zh-CN"/>
        </w:rPr>
        <w:t>学校发展理念与目标</w:t>
      </w:r>
    </w:p>
    <w:p w14:paraId="7276AC4E">
      <w:pPr>
        <w:pStyle w:val="4"/>
        <w:keepNext w:val="0"/>
        <w:keepLines w:val="0"/>
        <w:pageBreakBefore w:val="0"/>
        <w:widowControl/>
        <w:kinsoku/>
        <w:wordWrap/>
        <w:overflowPunct/>
        <w:topLinePunct w:val="0"/>
        <w:bidi w:val="0"/>
        <w:spacing w:line="560" w:lineRule="exact"/>
        <w:ind w:firstLine="640" w:firstLineChars="200"/>
        <w:rPr>
          <w:rFonts w:ascii="仿宋_GB2312" w:hAnsi="Arial" w:eastAsia="仿宋_GB2312" w:cs="仿宋_GB2312"/>
          <w:sz w:val="32"/>
          <w:szCs w:val="32"/>
        </w:rPr>
      </w:pPr>
      <w:r>
        <w:rPr>
          <w:rFonts w:hint="eastAsia" w:ascii="楷体" w:hAnsi="楷体" w:eastAsia="楷体" w:cs="楷体"/>
          <w:sz w:val="32"/>
          <w:szCs w:val="32"/>
        </w:rPr>
        <w:t>（一）办学理念</w:t>
      </w:r>
    </w:p>
    <w:p w14:paraId="1F5CD445">
      <w:pPr>
        <w:pStyle w:val="9"/>
        <w:keepNext w:val="0"/>
        <w:keepLines w:val="0"/>
        <w:pageBreakBefore w:val="0"/>
        <w:tabs>
          <w:tab w:val="right" w:leader="dot" w:pos="9014"/>
        </w:tabs>
        <w:kinsoku/>
        <w:wordWrap/>
        <w:overflowPunct/>
        <w:topLinePunct w:val="0"/>
        <w:bidi w:val="0"/>
        <w:spacing w:line="560" w:lineRule="exact"/>
        <w:ind w:firstLine="640" w:firstLineChars="200"/>
        <w:contextualSpacing/>
        <w:rPr>
          <w:rFonts w:hint="eastAsia" w:ascii="仿宋_GB2312" w:hAnsi="仿宋" w:eastAsia="仿宋_GB2312" w:cs="Times New Roman"/>
          <w:color w:val="auto"/>
          <w:kern w:val="2"/>
          <w:sz w:val="32"/>
          <w:szCs w:val="32"/>
          <w:lang w:val="en-US"/>
        </w:rPr>
      </w:pPr>
      <w:r>
        <w:rPr>
          <w:rFonts w:hint="eastAsia" w:ascii="仿宋_GB2312" w:hAnsi="仿宋" w:eastAsia="仿宋_GB2312" w:cs="Times New Roman"/>
          <w:color w:val="auto"/>
          <w:kern w:val="2"/>
          <w:sz w:val="32"/>
          <w:szCs w:val="32"/>
          <w:lang w:val="en-US"/>
        </w:rPr>
        <w:t>师生共享、共创、共成长的教育</w:t>
      </w:r>
    </w:p>
    <w:p w14:paraId="3B545AC7">
      <w:pPr>
        <w:pStyle w:val="9"/>
        <w:keepNext w:val="0"/>
        <w:keepLines w:val="0"/>
        <w:pageBreakBefore w:val="0"/>
        <w:tabs>
          <w:tab w:val="right" w:leader="dot" w:pos="9014"/>
        </w:tabs>
        <w:kinsoku/>
        <w:wordWrap/>
        <w:overflowPunct/>
        <w:topLinePunct w:val="0"/>
        <w:bidi w:val="0"/>
        <w:spacing w:line="560" w:lineRule="exact"/>
        <w:ind w:firstLine="640" w:firstLineChars="200"/>
        <w:contextualSpacing/>
        <w:rPr>
          <w:rFonts w:hint="default" w:ascii="仿宋_GB2312" w:hAnsi="仿宋" w:eastAsia="仿宋_GB2312" w:cs="Times New Roman"/>
          <w:color w:val="auto"/>
          <w:kern w:val="2"/>
          <w:sz w:val="32"/>
          <w:szCs w:val="32"/>
          <w:lang w:val="en-US" w:eastAsia="zh-CN"/>
        </w:rPr>
      </w:pPr>
      <w:r>
        <w:rPr>
          <w:rFonts w:hint="eastAsia" w:ascii="仿宋_GB2312" w:hAnsi="仿宋" w:eastAsia="仿宋_GB2312" w:cs="Times New Roman"/>
          <w:color w:val="auto"/>
          <w:kern w:val="2"/>
          <w:sz w:val="32"/>
          <w:szCs w:val="32"/>
          <w:lang w:val="en-US" w:eastAsia="zh-CN"/>
        </w:rPr>
        <w:t>阐释：三个“共”是层层递进，逐步构成一个有机整体。“共享”是奠定平等与信任的基石，意味着师生之间不再是简单的给予与接受，更是共同拥有者和情感共同体。“共创”是激活探索与建构的过程，它是实践的实施路径，是共同构建知识和经验。“共成长”是指向最终发展与成就的终极目标，是学校办学理念的归宿，是体现耿小教育目标的一个双向滋养、彼此成就的过程。</w:t>
      </w:r>
    </w:p>
    <w:p w14:paraId="62CF070C">
      <w:pPr>
        <w:pStyle w:val="4"/>
        <w:keepNext w:val="0"/>
        <w:keepLines w:val="0"/>
        <w:pageBreakBefore w:val="0"/>
        <w:widowControl/>
        <w:kinsoku/>
        <w:wordWrap/>
        <w:overflowPunct/>
        <w:topLinePunct w:val="0"/>
        <w:bidi w:val="0"/>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（二）办学目标</w:t>
      </w:r>
    </w:p>
    <w:p w14:paraId="6F18F1A2">
      <w:pPr>
        <w:pStyle w:val="4"/>
        <w:keepNext w:val="0"/>
        <w:keepLines w:val="0"/>
        <w:pageBreakBefore w:val="0"/>
        <w:widowControl/>
        <w:kinsoku/>
        <w:wordWrap/>
        <w:overflowPunct/>
        <w:topLinePunct w:val="0"/>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学校发展目标：</w:t>
      </w:r>
    </w:p>
    <w:p w14:paraId="7A84ECB2">
      <w:pPr>
        <w:pStyle w:val="4"/>
        <w:keepNext w:val="0"/>
        <w:keepLines w:val="0"/>
        <w:pageBreakBefore w:val="0"/>
        <w:widowControl/>
        <w:kinsoku/>
        <w:wordWrap/>
        <w:overflowPunct/>
        <w:topLinePunct w:val="0"/>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家长满意、师生喜欢、社会认可的区域优质学校。</w:t>
      </w:r>
    </w:p>
    <w:p w14:paraId="1CCAE4E1">
      <w:pPr>
        <w:pStyle w:val="4"/>
        <w:keepNext w:val="0"/>
        <w:keepLines w:val="0"/>
        <w:pageBreakBefore w:val="0"/>
        <w:widowControl/>
        <w:kinsoku/>
        <w:wordWrap/>
        <w:overflowPunct/>
        <w:topLinePunct w:val="0"/>
        <w:bidi w:val="0"/>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（拟）师生热爱、家长满意、社区自豪、充满泥土与现代相融合的优质小规模学校。</w:t>
      </w:r>
    </w:p>
    <w:p w14:paraId="37289A46">
      <w:pPr>
        <w:pStyle w:val="4"/>
        <w:keepNext w:val="0"/>
        <w:keepLines w:val="0"/>
        <w:pageBreakBefore w:val="0"/>
        <w:widowControl/>
        <w:kinsoku/>
        <w:wordWrap/>
        <w:overflowPunct/>
        <w:topLinePunct w:val="0"/>
        <w:bidi w:val="0"/>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阐释：学校虽处农村，但让师生切身感受到乡土气息给孩子们带来的不同，家长和社区能够体会到不同的教育在乡村换发的独特生命力。</w:t>
      </w:r>
    </w:p>
    <w:p w14:paraId="00F44E63">
      <w:pPr>
        <w:pStyle w:val="4"/>
        <w:keepNext w:val="0"/>
        <w:keepLines w:val="0"/>
        <w:pageBreakBefore w:val="0"/>
        <w:widowControl/>
        <w:kinsoku/>
        <w:wordWrap/>
        <w:overflowPunct/>
        <w:topLinePunct w:val="0"/>
        <w:bidi w:val="0"/>
        <w:spacing w:line="560" w:lineRule="exact"/>
        <w:ind w:firstLine="640" w:firstLineChars="200"/>
        <w:rPr>
          <w:rFonts w:hint="eastAsia" w:ascii="仿宋_GB2312" w:hAnsi="仿宋_GB2312" w:eastAsia="仿宋_GB2312" w:cs="仿宋_GB2312"/>
          <w:kern w:val="2"/>
          <w:sz w:val="32"/>
          <w:szCs w:val="32"/>
        </w:rPr>
      </w:pPr>
      <w:r>
        <w:rPr>
          <w:rFonts w:hint="eastAsia" w:ascii="仿宋_GB2312" w:hAnsi="仿宋_GB2312" w:eastAsia="仿宋_GB2312" w:cs="仿宋_GB2312"/>
          <w:sz w:val="32"/>
          <w:szCs w:val="32"/>
        </w:rPr>
        <w:t>学生培养目标：</w:t>
      </w:r>
      <w:r>
        <w:rPr>
          <w:rFonts w:hint="eastAsia" w:ascii="仿宋_GB2312" w:hAnsi="仿宋_GB2312" w:eastAsia="仿宋_GB2312" w:cs="仿宋_GB2312"/>
          <w:kern w:val="2"/>
          <w:sz w:val="32"/>
          <w:szCs w:val="32"/>
        </w:rPr>
        <w:t>乐学 善思 好问 求真</w:t>
      </w:r>
    </w:p>
    <w:p w14:paraId="56ECBF6E">
      <w:pPr>
        <w:pStyle w:val="4"/>
        <w:keepNext w:val="0"/>
        <w:keepLines w:val="0"/>
        <w:pageBreakBefore w:val="0"/>
        <w:widowControl/>
        <w:kinsoku/>
        <w:wordWrap/>
        <w:overflowPunct/>
        <w:topLinePunct w:val="0"/>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阐释：全面</w:t>
      </w:r>
      <w:r>
        <w:rPr>
          <w:rFonts w:hint="eastAsia" w:ascii="仿宋_GB2312" w:hAnsi="仿宋_GB2312" w:eastAsia="仿宋_GB2312" w:cs="仿宋_GB2312"/>
          <w:sz w:val="32"/>
          <w:szCs w:val="32"/>
        </w:rPr>
        <w:t>落实立德树人根本任务，培养与时俱进的乐于学习、善于思考、勤学好问、追求本真的耿小学子，让每一位“流动的花朵”自信绽放，成为心灵富足、全面发展的人。</w:t>
      </w:r>
    </w:p>
    <w:p w14:paraId="60037DB4">
      <w:pPr>
        <w:pStyle w:val="10"/>
        <w:keepNext w:val="0"/>
        <w:keepLines w:val="0"/>
        <w:pageBreakBefore w:val="0"/>
        <w:kinsoku/>
        <w:wordWrap/>
        <w:overflowPunct/>
        <w:topLinePunct w:val="0"/>
        <w:bidi w:val="0"/>
        <w:adjustRightInd w:val="0"/>
        <w:snapToGrid w:val="0"/>
        <w:spacing w:line="560" w:lineRule="exact"/>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教师发展目标：</w:t>
      </w:r>
      <w:r>
        <w:rPr>
          <w:rFonts w:hint="eastAsia" w:ascii="仿宋_GB2312" w:hAnsi="仿宋_GB2312" w:eastAsia="仿宋_GB2312" w:cs="仿宋_GB2312"/>
          <w:color w:val="auto"/>
          <w:sz w:val="32"/>
          <w:szCs w:val="32"/>
        </w:rPr>
        <w:t>爱生 乐教 进取 奉献</w:t>
      </w:r>
    </w:p>
    <w:p w14:paraId="70C528BB">
      <w:pPr>
        <w:pStyle w:val="10"/>
        <w:keepNext w:val="0"/>
        <w:keepLines w:val="0"/>
        <w:pageBreakBefore w:val="0"/>
        <w:kinsoku/>
        <w:wordWrap/>
        <w:overflowPunct/>
        <w:topLinePunct w:val="0"/>
        <w:bidi w:val="0"/>
        <w:adjustRightInd w:val="0"/>
        <w:snapToGrid w:val="0"/>
        <w:spacing w:line="560" w:lineRule="exact"/>
        <w:ind w:firstLine="640"/>
        <w:rPr>
          <w:rFonts w:hint="eastAsia" w:ascii="仿宋_GB2312" w:hAnsi="仿宋_GB2312" w:eastAsia="仿宋_GB2312" w:cs="仿宋_GB2312"/>
          <w:bCs/>
          <w:color w:val="auto"/>
          <w:sz w:val="32"/>
          <w:szCs w:val="32"/>
        </w:rPr>
      </w:pPr>
      <w:r>
        <w:rPr>
          <w:rFonts w:hint="eastAsia" w:ascii="仿宋_GB2312" w:hAnsi="仿宋_GB2312" w:eastAsia="仿宋_GB2312" w:cs="仿宋_GB2312"/>
          <w:color w:val="auto"/>
          <w:sz w:val="32"/>
          <w:szCs w:val="32"/>
          <w:lang w:val="en-US" w:eastAsia="zh-CN"/>
        </w:rPr>
        <w:t>阐释：</w:t>
      </w:r>
      <w:r>
        <w:rPr>
          <w:rFonts w:hint="eastAsia" w:ascii="仿宋_GB2312" w:hAnsi="仿宋_GB2312" w:eastAsia="仿宋_GB2312" w:cs="仿宋_GB2312"/>
          <w:bCs/>
          <w:color w:val="auto"/>
          <w:sz w:val="32"/>
          <w:szCs w:val="32"/>
        </w:rPr>
        <w:t>着力培养一支有理想信念、有道德情操、有扎实学识、有仁爱之心，教学有特色、科研意识强的教师团队。</w:t>
      </w:r>
    </w:p>
    <w:p w14:paraId="39ABB73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705"/>
        <w:textAlignment w:val="auto"/>
        <w:rPr>
          <w:rFonts w:hint="eastAsia" w:ascii="黑体" w:hAnsi="宋体" w:eastAsia="黑体" w:cs="黑体"/>
          <w:i w:val="0"/>
          <w:iCs w:val="0"/>
          <w:caps w:val="0"/>
          <w:color w:val="000000"/>
          <w:spacing w:val="0"/>
          <w:sz w:val="32"/>
          <w:szCs w:val="32"/>
          <w:lang w:val="en-US" w:eastAsia="zh-CN"/>
        </w:rPr>
      </w:pPr>
      <w:r>
        <w:rPr>
          <w:rFonts w:hint="eastAsia" w:ascii="黑体" w:hAnsi="宋体" w:eastAsia="黑体" w:cs="黑体"/>
          <w:i w:val="0"/>
          <w:iCs w:val="0"/>
          <w:caps w:val="0"/>
          <w:color w:val="000000"/>
          <w:spacing w:val="0"/>
          <w:sz w:val="32"/>
          <w:szCs w:val="32"/>
          <w:lang w:val="en-US" w:eastAsia="zh-CN"/>
        </w:rPr>
        <w:t>三、具体规划与措施</w:t>
      </w:r>
    </w:p>
    <w:p w14:paraId="45635B9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default" w:ascii="楷体" w:hAnsi="楷体" w:eastAsia="楷体" w:cs="楷体"/>
          <w:i w:val="0"/>
          <w:iCs w:val="0"/>
          <w:caps w:val="0"/>
          <w:color w:val="000000"/>
          <w:spacing w:val="0"/>
          <w:sz w:val="32"/>
          <w:szCs w:val="32"/>
          <w:lang w:val="en-US" w:eastAsia="zh-CN"/>
        </w:rPr>
      </w:pPr>
      <w:r>
        <w:rPr>
          <w:rFonts w:hint="eastAsia" w:ascii="楷体" w:hAnsi="楷体" w:eastAsia="楷体" w:cs="楷体"/>
          <w:i w:val="0"/>
          <w:iCs w:val="0"/>
          <w:caps w:val="0"/>
          <w:color w:val="000000"/>
          <w:spacing w:val="0"/>
          <w:sz w:val="32"/>
          <w:szCs w:val="32"/>
          <w:lang w:val="en-US" w:eastAsia="zh-CN"/>
        </w:rPr>
        <w:t>（一）学校常规项目</w:t>
      </w:r>
    </w:p>
    <w:p w14:paraId="45805964">
      <w:pPr>
        <w:keepNext w:val="0"/>
        <w:keepLines w:val="0"/>
        <w:pageBreakBefore w:val="0"/>
        <w:kinsoku/>
        <w:wordWrap/>
        <w:overflowPunct/>
        <w:topLinePunct w:val="0"/>
        <w:bidi w:val="0"/>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1.以文化人，润物无声——加强学校文化建设</w:t>
      </w:r>
    </w:p>
    <w:p w14:paraId="7BCF6C52">
      <w:pPr>
        <w:keepNext w:val="0"/>
        <w:keepLines w:val="0"/>
        <w:pageBreakBefore w:val="0"/>
        <w:kinsoku/>
        <w:wordWrap/>
        <w:overflowPunct/>
        <w:topLinePunct w:val="0"/>
        <w:bidi w:val="0"/>
        <w:spacing w:line="560" w:lineRule="exact"/>
        <w:ind w:firstLine="640" w:firstLineChars="200"/>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工作目标</w:t>
      </w:r>
    </w:p>
    <w:p w14:paraId="5515DD35">
      <w:pPr>
        <w:keepNext w:val="0"/>
        <w:keepLines w:val="0"/>
        <w:pageBreakBefore w:val="0"/>
        <w:kinsoku/>
        <w:wordWrap/>
        <w:overflowPunct/>
        <w:topLinePunct w:val="0"/>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在2022-2025年“博・悦”文化体系初步建成的基础上，进一步深化文化内涵，打造“全员参与、童趣盎然、特色鲜明”的校园文化生态。以学生发展为核心，融合德育、智育、体育、美育和劳动教育，力争用三年时间将学校建设成“环境有温度、活动有活力、制度有温情、师生有归属感”的优质人文校园，让“博・悦”文化成为学校品牌标识与师生成长底色。</w:t>
      </w:r>
    </w:p>
    <w:p w14:paraId="34D78D1E">
      <w:pPr>
        <w:keepNext w:val="0"/>
        <w:keepLines w:val="0"/>
        <w:pageBreakBefore w:val="0"/>
        <w:kinsoku/>
        <w:wordWrap/>
        <w:overflowPunct/>
        <w:topLinePunct w:val="0"/>
        <w:bidi w:val="0"/>
        <w:spacing w:line="560" w:lineRule="exact"/>
        <w:ind w:firstLine="640" w:firstLineChars="200"/>
        <w:rPr>
          <w:rFonts w:hint="default"/>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eastAsia="zh-CN"/>
        </w:rPr>
        <w:t>目标达成标志</w:t>
      </w:r>
    </w:p>
    <w:p w14:paraId="0B5DCF21">
      <w:pPr>
        <w:keepNext w:val="0"/>
        <w:keepLines w:val="0"/>
        <w:pageBreakBefore w:val="0"/>
        <w:kinsoku/>
        <w:wordWrap/>
        <w:overflowPunct/>
        <w:topLinePunct w:val="0"/>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①2025-2026年：文化深化年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完成“博・悦”文化内涵升级，形成“</w:t>
      </w:r>
      <w:r>
        <w:rPr>
          <w:rFonts w:hint="eastAsia" w:ascii="仿宋_GB2312" w:hAnsi="仿宋_GB2312" w:eastAsia="仿宋_GB2312" w:cs="仿宋_GB2312"/>
          <w:sz w:val="32"/>
          <w:szCs w:val="32"/>
          <w:lang w:val="en-US" w:eastAsia="zh-CN"/>
        </w:rPr>
        <w:t>博采众长</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悦行致远</w:t>
      </w:r>
      <w:r>
        <w:rPr>
          <w:rFonts w:hint="eastAsia" w:ascii="仿宋_GB2312" w:hAnsi="仿宋_GB2312" w:eastAsia="仿宋_GB2312" w:cs="仿宋_GB2312"/>
          <w:sz w:val="32"/>
          <w:szCs w:val="32"/>
        </w:rPr>
        <w:t>”的师生行为指南，并融入教学、活动各环节。打造3-5 个“博・悦”特色班级文化样板，建成 1 条“博・悦”主题文化长廊（低年级段），完成校园标识系统优化。建立“师生文化提案”机制，收集并落地师生提出的文化建设建议，提升参与度。</w:t>
      </w:r>
    </w:p>
    <w:p w14:paraId="3A464458">
      <w:pPr>
        <w:keepNext w:val="0"/>
        <w:keepLines w:val="0"/>
        <w:pageBreakBefore w:val="0"/>
        <w:kinsoku/>
        <w:wordWrap/>
        <w:overflowPunct/>
        <w:topLinePunct w:val="0"/>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②2026-2027年：文化赋能年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形成“博・悦”特色课程体系，开发《博闻小课堂》</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悦享劳动课》等校本课程，实现文化与课程深度融合。校园物质文化进一步升级，完成操场“悦动空间”、教学楼“博识角”（中年级段）建设，环境育人功能显著增强。建立“博・悦”文化评价体系，将文化践行情况纳入学生综合素质评价与教师考核，形成良性循环。</w:t>
      </w:r>
    </w:p>
    <w:p w14:paraId="5EE48281">
      <w:pPr>
        <w:keepNext w:val="0"/>
        <w:keepLines w:val="0"/>
        <w:pageBreakBefore w:val="0"/>
        <w:kinsoku/>
        <w:wordWrap/>
        <w:overflowPunct/>
        <w:topLinePunct w:val="0"/>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③2027-2028年：文化辐射年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“博・悦”文化品牌成熟，形成可复制、可推广的经验，产出相关案例或论文。建成“博・悦”文化展示</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（高年级段），系统呈现学校文化建设成果，成为学生文化认同教育的重要阵地。构建“学校-家庭-社区”联动的“博・悦”文化圈，</w:t>
      </w:r>
      <w:r>
        <w:rPr>
          <w:rFonts w:hint="eastAsia" w:ascii="仿宋_GB2312" w:hAnsi="仿宋_GB2312" w:eastAsia="仿宋_GB2312" w:cs="仿宋_GB2312"/>
          <w:sz w:val="32"/>
          <w:szCs w:val="32"/>
          <w:lang w:val="en-US" w:eastAsia="zh-CN"/>
        </w:rPr>
        <w:t>积极</w:t>
      </w:r>
      <w:r>
        <w:rPr>
          <w:rFonts w:hint="eastAsia" w:ascii="仿宋_GB2312" w:hAnsi="仿宋_GB2312" w:eastAsia="仿宋_GB2312" w:cs="仿宋_GB2312"/>
          <w:sz w:val="32"/>
          <w:szCs w:val="32"/>
        </w:rPr>
        <w:t>开展社区文化实践活动，扩大“博・悦”</w:t>
      </w:r>
      <w:r>
        <w:rPr>
          <w:rFonts w:hint="eastAsia" w:ascii="仿宋_GB2312" w:hAnsi="仿宋_GB2312" w:eastAsia="仿宋_GB2312" w:cs="仿宋_GB2312"/>
          <w:sz w:val="32"/>
          <w:szCs w:val="32"/>
          <w:lang w:val="en-US" w:eastAsia="zh-CN"/>
        </w:rPr>
        <w:t>品牌</w:t>
      </w:r>
      <w:r>
        <w:rPr>
          <w:rFonts w:hint="eastAsia" w:ascii="仿宋_GB2312" w:hAnsi="仿宋_GB2312" w:eastAsia="仿宋_GB2312" w:cs="仿宋_GB2312"/>
          <w:sz w:val="32"/>
          <w:szCs w:val="32"/>
        </w:rPr>
        <w:t>文化影响力。</w:t>
      </w:r>
    </w:p>
    <w:p w14:paraId="29B8D521">
      <w:pPr>
        <w:keepNext w:val="0"/>
        <w:keepLines w:val="0"/>
        <w:pageBreakBefore w:val="0"/>
        <w:kinsoku/>
        <w:wordWrap/>
        <w:overflowPunct/>
        <w:topLinePunct w:val="0"/>
        <w:bidi w:val="0"/>
        <w:spacing w:line="560" w:lineRule="exact"/>
        <w:ind w:firstLine="640" w:firstLineChars="200"/>
        <w:rPr>
          <w:rFonts w:hint="default"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lang w:eastAsia="zh-CN"/>
        </w:rPr>
        <w:t>实施措施</w:t>
      </w:r>
    </w:p>
    <w:p w14:paraId="037A35C0">
      <w:pPr>
        <w:keepNext w:val="0"/>
        <w:keepLines w:val="0"/>
        <w:pageBreakBefore w:val="0"/>
        <w:kinsoku/>
        <w:wordWrap/>
        <w:overflowPunct/>
        <w:topLinePunct w:val="0"/>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①深化“博・悦”文化内涵，筑牢精神根基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组织师生、家长共同修订“博・悦”文化解读手册，结合新时代教育要求，明确“博”包含“爱阅读、善</w:t>
      </w:r>
      <w:r>
        <w:rPr>
          <w:rFonts w:hint="eastAsia" w:ascii="仿宋_GB2312" w:hAnsi="仿宋_GB2312" w:eastAsia="仿宋_GB2312" w:cs="仿宋_GB2312"/>
          <w:sz w:val="32"/>
          <w:szCs w:val="32"/>
          <w:lang w:val="en-US" w:eastAsia="zh-CN"/>
        </w:rPr>
        <w:t>思考</w:t>
      </w:r>
      <w:r>
        <w:rPr>
          <w:rFonts w:hint="eastAsia" w:ascii="仿宋_GB2312" w:hAnsi="仿宋_GB2312" w:eastAsia="仿宋_GB2312" w:cs="仿宋_GB2312"/>
          <w:sz w:val="32"/>
          <w:szCs w:val="32"/>
        </w:rPr>
        <w:t>、广见识”，“悦”包含“悦学习、悦合作、悦成长”，让文化理念更贴近小学生认知。开展“博・悦”主题系列活动，如“博学小达人”知识竞赛、“悦己悦人”故事分享会、“博・悦”文化节，让文化理念通过活动入脑入心。</w:t>
      </w:r>
    </w:p>
    <w:p w14:paraId="26A765E5">
      <w:pPr>
        <w:keepNext w:val="0"/>
        <w:keepLines w:val="0"/>
        <w:pageBreakBefore w:val="0"/>
        <w:kinsoku/>
        <w:wordWrap/>
        <w:overflowPunct/>
        <w:topLinePunct w:val="0"/>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②优化物质文化环境，打造童趣空间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结合小学生年龄特点，分层设计校园环境：低年级段侧重色彩明快的卡通化</w:t>
      </w:r>
      <w:r>
        <w:rPr>
          <w:rFonts w:hint="eastAsia" w:ascii="仿宋_GB2312" w:hAnsi="仿宋_GB2312" w:eastAsia="仿宋_GB2312" w:cs="仿宋_GB2312"/>
          <w:sz w:val="32"/>
          <w:szCs w:val="32"/>
          <w:lang w:val="en-US" w:eastAsia="zh-CN"/>
        </w:rPr>
        <w:t>主题</w:t>
      </w:r>
      <w:r>
        <w:rPr>
          <w:rFonts w:hint="eastAsia" w:ascii="仿宋_GB2312" w:hAnsi="仿宋_GB2312" w:eastAsia="仿宋_GB2312" w:cs="仿宋_GB2312"/>
          <w:sz w:val="32"/>
          <w:szCs w:val="32"/>
        </w:rPr>
        <w:t>文化墙、安全温馨的游戏式活动区；中年级段打造科普类“博识角”、合作式学习空间；高年级段建设书香型阅读区、展示型成果墙，让环境适配学生成长需求。推进“班级文化个性化”建设，指导各班围绕“博・悦”主题，自主设计班级公约、文化角、荣誉墙</w:t>
      </w:r>
      <w:r>
        <w:rPr>
          <w:rFonts w:hint="eastAsia" w:ascii="仿宋_GB2312" w:hAnsi="仿宋_GB2312" w:eastAsia="仿宋_GB2312" w:cs="仿宋_GB2312"/>
          <w:sz w:val="32"/>
          <w:szCs w:val="32"/>
          <w:lang w:val="en-US" w:eastAsia="zh-CN"/>
        </w:rPr>
        <w:t>等</w:t>
      </w:r>
      <w:r>
        <w:rPr>
          <w:rFonts w:hint="eastAsia" w:ascii="仿宋_GB2312" w:hAnsi="仿宋_GB2312" w:eastAsia="仿宋_GB2312" w:cs="仿宋_GB2312"/>
          <w:sz w:val="32"/>
          <w:szCs w:val="32"/>
        </w:rPr>
        <w:t>，每学期开展“最美班级”评选，激发班级文化活力。</w:t>
      </w:r>
    </w:p>
    <w:p w14:paraId="7E8CA197">
      <w:pPr>
        <w:keepNext w:val="0"/>
        <w:keepLines w:val="0"/>
        <w:pageBreakBefore w:val="0"/>
        <w:kinsoku/>
        <w:wordWrap/>
        <w:overflowPunct/>
        <w:topLinePunct w:val="0"/>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③完善制度文化建设，注入人文温度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sz w:val="32"/>
          <w:szCs w:val="32"/>
        </w:rPr>
        <w:t>修订学校管理制度，在考勤、奖惩、教学常规等制度中融入“悦纳包容”理念，减少刚性惩罚，增加激励性评价。建立“师生议事会”制度，每月邀请学生代表、教师代表共同讨论校园文化建设、活动安排等事项，让制度制定更贴合师生需求，提升制度认同感。</w:t>
      </w:r>
    </w:p>
    <w:p w14:paraId="57CB5D55">
      <w:pPr>
        <w:keepNext w:val="0"/>
        <w:keepLines w:val="0"/>
        <w:pageBreakBefore w:val="0"/>
        <w:kinsoku/>
        <w:wordWrap/>
        <w:overflowPunct/>
        <w:topLinePunct w:val="0"/>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④丰富活动文化载体，实现五育融合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常规活动提质：将升旗仪式、班会与“博・悦”文化结合，如周一升旗仪式增设“博・悦”榜样宣讲环节，班会开展“我的博学小目标”“悦享合作小任务”等主题活动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特色活动创新：每学期举办“博・悦”科技周（如“小小发明家”比赛）、艺术周（如“悦绘校园”绘画展）、劳动周（如“悦享丰收”种植实践），将五育要求融入活动，促进学生全面发展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延伸活动拓展：联合家长开展“博・悦”亲子活动（如亲子共读、亲子公益），联动社区开展“博・悦”实践活动（如参观博物馆、社区服务），构建“家</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校</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社”文化育人共同体。</w:t>
      </w:r>
    </w:p>
    <w:p w14:paraId="4EB97E53">
      <w:pPr>
        <w:keepNext w:val="0"/>
        <w:keepLines w:val="0"/>
        <w:pageBreakBefore w:val="0"/>
        <w:kinsoku/>
        <w:wordWrap/>
        <w:overflowPunct/>
        <w:topLinePunct w:val="0"/>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⑤强化组织与资源保障，确保落地见效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建立</w:t>
      </w:r>
      <w:r>
        <w:rPr>
          <w:rFonts w:hint="eastAsia" w:ascii="仿宋_GB2312" w:hAnsi="仿宋_GB2312" w:eastAsia="仿宋_GB2312" w:cs="仿宋_GB2312"/>
          <w:sz w:val="32"/>
          <w:szCs w:val="32"/>
        </w:rPr>
        <w:t>文化建设工作领导小组，定期召开工作会议，统筹推进文化建设任务，及时解决问题。加大资源投入，每年将</w:t>
      </w:r>
      <w:r>
        <w:rPr>
          <w:rFonts w:hint="eastAsia" w:ascii="仿宋_GB2312" w:hAnsi="仿宋_GB2312" w:eastAsia="仿宋_GB2312" w:cs="仿宋_GB2312"/>
          <w:sz w:val="32"/>
          <w:szCs w:val="32"/>
          <w:lang w:val="en-US" w:eastAsia="zh-CN"/>
        </w:rPr>
        <w:t>部分</w:t>
      </w:r>
      <w:r>
        <w:rPr>
          <w:rFonts w:hint="eastAsia" w:ascii="仿宋_GB2312" w:hAnsi="仿宋_GB2312" w:eastAsia="仿宋_GB2312" w:cs="仿宋_GB2312"/>
          <w:sz w:val="32"/>
          <w:szCs w:val="32"/>
        </w:rPr>
        <w:t>学校经费用于文化建设，重点支持校本课程开发、环境改造、活动开展；同时鼓励社会资源参与，如邀请文化志愿者进校园开展讲座、指导活动。加强教师文化素养培训，</w:t>
      </w:r>
      <w:r>
        <w:rPr>
          <w:rFonts w:hint="eastAsia" w:ascii="仿宋_GB2312" w:hAnsi="仿宋_GB2312" w:eastAsia="仿宋_GB2312" w:cs="仿宋_GB2312"/>
          <w:sz w:val="32"/>
          <w:szCs w:val="32"/>
          <w:lang w:val="en-US" w:eastAsia="zh-CN"/>
        </w:rPr>
        <w:t>定</w:t>
      </w:r>
      <w:r>
        <w:rPr>
          <w:rFonts w:hint="eastAsia" w:ascii="仿宋_GB2312" w:hAnsi="仿宋_GB2312" w:eastAsia="仿宋_GB2312" w:cs="仿宋_GB2312"/>
          <w:sz w:val="32"/>
          <w:szCs w:val="32"/>
        </w:rPr>
        <w:t>期组织“博・悦”文化专题培训（如文化融入教学的方法、班级文化建设技巧），提升教师文化育人能力；鼓励教师开展文化建设相关课题研究，</w:t>
      </w:r>
      <w:r>
        <w:rPr>
          <w:rFonts w:hint="eastAsia" w:ascii="仿宋_GB2312" w:hAnsi="仿宋_GB2312" w:eastAsia="仿宋_GB2312" w:cs="仿宋_GB2312"/>
          <w:sz w:val="32"/>
          <w:szCs w:val="32"/>
          <w:lang w:val="en-US" w:eastAsia="zh-CN"/>
        </w:rPr>
        <w:t>形成</w:t>
      </w:r>
      <w:r>
        <w:rPr>
          <w:rFonts w:hint="eastAsia" w:ascii="仿宋_GB2312" w:hAnsi="仿宋_GB2312" w:eastAsia="仿宋_GB2312" w:cs="仿宋_GB2312"/>
          <w:sz w:val="32"/>
          <w:szCs w:val="32"/>
        </w:rPr>
        <w:t>研究成果。</w:t>
      </w:r>
    </w:p>
    <w:p w14:paraId="06498BD0">
      <w:pPr>
        <w:pStyle w:val="10"/>
        <w:keepNext w:val="0"/>
        <w:keepLines w:val="0"/>
        <w:pageBreakBefore w:val="0"/>
        <w:kinsoku/>
        <w:wordWrap/>
        <w:overflowPunct/>
        <w:topLinePunct w:val="0"/>
        <w:bidi w:val="0"/>
        <w:adjustRightInd w:val="0"/>
        <w:snapToGrid w:val="0"/>
        <w:spacing w:line="560" w:lineRule="exact"/>
        <w:ind w:firstLine="64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lang w:val="en-US" w:eastAsia="zh-CN"/>
        </w:rPr>
        <w:t>2</w:t>
      </w:r>
      <w:r>
        <w:rPr>
          <w:rFonts w:hint="eastAsia" w:ascii="仿宋_GB2312" w:hAnsi="仿宋_GB2312" w:eastAsia="仿宋_GB2312" w:cs="仿宋_GB2312"/>
          <w:bCs/>
          <w:color w:val="auto"/>
          <w:sz w:val="32"/>
          <w:szCs w:val="32"/>
        </w:rPr>
        <w:t>.创新创优党建工作——构建“党建引领育人”新格局</w:t>
      </w:r>
    </w:p>
    <w:p w14:paraId="44A0D9FC">
      <w:pPr>
        <w:pStyle w:val="3"/>
        <w:keepNext w:val="0"/>
        <w:keepLines w:val="0"/>
        <w:pageBreakBefore w:val="0"/>
        <w:kinsoku/>
        <w:wordWrap/>
        <w:overflowPunct/>
        <w:topLinePunct w:val="0"/>
        <w:bidi w:val="0"/>
        <w:adjustRightInd w:val="0"/>
        <w:snapToGrid w:val="0"/>
        <w:spacing w:line="560" w:lineRule="exact"/>
        <w:ind w:firstLine="739" w:firstLineChars="231"/>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（1）工作目标</w:t>
      </w:r>
    </w:p>
    <w:p w14:paraId="410B036A">
      <w:pPr>
        <w:pStyle w:val="10"/>
        <w:keepNext w:val="0"/>
        <w:keepLines w:val="0"/>
        <w:pageBreakBefore w:val="0"/>
        <w:kinsoku/>
        <w:wordWrap/>
        <w:overflowPunct/>
        <w:topLinePunct w:val="0"/>
        <w:bidi w:val="0"/>
        <w:adjustRightInd w:val="0"/>
        <w:snapToGrid w:val="0"/>
        <w:spacing w:line="560" w:lineRule="exact"/>
        <w:ind w:firstLine="64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sz w:val="32"/>
          <w:szCs w:val="32"/>
        </w:rPr>
        <w:fldChar w:fldCharType="begin"/>
      </w:r>
      <w:r>
        <w:rPr>
          <w:rFonts w:hint="eastAsia" w:ascii="仿宋_GB2312" w:hAnsi="仿宋_GB2312" w:eastAsia="仿宋_GB2312" w:cs="仿宋_GB2312"/>
          <w:bCs/>
          <w:sz w:val="32"/>
          <w:szCs w:val="32"/>
        </w:rPr>
        <w:instrText xml:space="preserve"> = 1 \* GB3 </w:instrText>
      </w:r>
      <w:r>
        <w:rPr>
          <w:rFonts w:hint="eastAsia" w:ascii="仿宋_GB2312" w:hAnsi="仿宋_GB2312" w:eastAsia="仿宋_GB2312" w:cs="仿宋_GB2312"/>
          <w:bCs/>
          <w:sz w:val="32"/>
          <w:szCs w:val="32"/>
        </w:rPr>
        <w:fldChar w:fldCharType="separate"/>
      </w:r>
      <w:r>
        <w:rPr>
          <w:rFonts w:hint="eastAsia" w:ascii="仿宋_GB2312" w:hAnsi="仿宋_GB2312" w:eastAsia="仿宋_GB2312" w:cs="仿宋_GB2312"/>
          <w:bCs/>
          <w:sz w:val="32"/>
          <w:szCs w:val="32"/>
        </w:rPr>
        <w:t>①</w:t>
      </w:r>
      <w:r>
        <w:rPr>
          <w:rFonts w:hint="eastAsia" w:ascii="仿宋_GB2312" w:hAnsi="仿宋_GB2312" w:eastAsia="仿宋_GB2312" w:cs="仿宋_GB2312"/>
          <w:bCs/>
          <w:sz w:val="32"/>
          <w:szCs w:val="32"/>
        </w:rPr>
        <w:fldChar w:fldCharType="end"/>
      </w:r>
      <w:r>
        <w:rPr>
          <w:rFonts w:hint="eastAsia" w:ascii="仿宋_GB2312" w:hAnsi="仿宋_GB2312" w:eastAsia="仿宋_GB2312" w:cs="仿宋_GB2312"/>
          <w:bCs/>
          <w:color w:val="auto"/>
          <w:sz w:val="32"/>
          <w:szCs w:val="32"/>
        </w:rPr>
        <w:t>完善党建工作制度体系，规范组织生活流程，提升党员基本素养，初步形成“党建+师德”工作雏形。</w:t>
      </w:r>
    </w:p>
    <w:p w14:paraId="279B62DB">
      <w:pPr>
        <w:pStyle w:val="10"/>
        <w:keepNext w:val="0"/>
        <w:keepLines w:val="0"/>
        <w:pageBreakBefore w:val="0"/>
        <w:kinsoku/>
        <w:wordWrap/>
        <w:overflowPunct/>
        <w:topLinePunct w:val="0"/>
        <w:bidi w:val="0"/>
        <w:adjustRightInd w:val="0"/>
        <w:snapToGrid w:val="0"/>
        <w:spacing w:line="560" w:lineRule="exact"/>
        <w:ind w:firstLine="640"/>
        <w:rPr>
          <w:rFonts w:hint="eastAsia" w:ascii="仿宋_GB2312" w:hAnsi="仿宋_GB2312" w:eastAsia="仿宋_GB2312" w:cs="仿宋_GB2312"/>
          <w:bCs/>
          <w:color w:val="auto"/>
          <w:sz w:val="32"/>
          <w:szCs w:val="32"/>
          <w:lang w:eastAsia="zh-CN"/>
        </w:rPr>
      </w:pPr>
      <w:r>
        <w:rPr>
          <w:rFonts w:hint="eastAsia" w:ascii="仿宋_GB2312" w:hAnsi="仿宋_GB2312" w:eastAsia="仿宋_GB2312" w:cs="仿宋_GB2312"/>
          <w:bCs/>
          <w:sz w:val="32"/>
          <w:szCs w:val="32"/>
        </w:rPr>
        <w:fldChar w:fldCharType="begin"/>
      </w:r>
      <w:r>
        <w:rPr>
          <w:rFonts w:hint="eastAsia" w:ascii="仿宋_GB2312" w:hAnsi="仿宋_GB2312" w:eastAsia="仿宋_GB2312" w:cs="仿宋_GB2312"/>
          <w:bCs/>
          <w:sz w:val="32"/>
          <w:szCs w:val="32"/>
        </w:rPr>
        <w:instrText xml:space="preserve"> = 2 \* GB3 </w:instrText>
      </w:r>
      <w:r>
        <w:rPr>
          <w:rFonts w:hint="eastAsia" w:ascii="仿宋_GB2312" w:hAnsi="仿宋_GB2312" w:eastAsia="仿宋_GB2312" w:cs="仿宋_GB2312"/>
          <w:bCs/>
          <w:sz w:val="32"/>
          <w:szCs w:val="32"/>
        </w:rPr>
        <w:fldChar w:fldCharType="separate"/>
      </w:r>
      <w:r>
        <w:rPr>
          <w:rFonts w:hint="eastAsia" w:ascii="仿宋_GB2312" w:hAnsi="仿宋_GB2312" w:eastAsia="仿宋_GB2312" w:cs="仿宋_GB2312"/>
          <w:bCs/>
          <w:sz w:val="32"/>
          <w:szCs w:val="32"/>
        </w:rPr>
        <w:t>②</w:t>
      </w:r>
      <w:r>
        <w:rPr>
          <w:rFonts w:hint="eastAsia" w:ascii="仿宋_GB2312" w:hAnsi="仿宋_GB2312" w:eastAsia="仿宋_GB2312" w:cs="仿宋_GB2312"/>
          <w:bCs/>
          <w:sz w:val="32"/>
          <w:szCs w:val="32"/>
        </w:rPr>
        <w:fldChar w:fldCharType="end"/>
      </w:r>
      <w:r>
        <w:rPr>
          <w:rFonts w:hint="eastAsia" w:ascii="仿宋_GB2312" w:hAnsi="仿宋_GB2312" w:eastAsia="仿宋_GB2312" w:cs="仿宋_GB2312"/>
          <w:bCs/>
          <w:color w:val="auto"/>
          <w:sz w:val="32"/>
          <w:szCs w:val="32"/>
        </w:rPr>
        <w:t>培育“党建+”特色品牌，发挥党员先锋模范作用，推动党建与教育教学、德育工作深度融合</w:t>
      </w:r>
      <w:r>
        <w:rPr>
          <w:rFonts w:hint="eastAsia" w:ascii="仿宋_GB2312" w:hAnsi="仿宋_GB2312" w:eastAsia="仿宋_GB2312" w:cs="仿宋_GB2312"/>
          <w:bCs/>
          <w:color w:val="auto"/>
          <w:sz w:val="32"/>
          <w:szCs w:val="32"/>
          <w:lang w:eastAsia="zh-CN"/>
        </w:rPr>
        <w:t>。</w:t>
      </w:r>
    </w:p>
    <w:p w14:paraId="5E49B230">
      <w:pPr>
        <w:pStyle w:val="10"/>
        <w:keepNext w:val="0"/>
        <w:keepLines w:val="0"/>
        <w:pageBreakBefore w:val="0"/>
        <w:kinsoku/>
        <w:wordWrap/>
        <w:overflowPunct/>
        <w:topLinePunct w:val="0"/>
        <w:bidi w:val="0"/>
        <w:adjustRightInd w:val="0"/>
        <w:snapToGrid w:val="0"/>
        <w:spacing w:line="560" w:lineRule="exact"/>
        <w:ind w:firstLine="64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sz w:val="32"/>
          <w:szCs w:val="32"/>
        </w:rPr>
        <w:fldChar w:fldCharType="begin"/>
      </w:r>
      <w:r>
        <w:rPr>
          <w:rFonts w:hint="eastAsia" w:ascii="仿宋_GB2312" w:hAnsi="仿宋_GB2312" w:eastAsia="仿宋_GB2312" w:cs="仿宋_GB2312"/>
          <w:bCs/>
          <w:sz w:val="32"/>
          <w:szCs w:val="32"/>
        </w:rPr>
        <w:instrText xml:space="preserve"> = 3 \* GB3 </w:instrText>
      </w:r>
      <w:r>
        <w:rPr>
          <w:rFonts w:hint="eastAsia" w:ascii="仿宋_GB2312" w:hAnsi="仿宋_GB2312" w:eastAsia="仿宋_GB2312" w:cs="仿宋_GB2312"/>
          <w:bCs/>
          <w:sz w:val="32"/>
          <w:szCs w:val="32"/>
        </w:rPr>
        <w:fldChar w:fldCharType="separate"/>
      </w:r>
      <w:r>
        <w:rPr>
          <w:rFonts w:hint="eastAsia" w:ascii="仿宋_GB2312" w:hAnsi="仿宋_GB2312" w:eastAsia="仿宋_GB2312" w:cs="仿宋_GB2312"/>
          <w:bCs/>
          <w:sz w:val="32"/>
          <w:szCs w:val="32"/>
        </w:rPr>
        <w:t>③</w:t>
      </w:r>
      <w:r>
        <w:rPr>
          <w:rFonts w:hint="eastAsia" w:ascii="仿宋_GB2312" w:hAnsi="仿宋_GB2312" w:eastAsia="仿宋_GB2312" w:cs="仿宋_GB2312"/>
          <w:bCs/>
          <w:sz w:val="32"/>
          <w:szCs w:val="32"/>
        </w:rPr>
        <w:fldChar w:fldCharType="end"/>
      </w:r>
      <w:r>
        <w:rPr>
          <w:rFonts w:hint="eastAsia" w:ascii="仿宋_GB2312" w:hAnsi="仿宋_GB2312" w:eastAsia="仿宋_GB2312" w:cs="仿宋_GB2312"/>
          <w:bCs/>
          <w:color w:val="auto"/>
          <w:sz w:val="32"/>
          <w:szCs w:val="32"/>
        </w:rPr>
        <w:t>建成区级“红色校园”党建品牌，党员队伍成为学校发展的核心力量，党建工作对教育教学的引领作用显著增强。</w:t>
      </w:r>
    </w:p>
    <w:p w14:paraId="03822012">
      <w:pPr>
        <w:pStyle w:val="3"/>
        <w:keepNext w:val="0"/>
        <w:keepLines w:val="0"/>
        <w:pageBreakBefore w:val="0"/>
        <w:kinsoku/>
        <w:wordWrap/>
        <w:overflowPunct/>
        <w:topLinePunct w:val="0"/>
        <w:bidi w:val="0"/>
        <w:adjustRightInd w:val="0"/>
        <w:snapToGrid w:val="0"/>
        <w:spacing w:line="560" w:lineRule="exact"/>
        <w:ind w:firstLine="739" w:firstLineChars="231"/>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（2）目标达成标志</w:t>
      </w:r>
    </w:p>
    <w:p w14:paraId="39B38C07">
      <w:pPr>
        <w:pStyle w:val="3"/>
        <w:keepNext w:val="0"/>
        <w:keepLines w:val="0"/>
        <w:pageBreakBefore w:val="0"/>
        <w:kinsoku/>
        <w:wordWrap/>
        <w:overflowPunct/>
        <w:topLinePunct w:val="0"/>
        <w:bidi w:val="0"/>
        <w:adjustRightInd w:val="0"/>
        <w:snapToGrid w:val="0"/>
        <w:spacing w:line="560" w:lineRule="exact"/>
        <w:ind w:firstLine="739" w:firstLineChars="231"/>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fldChar w:fldCharType="begin"/>
      </w:r>
      <w:r>
        <w:rPr>
          <w:rFonts w:hint="eastAsia" w:ascii="仿宋_GB2312" w:hAnsi="仿宋_GB2312" w:eastAsia="仿宋_GB2312" w:cs="仿宋_GB2312"/>
          <w:bCs/>
          <w:sz w:val="32"/>
          <w:szCs w:val="32"/>
        </w:rPr>
        <w:instrText xml:space="preserve"> = 1 \* GB3 </w:instrText>
      </w:r>
      <w:r>
        <w:rPr>
          <w:rFonts w:hint="eastAsia" w:ascii="仿宋_GB2312" w:hAnsi="仿宋_GB2312" w:eastAsia="仿宋_GB2312" w:cs="仿宋_GB2312"/>
          <w:bCs/>
          <w:sz w:val="32"/>
          <w:szCs w:val="32"/>
        </w:rPr>
        <w:fldChar w:fldCharType="separate"/>
      </w:r>
      <w:r>
        <w:rPr>
          <w:rFonts w:hint="eastAsia" w:ascii="仿宋_GB2312" w:hAnsi="仿宋_GB2312" w:eastAsia="仿宋_GB2312" w:cs="仿宋_GB2312"/>
          <w:bCs/>
          <w:sz w:val="32"/>
          <w:szCs w:val="32"/>
        </w:rPr>
        <w:t>①</w:t>
      </w:r>
      <w:r>
        <w:rPr>
          <w:rFonts w:hint="eastAsia" w:ascii="仿宋_GB2312" w:hAnsi="仿宋_GB2312" w:eastAsia="仿宋_GB2312" w:cs="仿宋_GB2312"/>
          <w:bCs/>
          <w:sz w:val="32"/>
          <w:szCs w:val="32"/>
        </w:rPr>
        <w:fldChar w:fldCharType="end"/>
      </w:r>
      <w:r>
        <w:rPr>
          <w:rFonts w:hint="eastAsia" w:ascii="仿宋_GB2312" w:hAnsi="仿宋_GB2312" w:eastAsia="仿宋_GB2312" w:cs="仿宋_GB2312"/>
          <w:bCs/>
          <w:sz w:val="32"/>
          <w:szCs w:val="32"/>
        </w:rPr>
        <w:t>202</w:t>
      </w:r>
      <w:r>
        <w:rPr>
          <w:rFonts w:hint="eastAsia" w:ascii="仿宋_GB2312" w:hAnsi="仿宋_GB2312" w:eastAsia="仿宋_GB2312" w:cs="仿宋_GB2312"/>
          <w:bCs/>
          <w:sz w:val="32"/>
          <w:szCs w:val="32"/>
          <w:lang w:val="en-US" w:eastAsia="zh-CN"/>
        </w:rPr>
        <w:t>5</w:t>
      </w:r>
      <w:r>
        <w:rPr>
          <w:rFonts w:hint="eastAsia" w:ascii="仿宋_GB2312" w:hAnsi="仿宋_GB2312" w:eastAsia="仿宋_GB2312" w:cs="仿宋_GB2312"/>
          <w:bCs/>
          <w:sz w:val="32"/>
          <w:szCs w:val="32"/>
        </w:rPr>
        <w:t>-202</w:t>
      </w:r>
      <w:r>
        <w:rPr>
          <w:rFonts w:hint="eastAsia" w:ascii="仿宋_GB2312" w:hAnsi="仿宋_GB2312" w:eastAsia="仿宋_GB2312" w:cs="仿宋_GB2312"/>
          <w:bCs/>
          <w:sz w:val="32"/>
          <w:szCs w:val="32"/>
          <w:lang w:val="en-US" w:eastAsia="zh-CN"/>
        </w:rPr>
        <w:t>6</w:t>
      </w:r>
      <w:r>
        <w:rPr>
          <w:rFonts w:hint="eastAsia" w:ascii="仿宋_GB2312" w:hAnsi="仿宋_GB2312" w:eastAsia="仿宋_GB2312" w:cs="仿宋_GB2312"/>
          <w:bCs/>
          <w:sz w:val="32"/>
          <w:szCs w:val="32"/>
        </w:rPr>
        <w:t>年：</w:t>
      </w:r>
      <w:r>
        <w:rPr>
          <w:rFonts w:hint="eastAsia" w:ascii="仿宋_GB2312" w:hAnsi="仿宋_GB2312" w:eastAsia="仿宋_GB2312" w:cs="仿宋_GB2312"/>
          <w:bCs/>
          <w:color w:val="auto"/>
          <w:sz w:val="32"/>
          <w:szCs w:val="32"/>
        </w:rPr>
        <w:t>出台《</w:t>
      </w:r>
      <w:r>
        <w:rPr>
          <w:rFonts w:hint="eastAsia" w:ascii="仿宋_GB2312" w:hAnsi="仿宋_GB2312" w:eastAsia="仿宋_GB2312" w:cs="仿宋_GB2312"/>
          <w:bCs/>
          <w:color w:val="auto"/>
          <w:sz w:val="32"/>
          <w:szCs w:val="32"/>
          <w:lang w:val="en-US" w:eastAsia="zh-CN"/>
        </w:rPr>
        <w:t>耿家</w:t>
      </w:r>
      <w:r>
        <w:rPr>
          <w:rFonts w:hint="eastAsia" w:ascii="仿宋_GB2312" w:hAnsi="仿宋_GB2312" w:eastAsia="仿宋_GB2312" w:cs="仿宋_GB2312"/>
          <w:bCs/>
          <w:color w:val="auto"/>
          <w:sz w:val="32"/>
          <w:szCs w:val="32"/>
        </w:rPr>
        <w:t>小学党建工作标准化手册》，涵盖“三会一课”、组织生活会等核心制度。党员教师师德考核</w:t>
      </w:r>
      <w:r>
        <w:rPr>
          <w:rFonts w:hint="eastAsia" w:ascii="仿宋_GB2312" w:hAnsi="仿宋_GB2312" w:eastAsia="仿宋_GB2312" w:cs="仿宋_GB2312"/>
          <w:bCs/>
          <w:color w:val="auto"/>
          <w:sz w:val="32"/>
          <w:szCs w:val="32"/>
          <w:lang w:val="en-US" w:eastAsia="zh-CN"/>
        </w:rPr>
        <w:t>优秀</w:t>
      </w:r>
      <w:r>
        <w:rPr>
          <w:rFonts w:hint="eastAsia" w:ascii="仿宋_GB2312" w:hAnsi="仿宋_GB2312" w:eastAsia="仿宋_GB2312" w:cs="仿宋_GB2312"/>
          <w:bCs/>
          <w:color w:val="auto"/>
          <w:sz w:val="32"/>
          <w:szCs w:val="32"/>
        </w:rPr>
        <w:t>率</w:t>
      </w:r>
      <w:r>
        <w:rPr>
          <w:rFonts w:hint="eastAsia" w:ascii="仿宋_GB2312" w:hAnsi="仿宋_GB2312" w:eastAsia="仿宋_GB2312" w:cs="仿宋_GB2312"/>
          <w:bCs/>
          <w:color w:val="auto"/>
          <w:sz w:val="32"/>
          <w:szCs w:val="32"/>
          <w:lang w:val="en-US" w:eastAsia="zh-CN"/>
        </w:rPr>
        <w:t>达到50</w:t>
      </w:r>
      <w:r>
        <w:rPr>
          <w:rFonts w:hint="eastAsia" w:ascii="仿宋_GB2312" w:hAnsi="仿宋_GB2312" w:eastAsia="仿宋_GB2312" w:cs="仿宋_GB2312"/>
          <w:bCs/>
          <w:color w:val="auto"/>
          <w:sz w:val="32"/>
          <w:szCs w:val="32"/>
        </w:rPr>
        <w:t>%</w:t>
      </w:r>
      <w:r>
        <w:rPr>
          <w:rFonts w:hint="eastAsia" w:ascii="仿宋_GB2312" w:hAnsi="仿宋_GB2312" w:eastAsia="仿宋_GB2312" w:cs="仿宋_GB2312"/>
          <w:bCs/>
          <w:color w:val="auto"/>
          <w:sz w:val="32"/>
          <w:szCs w:val="32"/>
          <w:lang w:val="en-US" w:eastAsia="zh-CN"/>
        </w:rPr>
        <w:t>以上</w:t>
      </w:r>
      <w:r>
        <w:rPr>
          <w:rFonts w:hint="eastAsia" w:ascii="仿宋_GB2312" w:hAnsi="仿宋_GB2312" w:eastAsia="仿宋_GB2312" w:cs="仿宋_GB2312"/>
          <w:bCs/>
          <w:color w:val="auto"/>
          <w:sz w:val="32"/>
          <w:szCs w:val="32"/>
        </w:rPr>
        <w:t>，无师德违规行为。</w:t>
      </w:r>
    </w:p>
    <w:p w14:paraId="30B8ADBB">
      <w:pPr>
        <w:pStyle w:val="10"/>
        <w:keepNext w:val="0"/>
        <w:keepLines w:val="0"/>
        <w:pageBreakBefore w:val="0"/>
        <w:kinsoku/>
        <w:wordWrap/>
        <w:overflowPunct/>
        <w:topLinePunct w:val="0"/>
        <w:bidi w:val="0"/>
        <w:adjustRightInd w:val="0"/>
        <w:snapToGrid w:val="0"/>
        <w:spacing w:line="560" w:lineRule="exact"/>
        <w:ind w:firstLine="64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fldChar w:fldCharType="begin"/>
      </w:r>
      <w:r>
        <w:rPr>
          <w:rFonts w:hint="eastAsia" w:ascii="仿宋_GB2312" w:hAnsi="仿宋_GB2312" w:eastAsia="仿宋_GB2312" w:cs="仿宋_GB2312"/>
          <w:bCs/>
          <w:sz w:val="32"/>
          <w:szCs w:val="32"/>
        </w:rPr>
        <w:instrText xml:space="preserve"> = 2 \* GB3 </w:instrText>
      </w:r>
      <w:r>
        <w:rPr>
          <w:rFonts w:hint="eastAsia" w:ascii="仿宋_GB2312" w:hAnsi="仿宋_GB2312" w:eastAsia="仿宋_GB2312" w:cs="仿宋_GB2312"/>
          <w:bCs/>
          <w:sz w:val="32"/>
          <w:szCs w:val="32"/>
        </w:rPr>
        <w:fldChar w:fldCharType="separate"/>
      </w:r>
      <w:r>
        <w:rPr>
          <w:rFonts w:hint="eastAsia" w:ascii="仿宋_GB2312" w:hAnsi="仿宋_GB2312" w:eastAsia="仿宋_GB2312" w:cs="仿宋_GB2312"/>
          <w:bCs/>
          <w:sz w:val="32"/>
          <w:szCs w:val="32"/>
        </w:rPr>
        <w:t>②</w:t>
      </w:r>
      <w:r>
        <w:rPr>
          <w:rFonts w:hint="eastAsia" w:ascii="仿宋_GB2312" w:hAnsi="仿宋_GB2312" w:eastAsia="仿宋_GB2312" w:cs="仿宋_GB2312"/>
          <w:bCs/>
          <w:sz w:val="32"/>
          <w:szCs w:val="32"/>
        </w:rPr>
        <w:fldChar w:fldCharType="end"/>
      </w:r>
      <w:r>
        <w:rPr>
          <w:rFonts w:hint="eastAsia" w:ascii="仿宋_GB2312" w:hAnsi="仿宋_GB2312" w:eastAsia="仿宋_GB2312" w:cs="仿宋_GB2312"/>
          <w:bCs/>
          <w:sz w:val="32"/>
          <w:szCs w:val="32"/>
        </w:rPr>
        <w:t>202</w:t>
      </w:r>
      <w:r>
        <w:rPr>
          <w:rFonts w:hint="eastAsia" w:ascii="仿宋_GB2312" w:hAnsi="仿宋_GB2312" w:eastAsia="仿宋_GB2312" w:cs="仿宋_GB2312"/>
          <w:bCs/>
          <w:sz w:val="32"/>
          <w:szCs w:val="32"/>
          <w:lang w:val="en-US" w:eastAsia="zh-CN"/>
        </w:rPr>
        <w:t>6</w:t>
      </w:r>
      <w:r>
        <w:rPr>
          <w:rFonts w:hint="eastAsia" w:ascii="仿宋_GB2312" w:hAnsi="仿宋_GB2312" w:eastAsia="仿宋_GB2312" w:cs="仿宋_GB2312"/>
          <w:bCs/>
          <w:sz w:val="32"/>
          <w:szCs w:val="32"/>
        </w:rPr>
        <w:t>-202</w:t>
      </w:r>
      <w:r>
        <w:rPr>
          <w:rFonts w:hint="eastAsia" w:ascii="仿宋_GB2312" w:hAnsi="仿宋_GB2312" w:eastAsia="仿宋_GB2312" w:cs="仿宋_GB2312"/>
          <w:bCs/>
          <w:sz w:val="32"/>
          <w:szCs w:val="32"/>
          <w:lang w:val="en-US" w:eastAsia="zh-CN"/>
        </w:rPr>
        <w:t>7</w:t>
      </w:r>
      <w:r>
        <w:rPr>
          <w:rFonts w:hint="eastAsia" w:ascii="仿宋_GB2312" w:hAnsi="仿宋_GB2312" w:eastAsia="仿宋_GB2312" w:cs="仿宋_GB2312"/>
          <w:bCs/>
          <w:sz w:val="32"/>
          <w:szCs w:val="32"/>
        </w:rPr>
        <w:t>年：</w:t>
      </w:r>
      <w:r>
        <w:rPr>
          <w:rFonts w:hint="eastAsia" w:ascii="仿宋_GB2312" w:hAnsi="仿宋_GB2312" w:eastAsia="仿宋_GB2312" w:cs="仿宋_GB2312"/>
          <w:bCs/>
          <w:color w:val="auto"/>
          <w:sz w:val="32"/>
          <w:szCs w:val="32"/>
        </w:rPr>
        <w:t>打造“党员示范课”“红色德育课”2个特色品牌。建立“党员教师帮扶机制”，每位党员至少帮扶2名学生，帮扶对象进步率≥90%。学校党建工作案例入选区级及以上优秀案例库。</w:t>
      </w:r>
    </w:p>
    <w:p w14:paraId="21920A87">
      <w:pPr>
        <w:pStyle w:val="10"/>
        <w:keepNext w:val="0"/>
        <w:keepLines w:val="0"/>
        <w:pageBreakBefore w:val="0"/>
        <w:kinsoku/>
        <w:wordWrap/>
        <w:overflowPunct/>
        <w:topLinePunct w:val="0"/>
        <w:bidi w:val="0"/>
        <w:adjustRightInd w:val="0"/>
        <w:snapToGrid w:val="0"/>
        <w:spacing w:line="560" w:lineRule="exact"/>
        <w:ind w:firstLine="64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fldChar w:fldCharType="begin"/>
      </w:r>
      <w:r>
        <w:rPr>
          <w:rFonts w:hint="eastAsia" w:ascii="仿宋_GB2312" w:hAnsi="仿宋_GB2312" w:eastAsia="仿宋_GB2312" w:cs="仿宋_GB2312"/>
          <w:bCs/>
          <w:sz w:val="32"/>
          <w:szCs w:val="32"/>
        </w:rPr>
        <w:instrText xml:space="preserve"> = 3 \* GB3 </w:instrText>
      </w:r>
      <w:r>
        <w:rPr>
          <w:rFonts w:hint="eastAsia" w:ascii="仿宋_GB2312" w:hAnsi="仿宋_GB2312" w:eastAsia="仿宋_GB2312" w:cs="仿宋_GB2312"/>
          <w:bCs/>
          <w:sz w:val="32"/>
          <w:szCs w:val="32"/>
        </w:rPr>
        <w:fldChar w:fldCharType="separate"/>
      </w:r>
      <w:r>
        <w:rPr>
          <w:rFonts w:hint="eastAsia" w:ascii="仿宋_GB2312" w:hAnsi="仿宋_GB2312" w:eastAsia="仿宋_GB2312" w:cs="仿宋_GB2312"/>
          <w:bCs/>
          <w:sz w:val="32"/>
          <w:szCs w:val="32"/>
        </w:rPr>
        <w:t>③</w:t>
      </w:r>
      <w:r>
        <w:rPr>
          <w:rFonts w:hint="eastAsia" w:ascii="仿宋_GB2312" w:hAnsi="仿宋_GB2312" w:eastAsia="仿宋_GB2312" w:cs="仿宋_GB2312"/>
          <w:bCs/>
          <w:sz w:val="32"/>
          <w:szCs w:val="32"/>
        </w:rPr>
        <w:fldChar w:fldCharType="end"/>
      </w:r>
      <w:r>
        <w:rPr>
          <w:rFonts w:hint="eastAsia" w:ascii="仿宋_GB2312" w:hAnsi="仿宋_GB2312" w:eastAsia="仿宋_GB2312" w:cs="仿宋_GB2312"/>
          <w:bCs/>
          <w:sz w:val="32"/>
          <w:szCs w:val="32"/>
        </w:rPr>
        <w:t>202</w:t>
      </w:r>
      <w:r>
        <w:rPr>
          <w:rFonts w:hint="eastAsia" w:ascii="仿宋_GB2312" w:hAnsi="仿宋_GB2312" w:eastAsia="仿宋_GB2312" w:cs="仿宋_GB2312"/>
          <w:bCs/>
          <w:sz w:val="32"/>
          <w:szCs w:val="32"/>
          <w:lang w:val="en-US" w:eastAsia="zh-CN"/>
        </w:rPr>
        <w:t>7</w:t>
      </w:r>
      <w:r>
        <w:rPr>
          <w:rFonts w:hint="eastAsia" w:ascii="仿宋_GB2312" w:hAnsi="仿宋_GB2312" w:eastAsia="仿宋_GB2312" w:cs="仿宋_GB2312"/>
          <w:bCs/>
          <w:sz w:val="32"/>
          <w:szCs w:val="32"/>
        </w:rPr>
        <w:t>-202</w:t>
      </w:r>
      <w:r>
        <w:rPr>
          <w:rFonts w:hint="eastAsia" w:ascii="仿宋_GB2312" w:hAnsi="仿宋_GB2312" w:eastAsia="仿宋_GB2312" w:cs="仿宋_GB2312"/>
          <w:bCs/>
          <w:sz w:val="32"/>
          <w:szCs w:val="32"/>
          <w:lang w:val="en-US" w:eastAsia="zh-CN"/>
        </w:rPr>
        <w:t>8</w:t>
      </w:r>
      <w:r>
        <w:rPr>
          <w:rFonts w:hint="eastAsia" w:ascii="仿宋_GB2312" w:hAnsi="仿宋_GB2312" w:eastAsia="仿宋_GB2312" w:cs="仿宋_GB2312"/>
          <w:bCs/>
          <w:sz w:val="32"/>
          <w:szCs w:val="32"/>
        </w:rPr>
        <w:t>年</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color w:val="auto"/>
          <w:sz w:val="32"/>
          <w:szCs w:val="32"/>
        </w:rPr>
        <w:t>学校党支部获评“区级先进基层党组织”。“红色校园”品牌活动被区级及以上媒体报道不少于</w:t>
      </w:r>
      <w:r>
        <w:rPr>
          <w:rFonts w:hint="eastAsia" w:ascii="仿宋_GB2312" w:hAnsi="仿宋_GB2312" w:eastAsia="仿宋_GB2312" w:cs="仿宋_GB2312"/>
          <w:bCs/>
          <w:color w:val="auto"/>
          <w:sz w:val="32"/>
          <w:szCs w:val="32"/>
          <w:lang w:val="en-US" w:eastAsia="zh-CN"/>
        </w:rPr>
        <w:t>1</w:t>
      </w:r>
      <w:r>
        <w:rPr>
          <w:rFonts w:hint="eastAsia" w:ascii="仿宋_GB2312" w:hAnsi="仿宋_GB2312" w:eastAsia="仿宋_GB2312" w:cs="仿宋_GB2312"/>
          <w:bCs/>
          <w:color w:val="auto"/>
          <w:sz w:val="32"/>
          <w:szCs w:val="32"/>
        </w:rPr>
        <w:t>次</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党员教师在</w:t>
      </w:r>
      <w:r>
        <w:rPr>
          <w:rFonts w:hint="eastAsia" w:ascii="仿宋_GB2312" w:hAnsi="仿宋_GB2312" w:eastAsia="仿宋_GB2312" w:cs="仿宋_GB2312"/>
          <w:bCs/>
          <w:color w:val="auto"/>
          <w:sz w:val="32"/>
          <w:szCs w:val="32"/>
          <w:lang w:val="en-US" w:eastAsia="zh-CN"/>
        </w:rPr>
        <w:t>业务</w:t>
      </w:r>
      <w:r>
        <w:rPr>
          <w:rFonts w:hint="eastAsia" w:ascii="仿宋_GB2312" w:hAnsi="仿宋_GB2312" w:eastAsia="仿宋_GB2312" w:cs="仿宋_GB2312"/>
          <w:bCs/>
          <w:color w:val="auto"/>
          <w:sz w:val="32"/>
          <w:szCs w:val="32"/>
        </w:rPr>
        <w:t>获奖</w:t>
      </w:r>
      <w:r>
        <w:rPr>
          <w:rFonts w:hint="eastAsia" w:ascii="仿宋_GB2312" w:hAnsi="仿宋_GB2312" w:eastAsia="仿宋_GB2312" w:cs="仿宋_GB2312"/>
          <w:bCs/>
          <w:color w:val="auto"/>
          <w:sz w:val="32"/>
          <w:szCs w:val="32"/>
          <w:lang w:val="en-US" w:eastAsia="zh-CN"/>
        </w:rPr>
        <w:t>方面，</w:t>
      </w:r>
      <w:r>
        <w:rPr>
          <w:rFonts w:hint="eastAsia" w:ascii="仿宋_GB2312" w:hAnsi="仿宋_GB2312" w:eastAsia="仿宋_GB2312" w:cs="仿宋_GB2312"/>
          <w:bCs/>
          <w:color w:val="auto"/>
          <w:sz w:val="32"/>
          <w:szCs w:val="32"/>
        </w:rPr>
        <w:t>比例占全校教师的</w:t>
      </w:r>
      <w:r>
        <w:rPr>
          <w:rFonts w:hint="eastAsia" w:ascii="仿宋_GB2312" w:hAnsi="仿宋_GB2312" w:eastAsia="仿宋_GB2312" w:cs="仿宋_GB2312"/>
          <w:bCs/>
          <w:color w:val="auto"/>
          <w:sz w:val="32"/>
          <w:szCs w:val="32"/>
          <w:lang w:val="en-US" w:eastAsia="zh-CN"/>
        </w:rPr>
        <w:t>5</w:t>
      </w:r>
      <w:r>
        <w:rPr>
          <w:rFonts w:hint="eastAsia" w:ascii="仿宋_GB2312" w:hAnsi="仿宋_GB2312" w:eastAsia="仿宋_GB2312" w:cs="仿宋_GB2312"/>
          <w:bCs/>
          <w:color w:val="auto"/>
          <w:sz w:val="32"/>
          <w:szCs w:val="32"/>
        </w:rPr>
        <w:t>0%以上，学校教学质量</w:t>
      </w:r>
      <w:r>
        <w:rPr>
          <w:rFonts w:hint="eastAsia" w:ascii="仿宋_GB2312" w:hAnsi="仿宋_GB2312" w:eastAsia="仿宋_GB2312" w:cs="仿宋_GB2312"/>
          <w:bCs/>
          <w:color w:val="auto"/>
          <w:sz w:val="32"/>
          <w:szCs w:val="32"/>
          <w:lang w:val="en-US" w:eastAsia="zh-CN"/>
        </w:rPr>
        <w:t>达到</w:t>
      </w:r>
      <w:r>
        <w:rPr>
          <w:rFonts w:hint="eastAsia" w:ascii="仿宋_GB2312" w:hAnsi="仿宋_GB2312" w:eastAsia="仿宋_GB2312" w:cs="仿宋_GB2312"/>
          <w:bCs/>
          <w:color w:val="auto"/>
          <w:sz w:val="32"/>
          <w:szCs w:val="32"/>
        </w:rPr>
        <w:t>区域</w:t>
      </w:r>
      <w:r>
        <w:rPr>
          <w:rFonts w:hint="eastAsia" w:ascii="仿宋_GB2312" w:hAnsi="仿宋_GB2312" w:eastAsia="仿宋_GB2312" w:cs="仿宋_GB2312"/>
          <w:bCs/>
          <w:color w:val="auto"/>
          <w:sz w:val="32"/>
          <w:szCs w:val="32"/>
          <w:lang w:val="en-US" w:eastAsia="zh-CN"/>
        </w:rPr>
        <w:t>中游水平</w:t>
      </w:r>
      <w:r>
        <w:rPr>
          <w:rFonts w:hint="eastAsia" w:ascii="仿宋_GB2312" w:hAnsi="仿宋_GB2312" w:eastAsia="仿宋_GB2312" w:cs="仿宋_GB2312"/>
          <w:bCs/>
          <w:color w:val="auto"/>
          <w:sz w:val="32"/>
          <w:szCs w:val="32"/>
        </w:rPr>
        <w:t>。</w:t>
      </w:r>
    </w:p>
    <w:p w14:paraId="726EA9F5">
      <w:pPr>
        <w:pStyle w:val="3"/>
        <w:keepNext w:val="0"/>
        <w:keepLines w:val="0"/>
        <w:pageBreakBefore w:val="0"/>
        <w:kinsoku/>
        <w:wordWrap/>
        <w:overflowPunct/>
        <w:topLinePunct w:val="0"/>
        <w:bidi w:val="0"/>
        <w:adjustRightInd w:val="0"/>
        <w:snapToGrid w:val="0"/>
        <w:spacing w:line="560" w:lineRule="exact"/>
        <w:ind w:firstLine="739" w:firstLineChars="231"/>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（3）实施措施</w:t>
      </w:r>
    </w:p>
    <w:p w14:paraId="22E75217">
      <w:pPr>
        <w:pStyle w:val="10"/>
        <w:keepNext w:val="0"/>
        <w:keepLines w:val="0"/>
        <w:pageBreakBefore w:val="0"/>
        <w:kinsoku/>
        <w:wordWrap/>
        <w:overflowPunct/>
        <w:topLinePunct w:val="0"/>
        <w:bidi w:val="0"/>
        <w:adjustRightInd w:val="0"/>
        <w:snapToGrid w:val="0"/>
        <w:spacing w:line="560" w:lineRule="exact"/>
        <w:ind w:firstLine="64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fldChar w:fldCharType="begin"/>
      </w:r>
      <w:r>
        <w:rPr>
          <w:rFonts w:hint="eastAsia" w:ascii="仿宋_GB2312" w:hAnsi="仿宋_GB2312" w:eastAsia="仿宋_GB2312" w:cs="仿宋_GB2312"/>
          <w:bCs/>
          <w:sz w:val="32"/>
          <w:szCs w:val="32"/>
        </w:rPr>
        <w:instrText xml:space="preserve"> = 1 \* GB3 </w:instrText>
      </w:r>
      <w:r>
        <w:rPr>
          <w:rFonts w:hint="eastAsia" w:ascii="仿宋_GB2312" w:hAnsi="仿宋_GB2312" w:eastAsia="仿宋_GB2312" w:cs="仿宋_GB2312"/>
          <w:bCs/>
          <w:sz w:val="32"/>
          <w:szCs w:val="32"/>
        </w:rPr>
        <w:fldChar w:fldCharType="separate"/>
      </w:r>
      <w:r>
        <w:rPr>
          <w:rFonts w:hint="eastAsia" w:ascii="仿宋_GB2312" w:hAnsi="仿宋_GB2312" w:eastAsia="仿宋_GB2312" w:cs="仿宋_GB2312"/>
          <w:bCs/>
          <w:sz w:val="32"/>
          <w:szCs w:val="32"/>
        </w:rPr>
        <w:t>①</w:t>
      </w:r>
      <w:r>
        <w:rPr>
          <w:rFonts w:hint="eastAsia" w:ascii="仿宋_GB2312" w:hAnsi="仿宋_GB2312" w:eastAsia="仿宋_GB2312" w:cs="仿宋_GB2312"/>
          <w:bCs/>
          <w:sz w:val="32"/>
          <w:szCs w:val="32"/>
        </w:rPr>
        <w:fldChar w:fldCharType="end"/>
      </w:r>
      <w:r>
        <w:rPr>
          <w:rFonts w:hint="eastAsia" w:ascii="仿宋_GB2312" w:hAnsi="仿宋_GB2312" w:eastAsia="仿宋_GB2312" w:cs="仿宋_GB2312"/>
          <w:bCs/>
          <w:color w:val="auto"/>
          <w:sz w:val="32"/>
          <w:szCs w:val="32"/>
        </w:rPr>
        <w:t>梳理现有制度，对照《中国共产党支部工作条例（试行）》，修订完善会议、学习、考核等制度，形成标准化手册并全员公示。开展“每月一次集中学习、每季度一次专题研讨”，聚焦党章、党的教育方针，采用“领学+案例分享”模式，确保党员参与率100%。</w:t>
      </w:r>
    </w:p>
    <w:p w14:paraId="5FFA7ECA">
      <w:pPr>
        <w:pStyle w:val="10"/>
        <w:keepNext w:val="0"/>
        <w:keepLines w:val="0"/>
        <w:pageBreakBefore w:val="0"/>
        <w:kinsoku/>
        <w:wordWrap/>
        <w:overflowPunct/>
        <w:topLinePunct w:val="0"/>
        <w:bidi w:val="0"/>
        <w:adjustRightInd w:val="0"/>
        <w:snapToGrid w:val="0"/>
        <w:spacing w:line="560" w:lineRule="exact"/>
        <w:ind w:firstLine="64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sz w:val="32"/>
          <w:szCs w:val="32"/>
        </w:rPr>
        <w:fldChar w:fldCharType="begin"/>
      </w:r>
      <w:r>
        <w:rPr>
          <w:rFonts w:hint="eastAsia" w:ascii="仿宋_GB2312" w:hAnsi="仿宋_GB2312" w:eastAsia="仿宋_GB2312" w:cs="仿宋_GB2312"/>
          <w:bCs/>
          <w:sz w:val="32"/>
          <w:szCs w:val="32"/>
        </w:rPr>
        <w:instrText xml:space="preserve"> = 2 \* GB3 </w:instrText>
      </w:r>
      <w:r>
        <w:rPr>
          <w:rFonts w:hint="eastAsia" w:ascii="仿宋_GB2312" w:hAnsi="仿宋_GB2312" w:eastAsia="仿宋_GB2312" w:cs="仿宋_GB2312"/>
          <w:bCs/>
          <w:sz w:val="32"/>
          <w:szCs w:val="32"/>
        </w:rPr>
        <w:fldChar w:fldCharType="separate"/>
      </w:r>
      <w:r>
        <w:rPr>
          <w:rFonts w:hint="eastAsia" w:ascii="仿宋_GB2312" w:hAnsi="仿宋_GB2312" w:eastAsia="仿宋_GB2312" w:cs="仿宋_GB2312"/>
          <w:bCs/>
          <w:sz w:val="32"/>
          <w:szCs w:val="32"/>
        </w:rPr>
        <w:t>②</w:t>
      </w:r>
      <w:r>
        <w:rPr>
          <w:rFonts w:hint="eastAsia" w:ascii="仿宋_GB2312" w:hAnsi="仿宋_GB2312" w:eastAsia="仿宋_GB2312" w:cs="仿宋_GB2312"/>
          <w:bCs/>
          <w:sz w:val="32"/>
          <w:szCs w:val="32"/>
        </w:rPr>
        <w:fldChar w:fldCharType="end"/>
      </w:r>
      <w:r>
        <w:rPr>
          <w:rFonts w:hint="eastAsia" w:ascii="仿宋_GB2312" w:hAnsi="仿宋_GB2312" w:eastAsia="仿宋_GB2312" w:cs="仿宋_GB2312"/>
          <w:bCs/>
          <w:color w:val="auto"/>
          <w:sz w:val="32"/>
          <w:szCs w:val="32"/>
        </w:rPr>
        <w:t xml:space="preserve">启动“党员示范课”工程，每月安排2-3名党员教师上公开课，组织教师听课评课，形成“备课-授课-反思”闭环；开发“红色德育微课堂”（如党史小故事、英雄人物事迹），融入每周班会课。推行“1+2”帮扶计划：1名党员教师结对2名学困生，定期辅导学业、开展心理疏导，每学期末评选“优秀帮扶标兵”。 总结党建特色做法，撰写工作案例，积极申报区级党建创新项目，争取在区级教育系统党建工作会议上交流展示。  </w:t>
      </w:r>
    </w:p>
    <w:p w14:paraId="1EE5CF17">
      <w:pPr>
        <w:pStyle w:val="10"/>
        <w:keepNext w:val="0"/>
        <w:keepLines w:val="0"/>
        <w:pageBreakBefore w:val="0"/>
        <w:kinsoku/>
        <w:wordWrap/>
        <w:overflowPunct/>
        <w:topLinePunct w:val="0"/>
        <w:bidi w:val="0"/>
        <w:adjustRightInd w:val="0"/>
        <w:snapToGrid w:val="0"/>
        <w:spacing w:line="560" w:lineRule="exact"/>
        <w:ind w:firstLine="64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sz w:val="32"/>
          <w:szCs w:val="32"/>
        </w:rPr>
        <w:fldChar w:fldCharType="begin"/>
      </w:r>
      <w:r>
        <w:rPr>
          <w:rFonts w:hint="eastAsia" w:ascii="仿宋_GB2312" w:hAnsi="仿宋_GB2312" w:eastAsia="仿宋_GB2312" w:cs="仿宋_GB2312"/>
          <w:bCs/>
          <w:sz w:val="32"/>
          <w:szCs w:val="32"/>
        </w:rPr>
        <w:instrText xml:space="preserve"> = 3 \* GB3 </w:instrText>
      </w:r>
      <w:r>
        <w:rPr>
          <w:rFonts w:hint="eastAsia" w:ascii="仿宋_GB2312" w:hAnsi="仿宋_GB2312" w:eastAsia="仿宋_GB2312" w:cs="仿宋_GB2312"/>
          <w:bCs/>
          <w:sz w:val="32"/>
          <w:szCs w:val="32"/>
        </w:rPr>
        <w:fldChar w:fldCharType="separate"/>
      </w:r>
      <w:r>
        <w:rPr>
          <w:rFonts w:hint="eastAsia" w:ascii="仿宋_GB2312" w:hAnsi="仿宋_GB2312" w:eastAsia="仿宋_GB2312" w:cs="仿宋_GB2312"/>
          <w:bCs/>
          <w:sz w:val="32"/>
          <w:szCs w:val="32"/>
        </w:rPr>
        <w:t>③</w:t>
      </w:r>
      <w:r>
        <w:rPr>
          <w:rFonts w:hint="eastAsia" w:ascii="仿宋_GB2312" w:hAnsi="仿宋_GB2312" w:eastAsia="仿宋_GB2312" w:cs="仿宋_GB2312"/>
          <w:bCs/>
          <w:sz w:val="32"/>
          <w:szCs w:val="32"/>
        </w:rPr>
        <w:fldChar w:fldCharType="end"/>
      </w:r>
      <w:r>
        <w:rPr>
          <w:rFonts w:hint="eastAsia" w:ascii="仿宋_GB2312" w:hAnsi="仿宋_GB2312" w:eastAsia="仿宋_GB2312" w:cs="仿宋_GB2312"/>
          <w:bCs/>
          <w:color w:val="auto"/>
          <w:sz w:val="32"/>
          <w:szCs w:val="32"/>
        </w:rPr>
        <w:t> 深化“红色校园”品牌建设：打造校园“红色文化墙”“党史读书角”，每年开展“红色歌曲合唱比赛”“寻访红色足迹”研学活动，形成“环境育人+活动育人”的红色教育体系。组织党员教师参与区级以上</w:t>
      </w:r>
      <w:r>
        <w:rPr>
          <w:rFonts w:hint="eastAsia" w:ascii="仿宋_GB2312" w:hAnsi="仿宋_GB2312" w:eastAsia="仿宋_GB2312" w:cs="仿宋_GB2312"/>
          <w:bCs/>
          <w:color w:val="auto"/>
          <w:sz w:val="32"/>
          <w:szCs w:val="32"/>
          <w:lang w:val="en-US" w:eastAsia="zh-CN"/>
        </w:rPr>
        <w:t>教学业务评选</w:t>
      </w:r>
      <w:r>
        <w:rPr>
          <w:rFonts w:hint="eastAsia" w:ascii="仿宋_GB2312" w:hAnsi="仿宋_GB2312" w:eastAsia="仿宋_GB2312" w:cs="仿宋_GB2312"/>
          <w:bCs/>
          <w:color w:val="auto"/>
          <w:sz w:val="32"/>
          <w:szCs w:val="32"/>
        </w:rPr>
        <w:t>、课题研究，设立“党员科研攻关小组”，聚焦教育教学难点问题开展研究；推荐优秀党员参与区级评优评先，树立先进典型。整理党建工作成果，形成《</w:t>
      </w:r>
      <w:r>
        <w:rPr>
          <w:rFonts w:hint="eastAsia" w:ascii="仿宋_GB2312" w:hAnsi="仿宋_GB2312" w:eastAsia="仿宋_GB2312" w:cs="仿宋_GB2312"/>
          <w:bCs/>
          <w:color w:val="auto"/>
          <w:sz w:val="32"/>
          <w:szCs w:val="32"/>
          <w:lang w:val="en-US" w:eastAsia="zh-CN"/>
        </w:rPr>
        <w:t>耿家</w:t>
      </w:r>
      <w:r>
        <w:rPr>
          <w:rFonts w:hint="eastAsia" w:ascii="仿宋_GB2312" w:hAnsi="仿宋_GB2312" w:eastAsia="仿宋_GB2312" w:cs="仿宋_GB2312"/>
          <w:bCs/>
          <w:color w:val="auto"/>
          <w:sz w:val="32"/>
          <w:szCs w:val="32"/>
        </w:rPr>
        <w:t>小学“红色校园”党建实践手册》，通过区级教育平台、媒体宣传推广。</w:t>
      </w:r>
    </w:p>
    <w:p w14:paraId="15218112">
      <w:pPr>
        <w:pStyle w:val="10"/>
        <w:keepNext w:val="0"/>
        <w:keepLines w:val="0"/>
        <w:pageBreakBefore w:val="0"/>
        <w:kinsoku/>
        <w:wordWrap/>
        <w:overflowPunct/>
        <w:topLinePunct w:val="0"/>
        <w:bidi w:val="0"/>
        <w:adjustRightInd w:val="0"/>
        <w:snapToGrid w:val="0"/>
        <w:spacing w:line="560" w:lineRule="exact"/>
        <w:ind w:firstLine="64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lang w:val="en-US" w:eastAsia="zh-CN"/>
        </w:rPr>
        <w:t>3.</w:t>
      </w:r>
      <w:r>
        <w:rPr>
          <w:rFonts w:hint="eastAsia" w:ascii="仿宋_GB2312" w:hAnsi="仿宋_GB2312" w:eastAsia="仿宋_GB2312" w:cs="仿宋_GB2312"/>
          <w:bCs/>
          <w:color w:val="auto"/>
          <w:sz w:val="32"/>
          <w:szCs w:val="32"/>
        </w:rPr>
        <w:t>立德树人——“</w:t>
      </w:r>
      <w:r>
        <w:rPr>
          <w:rFonts w:hint="eastAsia" w:ascii="仿宋_GB2312" w:hAnsi="仿宋_GB2312" w:eastAsia="仿宋_GB2312" w:cs="仿宋_GB2312"/>
          <w:bCs/>
          <w:color w:val="auto"/>
          <w:sz w:val="32"/>
          <w:szCs w:val="32"/>
          <w:lang w:val="en-US" w:eastAsia="zh-CN"/>
        </w:rPr>
        <w:t>红色基因润童心 勤学善思筑成长</w:t>
      </w:r>
      <w:r>
        <w:rPr>
          <w:rFonts w:hint="eastAsia" w:ascii="仿宋_GB2312" w:hAnsi="仿宋_GB2312" w:eastAsia="仿宋_GB2312" w:cs="仿宋_GB2312"/>
          <w:bCs/>
          <w:color w:val="auto"/>
          <w:sz w:val="32"/>
          <w:szCs w:val="32"/>
        </w:rPr>
        <w:t>”</w:t>
      </w:r>
    </w:p>
    <w:p w14:paraId="2449E493">
      <w:pPr>
        <w:pStyle w:val="10"/>
        <w:numPr>
          <w:ilvl w:val="0"/>
          <w:numId w:val="0"/>
        </w:numPr>
        <w:adjustRightInd w:val="0"/>
        <w:snapToGrid w:val="0"/>
        <w:spacing w:line="56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（1）工作目标</w:t>
      </w:r>
    </w:p>
    <w:p w14:paraId="7A35A2A2">
      <w:pPr>
        <w:pStyle w:val="10"/>
        <w:adjustRightInd w:val="0"/>
        <w:snapToGrid w:val="0"/>
        <w:spacing w:line="560" w:lineRule="exact"/>
        <w:ind w:firstLine="640"/>
        <w:rPr>
          <w:rFonts w:hint="eastAsia" w:ascii="仿宋_GB2312" w:hAnsi="仿宋_GB2312" w:eastAsia="仿宋_GB2312" w:cs="仿宋_GB2312"/>
          <w:sz w:val="32"/>
          <w:szCs w:val="32"/>
          <w:lang w:eastAsia="zh-CN"/>
        </w:rPr>
      </w:pPr>
      <w:r>
        <w:rPr>
          <w:rFonts w:hint="eastAsia" w:ascii="仿宋_GB2312" w:hAnsi="仿宋_GB2312" w:eastAsia="仿宋_GB2312" w:cs="仿宋_GB2312"/>
          <w:bCs/>
          <w:color w:val="auto"/>
          <w:sz w:val="32"/>
          <w:szCs w:val="32"/>
          <w:lang w:eastAsia="zh-CN"/>
        </w:rPr>
        <w:t>根据习近平总书记在</w:t>
      </w:r>
      <w:r>
        <w:rPr>
          <w:rFonts w:hint="eastAsia" w:ascii="仿宋_GB2312" w:hAnsi="仿宋_GB2312" w:eastAsia="仿宋_GB2312" w:cs="仿宋_GB2312"/>
          <w:bCs/>
          <w:color w:val="auto"/>
          <w:sz w:val="32"/>
          <w:szCs w:val="32"/>
          <w:lang w:val="en-US" w:eastAsia="zh-CN"/>
        </w:rPr>
        <w:t>两会期间关于“祖国的未来”和“中华民族的希望”的重要讲话精神，紧扣立德树人的根本任务，构建系统化、科学化的学生红色文化传承与良好习惯培养体系，打造完整且高效的习惯培养流程，并辅以丰富完善的评价机制，从而形成“</w:t>
      </w:r>
      <w:r>
        <w:rPr>
          <w:rFonts w:hint="eastAsia" w:ascii="仿宋_GB2312" w:hAnsi="仿宋_GB2312" w:eastAsia="仿宋_GB2312" w:cs="仿宋_GB2312"/>
          <w:bCs/>
          <w:color w:val="auto"/>
          <w:w w:val="100"/>
          <w:kern w:val="2"/>
          <w:sz w:val="32"/>
          <w:szCs w:val="32"/>
          <w:lang w:val="en-US" w:eastAsia="zh-CN" w:bidi="ar-SA"/>
        </w:rPr>
        <w:t>红色基因润童心、勤学善思助成长</w:t>
      </w:r>
      <w:r>
        <w:rPr>
          <w:rFonts w:hint="eastAsia" w:ascii="仿宋_GB2312" w:hAnsi="仿宋_GB2312" w:eastAsia="仿宋_GB2312" w:cs="仿宋_GB2312"/>
          <w:bCs/>
          <w:color w:val="auto"/>
          <w:sz w:val="32"/>
          <w:szCs w:val="32"/>
          <w:lang w:val="en-US" w:eastAsia="zh-CN"/>
        </w:rPr>
        <w:t>”的特色德育品牌。</w:t>
      </w:r>
    </w:p>
    <w:p w14:paraId="25E35822">
      <w:pPr>
        <w:pStyle w:val="10"/>
        <w:adjustRightInd w:val="0"/>
        <w:snapToGrid w:val="0"/>
        <w:spacing w:line="560" w:lineRule="exact"/>
        <w:ind w:firstLine="64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（2）目标达成标志</w:t>
      </w:r>
    </w:p>
    <w:p w14:paraId="10CC226B">
      <w:pPr>
        <w:pStyle w:val="10"/>
        <w:adjustRightInd w:val="0"/>
        <w:snapToGrid w:val="0"/>
        <w:spacing w:line="560" w:lineRule="exact"/>
        <w:ind w:firstLine="640"/>
        <w:rPr>
          <w:rFonts w:hint="eastAsia" w:ascii="仿宋_GB2312" w:hAnsi="仿宋_GB2312" w:eastAsia="仿宋_GB2312" w:cs="仿宋_GB2312"/>
          <w:sz w:val="32"/>
          <w:szCs w:val="32"/>
          <w:lang w:eastAsia="zh-CN"/>
        </w:rPr>
      </w:pPr>
      <w:r>
        <w:rPr>
          <w:rFonts w:hint="eastAsia" w:ascii="仿宋_GB2312" w:hAnsi="仿宋_GB2312" w:eastAsia="仿宋_GB2312" w:cs="仿宋_GB2312"/>
          <w:bCs/>
          <w:color w:val="auto"/>
          <w:sz w:val="32"/>
          <w:szCs w:val="32"/>
        </w:rPr>
        <w:fldChar w:fldCharType="begin"/>
      </w:r>
      <w:r>
        <w:rPr>
          <w:rFonts w:hint="eastAsia" w:ascii="仿宋_GB2312" w:hAnsi="仿宋_GB2312" w:eastAsia="仿宋_GB2312" w:cs="仿宋_GB2312"/>
          <w:bCs/>
          <w:color w:val="auto"/>
          <w:sz w:val="32"/>
          <w:szCs w:val="32"/>
        </w:rPr>
        <w:instrText xml:space="preserve"> = 1 \* GB3 </w:instrText>
      </w:r>
      <w:r>
        <w:rPr>
          <w:rFonts w:hint="eastAsia" w:ascii="仿宋_GB2312" w:hAnsi="仿宋_GB2312" w:eastAsia="仿宋_GB2312" w:cs="仿宋_GB2312"/>
          <w:bCs/>
          <w:color w:val="auto"/>
          <w:sz w:val="32"/>
          <w:szCs w:val="32"/>
        </w:rPr>
        <w:fldChar w:fldCharType="separate"/>
      </w:r>
      <w:r>
        <w:rPr>
          <w:rFonts w:hint="eastAsia" w:ascii="仿宋_GB2312" w:hAnsi="仿宋_GB2312" w:eastAsia="仿宋_GB2312" w:cs="仿宋_GB2312"/>
          <w:bCs/>
          <w:color w:val="auto"/>
          <w:sz w:val="32"/>
          <w:szCs w:val="32"/>
        </w:rPr>
        <w:t>①</w:t>
      </w:r>
      <w:r>
        <w:rPr>
          <w:rFonts w:hint="eastAsia" w:ascii="仿宋_GB2312" w:hAnsi="仿宋_GB2312" w:eastAsia="仿宋_GB2312" w:cs="仿宋_GB2312"/>
          <w:bCs/>
          <w:color w:val="auto"/>
          <w:sz w:val="32"/>
          <w:szCs w:val="32"/>
        </w:rPr>
        <w:fldChar w:fldCharType="end"/>
      </w:r>
      <w:r>
        <w:rPr>
          <w:rFonts w:hint="eastAsia" w:ascii="仿宋_GB2312" w:hAnsi="仿宋_GB2312" w:eastAsia="仿宋_GB2312" w:cs="仿宋_GB2312"/>
          <w:bCs/>
          <w:color w:val="auto"/>
          <w:sz w:val="32"/>
          <w:szCs w:val="32"/>
          <w:lang w:eastAsia="zh-CN"/>
        </w:rPr>
        <w:t>202</w:t>
      </w:r>
      <w:r>
        <w:rPr>
          <w:rFonts w:hint="eastAsia" w:ascii="仿宋_GB2312" w:hAnsi="仿宋_GB2312" w:eastAsia="仿宋_GB2312" w:cs="仿宋_GB2312"/>
          <w:bCs/>
          <w:color w:val="auto"/>
          <w:sz w:val="32"/>
          <w:szCs w:val="32"/>
          <w:lang w:val="en-US" w:eastAsia="zh-CN"/>
        </w:rPr>
        <w:t>5—2026年：</w:t>
      </w:r>
      <w:r>
        <w:rPr>
          <w:rFonts w:hint="eastAsia" w:ascii="仿宋_GB2312" w:hAnsi="仿宋_GB2312" w:eastAsia="仿宋_GB2312" w:cs="仿宋_GB2312"/>
          <w:bCs/>
          <w:color w:val="auto"/>
          <w:sz w:val="32"/>
          <w:szCs w:val="32"/>
        </w:rPr>
        <w:t>以行为习惯培养为基础，重点从课堂礼仪、文明礼仪、课间活动行为规范等方面引导学生，促进行为习惯积极转变；以红色文化传承为引导，初步构建红色传承路径，帮助学生了解并铭记红色精神；以评价体系建设为支撑，初步建立“勤学善思好少年”学生评价体系，定期开展“筑梦好少年”评优活动。力争实现1-5年级学生中60%养成规范好习惯，打造一批具有规范好习惯的特色班级和特色小队。</w:t>
      </w:r>
    </w:p>
    <w:p w14:paraId="50F2F09A">
      <w:pPr>
        <w:pStyle w:val="10"/>
        <w:adjustRightInd w:val="0"/>
        <w:snapToGrid w:val="0"/>
        <w:spacing w:line="560" w:lineRule="exact"/>
        <w:ind w:firstLine="64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fldChar w:fldCharType="begin"/>
      </w:r>
      <w:r>
        <w:rPr>
          <w:rFonts w:hint="eastAsia" w:ascii="仿宋_GB2312" w:hAnsi="仿宋_GB2312" w:eastAsia="仿宋_GB2312" w:cs="仿宋_GB2312"/>
          <w:bCs/>
          <w:color w:val="auto"/>
          <w:sz w:val="32"/>
          <w:szCs w:val="32"/>
        </w:rPr>
        <w:instrText xml:space="preserve"> = 2 \* GB3 </w:instrText>
      </w:r>
      <w:r>
        <w:rPr>
          <w:rFonts w:hint="eastAsia" w:ascii="仿宋_GB2312" w:hAnsi="仿宋_GB2312" w:eastAsia="仿宋_GB2312" w:cs="仿宋_GB2312"/>
          <w:bCs/>
          <w:color w:val="auto"/>
          <w:sz w:val="32"/>
          <w:szCs w:val="32"/>
        </w:rPr>
        <w:fldChar w:fldCharType="separate"/>
      </w:r>
      <w:r>
        <w:rPr>
          <w:rFonts w:hint="eastAsia" w:ascii="仿宋_GB2312" w:hAnsi="仿宋_GB2312" w:eastAsia="仿宋_GB2312" w:cs="仿宋_GB2312"/>
          <w:bCs/>
          <w:color w:val="auto"/>
          <w:sz w:val="32"/>
          <w:szCs w:val="32"/>
        </w:rPr>
        <w:t>②</w:t>
      </w:r>
      <w:r>
        <w:rPr>
          <w:rFonts w:hint="eastAsia" w:ascii="仿宋_GB2312" w:hAnsi="仿宋_GB2312" w:eastAsia="仿宋_GB2312" w:cs="仿宋_GB2312"/>
          <w:bCs/>
          <w:color w:val="auto"/>
          <w:sz w:val="32"/>
          <w:szCs w:val="32"/>
        </w:rPr>
        <w:fldChar w:fldCharType="end"/>
      </w:r>
      <w:r>
        <w:rPr>
          <w:rFonts w:hint="eastAsia" w:ascii="仿宋_GB2312" w:hAnsi="仿宋_GB2312" w:eastAsia="仿宋_GB2312" w:cs="仿宋_GB2312"/>
          <w:bCs/>
          <w:color w:val="auto"/>
          <w:sz w:val="32"/>
          <w:szCs w:val="32"/>
        </w:rPr>
        <w:t>202</w:t>
      </w:r>
      <w:r>
        <w:rPr>
          <w:rFonts w:hint="eastAsia" w:ascii="仿宋_GB2312" w:hAnsi="仿宋_GB2312" w:eastAsia="仿宋_GB2312" w:cs="仿宋_GB2312"/>
          <w:bCs/>
          <w:color w:val="auto"/>
          <w:sz w:val="32"/>
          <w:szCs w:val="32"/>
          <w:lang w:val="en-US" w:eastAsia="zh-CN"/>
        </w:rPr>
        <w:t>6</w:t>
      </w:r>
      <w:r>
        <w:rPr>
          <w:rFonts w:hint="eastAsia" w:ascii="仿宋_GB2312" w:hAnsi="仿宋_GB2312" w:eastAsia="仿宋_GB2312" w:cs="仿宋_GB2312"/>
          <w:bCs/>
          <w:color w:val="auto"/>
          <w:sz w:val="32"/>
          <w:szCs w:val="32"/>
        </w:rPr>
        <w:t>—202</w:t>
      </w:r>
      <w:r>
        <w:rPr>
          <w:rFonts w:hint="eastAsia" w:ascii="仿宋_GB2312" w:hAnsi="仿宋_GB2312" w:eastAsia="仿宋_GB2312" w:cs="仿宋_GB2312"/>
          <w:bCs/>
          <w:color w:val="auto"/>
          <w:sz w:val="32"/>
          <w:szCs w:val="32"/>
          <w:lang w:val="en-US" w:eastAsia="zh-CN"/>
        </w:rPr>
        <w:t>7</w:t>
      </w:r>
      <w:r>
        <w:rPr>
          <w:rFonts w:hint="eastAsia" w:ascii="仿宋_GB2312" w:hAnsi="仿宋_GB2312" w:eastAsia="仿宋_GB2312" w:cs="仿宋_GB2312"/>
          <w:bCs/>
          <w:color w:val="auto"/>
          <w:sz w:val="32"/>
          <w:szCs w:val="32"/>
        </w:rPr>
        <w:t>年：深化习惯培养内容，从课堂学习、课间行为、集体活动等方面完善活动设计，营造良好文明习惯氛围；拓展红色基因传承途径，将其融入课堂教学与实践活动；完善学生评价机制，全面制定“红色基因润童心、勤学善思筑成长”学生评价方案，细化“筑梦好少年”评优活动。力争1-5年级学生中80%养成规范好习惯，40%以上班级成为红色传承、好习惯特色班级，争创区级及以上德育工作先进单位。</w:t>
      </w:r>
    </w:p>
    <w:p w14:paraId="3D97782D">
      <w:pPr>
        <w:pStyle w:val="10"/>
        <w:adjustRightInd w:val="0"/>
        <w:snapToGrid w:val="0"/>
        <w:spacing w:line="560" w:lineRule="exact"/>
        <w:ind w:firstLine="64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sz w:val="32"/>
          <w:szCs w:val="32"/>
        </w:rPr>
        <w:fldChar w:fldCharType="begin"/>
      </w:r>
      <w:r>
        <w:rPr>
          <w:rFonts w:hint="eastAsia" w:ascii="仿宋_GB2312" w:hAnsi="仿宋_GB2312" w:eastAsia="仿宋_GB2312" w:cs="仿宋_GB2312"/>
          <w:bCs/>
          <w:sz w:val="32"/>
          <w:szCs w:val="32"/>
        </w:rPr>
        <w:instrText xml:space="preserve"> = 3 \* GB3 </w:instrText>
      </w:r>
      <w:r>
        <w:rPr>
          <w:rFonts w:hint="eastAsia" w:ascii="仿宋_GB2312" w:hAnsi="仿宋_GB2312" w:eastAsia="仿宋_GB2312" w:cs="仿宋_GB2312"/>
          <w:bCs/>
          <w:sz w:val="32"/>
          <w:szCs w:val="32"/>
        </w:rPr>
        <w:fldChar w:fldCharType="separate"/>
      </w:r>
      <w:r>
        <w:rPr>
          <w:rFonts w:hint="eastAsia" w:ascii="仿宋_GB2312" w:hAnsi="仿宋_GB2312" w:eastAsia="仿宋_GB2312" w:cs="仿宋_GB2312"/>
          <w:bCs/>
          <w:sz w:val="32"/>
          <w:szCs w:val="32"/>
        </w:rPr>
        <w:t>③</w:t>
      </w:r>
      <w:r>
        <w:rPr>
          <w:rFonts w:hint="eastAsia" w:ascii="仿宋_GB2312" w:hAnsi="仿宋_GB2312" w:eastAsia="仿宋_GB2312" w:cs="仿宋_GB2312"/>
          <w:bCs/>
          <w:sz w:val="32"/>
          <w:szCs w:val="32"/>
        </w:rPr>
        <w:fldChar w:fldCharType="end"/>
      </w:r>
      <w:r>
        <w:rPr>
          <w:rFonts w:hint="eastAsia" w:ascii="仿宋_GB2312" w:hAnsi="仿宋_GB2312" w:eastAsia="仿宋_GB2312" w:cs="仿宋_GB2312"/>
          <w:bCs/>
          <w:color w:val="auto"/>
          <w:sz w:val="32"/>
          <w:szCs w:val="32"/>
        </w:rPr>
        <w:t>202</w:t>
      </w:r>
      <w:r>
        <w:rPr>
          <w:rFonts w:hint="eastAsia" w:ascii="仿宋_GB2312" w:hAnsi="仿宋_GB2312" w:eastAsia="仿宋_GB2312" w:cs="仿宋_GB2312"/>
          <w:bCs/>
          <w:color w:val="auto"/>
          <w:sz w:val="32"/>
          <w:szCs w:val="32"/>
          <w:lang w:val="en-US" w:eastAsia="zh-CN"/>
        </w:rPr>
        <w:t>7</w:t>
      </w:r>
      <w:r>
        <w:rPr>
          <w:rFonts w:hint="eastAsia" w:ascii="仿宋_GB2312" w:hAnsi="仿宋_GB2312" w:eastAsia="仿宋_GB2312" w:cs="仿宋_GB2312"/>
          <w:bCs/>
          <w:color w:val="auto"/>
          <w:sz w:val="32"/>
          <w:szCs w:val="32"/>
        </w:rPr>
        <w:t>—202</w:t>
      </w:r>
      <w:r>
        <w:rPr>
          <w:rFonts w:hint="eastAsia" w:ascii="仿宋_GB2312" w:hAnsi="仿宋_GB2312" w:eastAsia="仿宋_GB2312" w:cs="仿宋_GB2312"/>
          <w:bCs/>
          <w:color w:val="auto"/>
          <w:sz w:val="32"/>
          <w:szCs w:val="32"/>
          <w:lang w:val="en-US" w:eastAsia="zh-CN"/>
        </w:rPr>
        <w:t>8</w:t>
      </w:r>
      <w:r>
        <w:rPr>
          <w:rFonts w:hint="eastAsia" w:ascii="仿宋_GB2312" w:hAnsi="仿宋_GB2312" w:eastAsia="仿宋_GB2312" w:cs="仿宋_GB2312"/>
          <w:bCs/>
          <w:color w:val="auto"/>
          <w:sz w:val="32"/>
          <w:szCs w:val="32"/>
        </w:rPr>
        <w:t>年：系统化习惯培养体系，总结并完善活动内容，形成稳定的好习惯培养机制；全面提升特色班级建设，好习惯特色班级比例逐步达到80%以上；完善综合评价与品牌建设，系统细化学生好习惯综合评价体系，全面优化“筑梦好少年”评优活动。力争1-5年级学生中90%养成规范好习惯，学校“红色基因润童心、勤学善思筑成长”德育品牌全面形成。</w:t>
      </w:r>
    </w:p>
    <w:p w14:paraId="2DA3C9F6">
      <w:pPr>
        <w:pStyle w:val="10"/>
        <w:adjustRightInd w:val="0"/>
        <w:snapToGrid w:val="0"/>
        <w:spacing w:line="560" w:lineRule="exact"/>
        <w:ind w:firstLine="64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（3）实施措施</w:t>
      </w:r>
    </w:p>
    <w:p w14:paraId="1D318780">
      <w:pPr>
        <w:pStyle w:val="10"/>
        <w:adjustRightInd w:val="0"/>
        <w:snapToGrid w:val="0"/>
        <w:spacing w:line="560" w:lineRule="exact"/>
        <w:ind w:firstLine="64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①实施“红色根脉”铸魂工程，厚植家国情怀。</w:t>
      </w:r>
    </w:p>
    <w:p w14:paraId="3C419D14">
      <w:pPr>
        <w:pStyle w:val="10"/>
        <w:adjustRightInd w:val="0"/>
        <w:snapToGrid w:val="0"/>
        <w:spacing w:line="560" w:lineRule="exact"/>
        <w:ind w:firstLine="64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系统利用国庆、建党纪念日等重要节点，持续开展“读懂中国”系列主题班队会。通过观看《大国工匠》、诵读红色家书、寻访本地红色地标等活动，分阶段、多形式引导学生从初步了解红色精神到深刻理解国家发展与个人命运的内在联系，将爱国情怀根植于心，支撑红色文化传承路径的构建与深化。</w:t>
      </w:r>
    </w:p>
    <w:p w14:paraId="3C8D9050">
      <w:pPr>
        <w:pStyle w:val="10"/>
        <w:adjustRightInd w:val="0"/>
        <w:snapToGrid w:val="0"/>
        <w:spacing w:line="560" w:lineRule="exact"/>
        <w:ind w:firstLine="64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②开展“榜样引领”先锋行动，诠释初心使命。</w:t>
      </w:r>
    </w:p>
    <w:p w14:paraId="26880C80">
      <w:pPr>
        <w:pStyle w:val="10"/>
        <w:adjustRightInd w:val="0"/>
        <w:snapToGrid w:val="0"/>
        <w:spacing w:line="560" w:lineRule="exact"/>
        <w:ind w:firstLine="64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常态化开展“新时代好少年”“学习标兵”“公益之星”等评选，并组织获奖者成立“先锋宣讲团”，分享其勤学、爱国、奉献的故事，用身边人、身边事教育学生，让“爱国向上践初心”成为可感可学的具体行动。</w:t>
      </w:r>
    </w:p>
    <w:p w14:paraId="686FEE77">
      <w:pPr>
        <w:pStyle w:val="10"/>
        <w:adjustRightInd w:val="0"/>
        <w:snapToGrid w:val="0"/>
        <w:spacing w:line="560" w:lineRule="exact"/>
        <w:ind w:firstLine="64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③打造“勤学笃行”智慧课堂，强化学思结合。</w:t>
      </w:r>
    </w:p>
    <w:p w14:paraId="305EA280">
      <w:pPr>
        <w:pStyle w:val="10"/>
        <w:adjustRightInd w:val="0"/>
        <w:snapToGrid w:val="0"/>
        <w:spacing w:line="560" w:lineRule="exact"/>
        <w:ind w:firstLine="64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 xml:space="preserve">在各学科教学中全面渗透“勤学善思”教育，语文、历史科重点挖掘家国情怀元素；数学、科学科侧重培养探索精神和逻辑思维。逐年推广并深化“项目式学习”（PBL）等教学模式，引导学生围绕真实问题开展探究，从基础的行为习惯培养，逐步过渡到系统的学习习惯和思维品质养成，在知行合一中强化本领 </w:t>
      </w:r>
    </w:p>
    <w:p w14:paraId="24F9FC14">
      <w:pPr>
        <w:pStyle w:val="10"/>
        <w:adjustRightInd w:val="0"/>
        <w:snapToGrid w:val="0"/>
        <w:spacing w:line="560" w:lineRule="exact"/>
        <w:ind w:firstLine="64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④创设“班级初心角”文化阵地，营造向上氛围。</w:t>
      </w:r>
    </w:p>
    <w:p w14:paraId="3D525D44">
      <w:pPr>
        <w:pStyle w:val="10"/>
        <w:adjustRightInd w:val="0"/>
        <w:snapToGrid w:val="0"/>
        <w:spacing w:line="560" w:lineRule="exact"/>
        <w:ind w:firstLine="64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在各班级设立“初心角”或“励志墙”，展示班级集体目标、学生的理想宣言、学习心得和爱国主题作品。营造“比、学、赶、帮、超”的积极氛围，使“勤学善思”和“爱国向上”成为班级的日常文化基因。</w:t>
      </w:r>
    </w:p>
    <w:p w14:paraId="767E414B">
      <w:pPr>
        <w:pStyle w:val="10"/>
        <w:adjustRightInd w:val="0"/>
        <w:snapToGrid w:val="0"/>
        <w:spacing w:line="560" w:lineRule="exact"/>
        <w:ind w:firstLine="64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⑤构建“行走的思政课”实践体系，砥砺强国之志。</w:t>
      </w:r>
    </w:p>
    <w:p w14:paraId="1A7E5AA6">
      <w:pPr>
        <w:pStyle w:val="10"/>
        <w:adjustRightInd w:val="0"/>
        <w:snapToGrid w:val="0"/>
        <w:spacing w:line="560" w:lineRule="exact"/>
        <w:ind w:firstLine="64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将德育课堂延伸至社会，组织学生走进科技馆、博物馆、现代化企业、美丽乡村，开展社会调查、志愿服务和职业体验。让学生在亲身体验中感受时代脉搏，理解“国之大者”，从而将个人学习成长与国家发展需要紧密结合。</w:t>
      </w:r>
    </w:p>
    <w:p w14:paraId="0AC057AE">
      <w:pPr>
        <w:pStyle w:val="10"/>
        <w:adjustRightInd w:val="0"/>
        <w:snapToGrid w:val="0"/>
        <w:spacing w:line="560" w:lineRule="exact"/>
        <w:ind w:firstLine="64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⑥深化“家校社同心”联动机制，凝聚育人合力。</w:t>
      </w:r>
    </w:p>
    <w:p w14:paraId="71EB2C6E">
      <w:pPr>
        <w:pStyle w:val="10"/>
        <w:adjustRightInd w:val="0"/>
        <w:snapToGrid w:val="0"/>
        <w:spacing w:line="560" w:lineRule="exact"/>
        <w:ind w:firstLine="64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开发“家国情怀”主题家本课程，邀请各行各业的优秀家长走进“家长讲堂”，讲述其爱岗敬业、报效社会的故事。与社区联动，组织学生参与社区治理、文明宣传等公益活动，在实践中践行初心，实现全员、全过程、全方位育人。</w:t>
      </w:r>
    </w:p>
    <w:p w14:paraId="07114016">
      <w:pPr>
        <w:pStyle w:val="10"/>
        <w:adjustRightInd w:val="0"/>
        <w:snapToGrid w:val="0"/>
        <w:spacing w:line="560" w:lineRule="exact"/>
        <w:ind w:firstLine="64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⑦完善“</w:t>
      </w:r>
      <w:r>
        <w:rPr>
          <w:rFonts w:hint="eastAsia" w:ascii="仿宋_GB2312" w:hAnsi="仿宋_GB2312" w:eastAsia="仿宋_GB2312" w:cs="仿宋_GB2312"/>
          <w:bCs/>
          <w:color w:val="auto"/>
          <w:sz w:val="32"/>
          <w:szCs w:val="32"/>
          <w:lang w:val="en-US" w:eastAsia="zh-CN"/>
        </w:rPr>
        <w:t>成长印记</w:t>
      </w:r>
      <w:r>
        <w:rPr>
          <w:rFonts w:hint="eastAsia" w:ascii="仿宋_GB2312" w:hAnsi="仿宋_GB2312" w:eastAsia="仿宋_GB2312" w:cs="仿宋_GB2312"/>
          <w:bCs/>
          <w:color w:val="auto"/>
          <w:sz w:val="32"/>
          <w:szCs w:val="32"/>
        </w:rPr>
        <w:t>”多元评价，激励全面发展。</w:t>
      </w:r>
    </w:p>
    <w:p w14:paraId="5A271014">
      <w:pPr>
        <w:pStyle w:val="10"/>
        <w:adjustRightInd w:val="0"/>
        <w:snapToGrid w:val="0"/>
        <w:spacing w:line="560" w:lineRule="exact"/>
        <w:ind w:firstLine="64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设计并启用《“</w:t>
      </w:r>
      <w:r>
        <w:rPr>
          <w:rFonts w:hint="eastAsia" w:ascii="仿宋_GB2312" w:hAnsi="仿宋_GB2312" w:eastAsia="仿宋_GB2312" w:cs="仿宋_GB2312"/>
          <w:bCs/>
          <w:color w:val="auto"/>
          <w:sz w:val="32"/>
          <w:szCs w:val="32"/>
          <w:lang w:val="en-US" w:eastAsia="zh-CN"/>
        </w:rPr>
        <w:t>筑梦</w:t>
      </w:r>
      <w:r>
        <w:rPr>
          <w:rFonts w:hint="eastAsia" w:ascii="仿宋_GB2312" w:hAnsi="仿宋_GB2312" w:eastAsia="仿宋_GB2312" w:cs="仿宋_GB2312"/>
          <w:bCs/>
          <w:color w:val="auto"/>
          <w:sz w:val="32"/>
          <w:szCs w:val="32"/>
        </w:rPr>
        <w:t>好少年”成长</w:t>
      </w:r>
      <w:r>
        <w:rPr>
          <w:rFonts w:hint="eastAsia" w:ascii="仿宋_GB2312" w:hAnsi="仿宋_GB2312" w:eastAsia="仿宋_GB2312" w:cs="仿宋_GB2312"/>
          <w:bCs/>
          <w:color w:val="auto"/>
          <w:sz w:val="32"/>
          <w:szCs w:val="32"/>
          <w:lang w:val="en-US" w:eastAsia="zh-CN"/>
        </w:rPr>
        <w:t>印记</w:t>
      </w:r>
      <w:r>
        <w:rPr>
          <w:rFonts w:hint="eastAsia" w:ascii="仿宋_GB2312" w:hAnsi="仿宋_GB2312" w:eastAsia="仿宋_GB2312" w:cs="仿宋_GB2312"/>
          <w:bCs/>
          <w:color w:val="auto"/>
          <w:sz w:val="32"/>
          <w:szCs w:val="32"/>
        </w:rPr>
        <w:t>》，将“勤学善思”（如创新想法、阅读积累）和“爱国向上”（如志愿服务、礼仪表现）等方面的成就细化为可记录、可认证的印章。通过集章升级、学期评优等方式，激励学生主动发展、全面成长，直观见证自己本领的增强和初心的践行。</w:t>
      </w:r>
    </w:p>
    <w:p w14:paraId="363AB7A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4.课程育人——</w:t>
      </w:r>
      <w:r>
        <w:rPr>
          <w:rFonts w:hint="eastAsia" w:ascii="仿宋_GB2312" w:hAnsi="仿宋_GB2312" w:eastAsia="仿宋_GB2312" w:cs="仿宋_GB2312"/>
          <w:bCs/>
          <w:color w:val="auto"/>
          <w:w w:val="100"/>
          <w:kern w:val="2"/>
          <w:sz w:val="32"/>
          <w:szCs w:val="32"/>
          <w:lang w:val="en-US" w:eastAsia="zh-CN" w:bidi="ar-SA"/>
        </w:rPr>
        <w:t>深化“博悦课堂”， 赋能师生成长</w:t>
      </w:r>
    </w:p>
    <w:p w14:paraId="3B6C275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（1）工作目标</w:t>
      </w:r>
    </w:p>
    <w:p w14:paraId="1332FCC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立足学校“博·悦”文化特色与乡村小规模学校实际，以新课标理念为引领，以“学为中心，素养为本”为核心理念，未来三年，我校教科研工作将聚焦于深化“博悦课堂”范式、构建“教学评一体化”新机制、提升教师科研素养三大任务。通过系统化、常态化的教育科研，重点突破"博悦课堂"任务设计、嵌入式评价等实践难，形成一支善研究、能创新、会反思的科研型教师队伍，并产出一批具有实践价值与推广意义的科研成果，最终服务于每一位学生的全面而有个性的成长。</w:t>
      </w:r>
    </w:p>
    <w:p w14:paraId="2C59827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（2）目标达成标志</w:t>
      </w:r>
    </w:p>
    <w:p w14:paraId="48728A8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①2025-2026年</w:t>
      </w:r>
    </w:p>
    <w:p w14:paraId="7A934C7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教学方面：</w:t>
      </w:r>
      <w:r>
        <w:rPr>
          <w:rFonts w:hint="eastAsia" w:ascii="仿宋_GB2312" w:hAnsi="仿宋_GB2312" w:eastAsia="仿宋_GB2312" w:cs="仿宋_GB2312"/>
          <w:sz w:val="32"/>
          <w:szCs w:val="32"/>
          <w:lang w:val="en-US" w:eastAsia="zh-CN"/>
        </w:rPr>
        <w:t>在学校原有“童本课堂”基础上的深化、升级与系统化，完成“博悦课堂”与“教学评一体化”的融合框架设计，尝试“五环节博悦教学流程”： 情境启博（创设真实、有趣的情境）- 探究寻悦（自主合作，动手动脑）-思辨明博（分享交流，思维碰撞）-迁移创悦（学以致用，创新实践）-反思共悦（总结收获，升华情感）</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课堂结构的初步尝试，建立课堂评价标准，并在语文、数学两个学科进行试点。</w:t>
      </w:r>
    </w:p>
    <w:p w14:paraId="786C8F8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val="0"/>
          <w:bCs w:val="0"/>
          <w:sz w:val="32"/>
          <w:szCs w:val="32"/>
          <w:lang w:val="en-US" w:eastAsia="zh-CN"/>
        </w:rPr>
        <w:t>科研方面：</w:t>
      </w:r>
      <w:r>
        <w:rPr>
          <w:rFonts w:hint="eastAsia" w:ascii="仿宋_GB2312" w:hAnsi="仿宋_GB2312" w:eastAsia="仿宋_GB2312" w:cs="仿宋_GB2312"/>
          <w:sz w:val="32"/>
          <w:szCs w:val="32"/>
          <w:lang w:val="en-US" w:eastAsia="zh-CN"/>
        </w:rPr>
        <w:t>完善学校科研工作等层设计和规范化指读建设。结合</w:t>
      </w:r>
      <w:r>
        <w:rPr>
          <w:rFonts w:hint="eastAsia" w:ascii="仿宋_GB2312" w:hAnsi="仿宋_GB2312" w:eastAsia="仿宋_GB2312" w:cs="仿宋_GB2312"/>
          <w:kern w:val="2"/>
          <w:sz w:val="32"/>
          <w:szCs w:val="32"/>
          <w:lang w:val="en-US" w:eastAsia="zh-CN" w:bidi="ar-SA"/>
        </w:rPr>
        <w:t>“博悦课堂”完成至少1项相关的校级课题研究，形成具有可操作性的教学策略与评价工具包。鼓励教师参与区级以上课题申报。组织校内科研成果交流活动不少于2次，推动优秀经验在校内外的共享与应用，鼓励教师积极撰写发表省级级以上论文。</w:t>
      </w:r>
    </w:p>
    <w:p w14:paraId="312499C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②2026-2027年</w:t>
      </w:r>
    </w:p>
    <w:p w14:paraId="2E0CB0C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教学方面：</w:t>
      </w:r>
      <w:r>
        <w:rPr>
          <w:rFonts w:hint="eastAsia" w:ascii="仿宋_GB2312" w:hAnsi="仿宋_GB2312" w:eastAsia="仿宋_GB2312" w:cs="仿宋_GB2312"/>
          <w:kern w:val="2"/>
          <w:sz w:val="32"/>
          <w:szCs w:val="32"/>
          <w:lang w:val="en-US" w:eastAsia="zh-CN" w:bidi="ar-SA"/>
        </w:rPr>
        <w:t>全面推广“博悦课堂”与“教学评一体化”的融合模式，深化“五环节博悦教学流程”，学生主体地位凸显。“博悦课堂覆盖全校所有学科，形成成熟、稳定的课堂评价体系。形成“博悦课堂”数字资源库，收录各学科的优秀课例不少于15个，全校学生课堂主动参与率提升至60%以上。开展“博悦课堂”教学成果展示活动，促进教师间的交流与学习。</w:t>
      </w:r>
    </w:p>
    <w:p w14:paraId="61DFE98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科研方面</w:t>
      </w:r>
      <w:r>
        <w:rPr>
          <w:rFonts w:hint="eastAsia" w:ascii="仿宋_GB2312" w:hAnsi="仿宋_GB2312" w:eastAsia="仿宋_GB2312" w:cs="仿宋_GB2312"/>
          <w:b/>
          <w:bCs/>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建立完善的教师科研提升机制，深化“博悦课堂”相关课题研究，完成至少2项校级课题，其中1项以上课题在区级层面立项。全年科研培训学习不少于3次，引入外部专家资源，提升学校科研水平。继续培养区级科研能手1-2名，发表省级级以上论文不少于3篇。</w:t>
      </w:r>
    </w:p>
    <w:p w14:paraId="1FF90E8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③2027 - 2028年</w:t>
      </w:r>
    </w:p>
    <w:p w14:paraId="5650CAA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教学方面：</w:t>
      </w:r>
      <w:r>
        <w:rPr>
          <w:rFonts w:hint="eastAsia" w:ascii="仿宋_GB2312" w:hAnsi="仿宋_GB2312" w:eastAsia="仿宋_GB2312" w:cs="仿宋_GB2312"/>
          <w:kern w:val="2"/>
          <w:sz w:val="32"/>
          <w:szCs w:val="32"/>
          <w:lang w:val="en-US" w:eastAsia="zh-CN" w:bidi="ar-SA"/>
        </w:rPr>
        <w:t>“博悦课堂”与“教学评一体化”的融合模式深入人心且高效运行，完善“五环节博悦教学流程”，各学科均形成独具特色且科学合理的课堂评价体系。持续优化“博悦课堂”数字资源库，收录的各学科优秀课例不少于30个，全校学生课堂主动参与率稳定在85%以上。定期举办“博悦课堂”教学成果展示与研讨活动，邀请校外专家参与点评，促进教师间的深度交流与学习，推动教学模式不断创新。</w:t>
      </w:r>
    </w:p>
    <w:p w14:paraId="67A0FD2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科研方面：</w:t>
      </w:r>
      <w:r>
        <w:rPr>
          <w:rFonts w:hint="eastAsia" w:ascii="仿宋_GB2312" w:hAnsi="仿宋_GB2312" w:eastAsia="仿宋_GB2312" w:cs="仿宋_GB2312"/>
          <w:kern w:val="2"/>
          <w:sz w:val="32"/>
          <w:szCs w:val="32"/>
          <w:lang w:val="en-US" w:eastAsia="zh-CN" w:bidi="ar-SA"/>
        </w:rPr>
        <w:t>教师科研素养显著提升，成功打造了一支高素质、专业化的科研型教师队伍。深入推进“博悦课堂”相关课题研究，系统整理和完善科研过程性资料及成果，注重成果的转化与推广。完成至少2项校级课题，并在上年度基础上新增1项及以上课题在区级层面立项，力争实现1项课题在市级层面立项。全年组织科研培训学习不少于4次，与外部科研机构建立长期合作关系，定期邀请专家来校进行指导。科研能手培养提升至2-3名，发表省级以上论文不少于4篇，产出一批具有高实践价值和广泛推广意义的科研成果，在区域内形成显著的学术影响力。</w:t>
      </w:r>
    </w:p>
    <w:p w14:paraId="5FED5BCB">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   （3）实施措施</w:t>
      </w:r>
    </w:p>
    <w:p w14:paraId="70E5A69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教学方面：</w:t>
      </w:r>
    </w:p>
    <w:p w14:paraId="174DA0F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①建机制明标准，抓培训促理解</w:t>
      </w:r>
    </w:p>
    <w:p w14:paraId="58C4D8A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成立“博悦课堂”专项工作组，制定《博悦课堂五环节教学流程实施指南》，明确各环节操作要点与评价标准。加强教师培训，定期组织“博悦课堂”教学理念与方法的专题研讨和培训活动，邀请教育专家和优秀教师来校讲学和示范课展示，提升教师对“博悦课堂”的理解和实施能力。</w:t>
      </w:r>
    </w:p>
    <w:p w14:paraId="771CC27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②推实践求创新，展成果促深化</w:t>
      </w:r>
    </w:p>
    <w:p w14:paraId="4CF23B6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推进课堂实践，各学科组结合“五环节博悦教学流程”，设计并实施具有学科特色的课堂教学方案，鼓励教师大胆创新，及时总结反思。开展“博悦课堂”教学展示月活动，组织校级公开课、微课大赛，推动教学模式从“形似”向“神似”转变。</w:t>
      </w:r>
    </w:p>
    <w:p w14:paraId="71F832E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③细观察助改进，跨学科促融合</w:t>
      </w:r>
    </w:p>
    <w:p w14:paraId="03391DA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建立课堂观察与评价机制，组建由校领导、教研组长和骨干教师构成的课堂观察小组，定期开展课堂观察活动，依据课堂评价标准进行客观评价，并及时反馈给授课教师，促进其教学改进。同时，加强学科间的交流与合作，组织跨学科的教学研讨活动，促进“博悦课堂”理念在不同学科中的融合与应用。</w:t>
      </w:r>
    </w:p>
    <w:p w14:paraId="7AA8310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科研方面：</w:t>
      </w:r>
    </w:p>
    <w:p w14:paraId="1C2090F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①严管理重过程，小课题解实题</w:t>
      </w:r>
    </w:p>
    <w:p w14:paraId="0B15737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加强课题研究管理，修订《耿家小学教科研管理办法》，明确课题申报、过程管理、成果认定与激励政策。对校级课题进行全程跟踪指导，确保课题研究的方向正确、方法科学、过程规范。定期组织课题中期检查和结题验收，对课题研究成果进行评估和推广。鼓励教师结合“博悦课堂”教学实践，开展小课题研究，解决教学中的实际问题。</w:t>
      </w:r>
    </w:p>
    <w:p w14:paraId="5E3AE2F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②搭平台促交流，借外力拓视野</w:t>
      </w:r>
    </w:p>
    <w:p w14:paraId="68BEDA3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搭建科研交流平台，定期举办校内科研论坛，邀请校内优秀科研教师分享研究经验和成果，促进教师之间的科研交流与合作。积极组织教师参加区级、市级以上的科研交流活动，拓宽教师的科研视野，学习先进的科研方法和理念。与高校、科研机构建立合作关系，邀请专家来校指导科研工作，提升学校的科研水平。</w:t>
      </w:r>
    </w:p>
    <w:p w14:paraId="23F9ADC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③分层次强培训，倡自主共提升</w:t>
      </w:r>
    </w:p>
    <w:p w14:paraId="097159E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强化科研培训力度，制定系统的科研培训计划，根据教师的科研需求和水平，分层分类开展培训活动。邀请科研专家进行专题讲座，介绍科研前沿动态和研究方法。组织教师参加线上科研培训课程，学习科研论文写作、课题申报等知识和技能。鼓励教师自主开展科研学习，定期组织科研学习心得交流活动，促进教师之间的相互学习和共同提高。</w:t>
      </w:r>
    </w:p>
    <w:p w14:paraId="6CC4EF14">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Cs/>
          <w:color w:val="auto"/>
          <w:sz w:val="32"/>
          <w:szCs w:val="32"/>
        </w:rPr>
        <w:t>5.</w:t>
      </w:r>
      <w:r>
        <w:rPr>
          <w:rFonts w:hint="eastAsia" w:ascii="仿宋_GB2312" w:hAnsi="仿宋_GB2312" w:eastAsia="仿宋_GB2312" w:cs="仿宋_GB2312"/>
          <w:bCs/>
          <w:color w:val="auto"/>
          <w:sz w:val="32"/>
          <w:szCs w:val="32"/>
          <w:lang w:val="en-US" w:eastAsia="zh-CN"/>
        </w:rPr>
        <w:t>师能提升——</w:t>
      </w:r>
      <w:r>
        <w:rPr>
          <w:rFonts w:hint="eastAsia" w:ascii="仿宋_GB2312" w:hAnsi="仿宋_GB2312" w:eastAsia="仿宋_GB2312" w:cs="仿宋_GB2312"/>
          <w:bCs/>
          <w:color w:val="auto"/>
          <w:sz w:val="32"/>
          <w:szCs w:val="32"/>
        </w:rPr>
        <w:t>打造</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lang w:val="en-US" w:eastAsia="zh-CN"/>
        </w:rPr>
        <w:t>成长、赋能、共生”新教师团队</w:t>
      </w:r>
    </w:p>
    <w:p w14:paraId="2D0FEFEF">
      <w:pPr>
        <w:pStyle w:val="10"/>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（1）工作目标</w:t>
      </w:r>
    </w:p>
    <w:p w14:paraId="3B2C47AD">
      <w:pPr>
        <w:keepNext w:val="0"/>
        <w:keepLines w:val="0"/>
        <w:pageBreakBefore w:val="0"/>
        <w:widowControl w:val="0"/>
        <w:kinsoku/>
        <w:wordWrap/>
        <w:overflowPunct/>
        <w:topLinePunct w:val="0"/>
        <w:autoSpaceDE/>
        <w:autoSpaceDN/>
        <w:bidi w:val="0"/>
        <w:spacing w:line="560" w:lineRule="exact"/>
        <w:ind w:firstLine="960" w:firstLineChars="300"/>
        <w:textAlignment w:val="auto"/>
        <w:rPr>
          <w:rFonts w:hint="eastAsia" w:ascii="仿宋_GB2312" w:hAnsi="仿宋_GB2312" w:eastAsia="仿宋_GB2312" w:cs="仿宋_GB2312"/>
          <w:bCs/>
          <w:color w:val="auto"/>
          <w:w w:val="100"/>
          <w:kern w:val="2"/>
          <w:sz w:val="32"/>
          <w:szCs w:val="32"/>
          <w:lang w:val="en-US" w:eastAsia="zh-CN" w:bidi="ar-SA"/>
        </w:rPr>
      </w:pPr>
      <w:r>
        <w:rPr>
          <w:rFonts w:hint="eastAsia" w:ascii="仿宋_GB2312" w:hAnsi="仿宋_GB2312" w:eastAsia="仿宋_GB2312" w:cs="仿宋_GB2312"/>
          <w:bCs/>
          <w:color w:val="auto"/>
          <w:w w:val="100"/>
          <w:kern w:val="2"/>
          <w:sz w:val="32"/>
          <w:szCs w:val="32"/>
          <w:lang w:val="en-US" w:eastAsia="zh-CN" w:bidi="ar-SA"/>
        </w:rPr>
        <w:t>以教师发展为中心，构建一个“引领有力、支撑给力、成长发力”的教师发展新生态。通过文化浸润、机制创新与平台赋能，致力于构建一个自我驱动、组织支持、同伴互助的教师专业新团队。</w:t>
      </w:r>
    </w:p>
    <w:p w14:paraId="1A5641B1">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（2）具体达成标志</w:t>
      </w:r>
    </w:p>
    <w:p w14:paraId="03B1668C">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rPr>
        <w:fldChar w:fldCharType="begin"/>
      </w:r>
      <w:r>
        <w:rPr>
          <w:rFonts w:hint="eastAsia" w:ascii="仿宋_GB2312" w:hAnsi="仿宋_GB2312" w:eastAsia="仿宋_GB2312" w:cs="仿宋_GB2312"/>
          <w:bCs/>
          <w:color w:val="auto"/>
          <w:sz w:val="32"/>
          <w:szCs w:val="32"/>
        </w:rPr>
        <w:instrText xml:space="preserve"> = 1 \* GB3 </w:instrText>
      </w:r>
      <w:r>
        <w:rPr>
          <w:rFonts w:hint="eastAsia" w:ascii="仿宋_GB2312" w:hAnsi="仿宋_GB2312" w:eastAsia="仿宋_GB2312" w:cs="仿宋_GB2312"/>
          <w:bCs/>
          <w:color w:val="auto"/>
          <w:sz w:val="32"/>
          <w:szCs w:val="32"/>
        </w:rPr>
        <w:fldChar w:fldCharType="separate"/>
      </w:r>
      <w:r>
        <w:rPr>
          <w:rFonts w:hint="eastAsia" w:ascii="仿宋_GB2312" w:hAnsi="仿宋_GB2312" w:eastAsia="仿宋_GB2312" w:cs="仿宋_GB2312"/>
          <w:bCs/>
          <w:color w:val="auto"/>
          <w:sz w:val="32"/>
          <w:szCs w:val="32"/>
        </w:rPr>
        <w:t>①</w:t>
      </w:r>
      <w:r>
        <w:rPr>
          <w:rFonts w:hint="eastAsia" w:ascii="仿宋_GB2312" w:hAnsi="仿宋_GB2312" w:eastAsia="仿宋_GB2312" w:cs="仿宋_GB2312"/>
          <w:bCs/>
          <w:color w:val="auto"/>
          <w:sz w:val="32"/>
          <w:szCs w:val="32"/>
        </w:rPr>
        <w:fldChar w:fldCharType="end"/>
      </w:r>
      <w:r>
        <w:rPr>
          <w:rFonts w:hint="eastAsia" w:ascii="仿宋_GB2312" w:hAnsi="仿宋_GB2312" w:eastAsia="仿宋_GB2312" w:cs="仿宋_GB2312"/>
          <w:bCs/>
          <w:color w:val="auto"/>
          <w:sz w:val="32"/>
          <w:szCs w:val="32"/>
        </w:rPr>
        <w:t>202</w:t>
      </w:r>
      <w:r>
        <w:rPr>
          <w:rFonts w:hint="eastAsia" w:ascii="仿宋_GB2312" w:hAnsi="仿宋_GB2312" w:eastAsia="仿宋_GB2312" w:cs="仿宋_GB2312"/>
          <w:bCs/>
          <w:color w:val="auto"/>
          <w:sz w:val="32"/>
          <w:szCs w:val="32"/>
          <w:lang w:val="en-US" w:eastAsia="zh-CN"/>
        </w:rPr>
        <w:t>5</w:t>
      </w:r>
      <w:r>
        <w:rPr>
          <w:rFonts w:hint="eastAsia" w:ascii="仿宋_GB2312" w:hAnsi="仿宋_GB2312" w:eastAsia="仿宋_GB2312" w:cs="仿宋_GB2312"/>
          <w:bCs/>
          <w:color w:val="auto"/>
          <w:sz w:val="32"/>
          <w:szCs w:val="32"/>
        </w:rPr>
        <w:t>-202</w:t>
      </w:r>
      <w:r>
        <w:rPr>
          <w:rFonts w:hint="eastAsia" w:ascii="仿宋_GB2312" w:hAnsi="仿宋_GB2312" w:eastAsia="仿宋_GB2312" w:cs="仿宋_GB2312"/>
          <w:bCs/>
          <w:color w:val="auto"/>
          <w:sz w:val="32"/>
          <w:szCs w:val="32"/>
          <w:lang w:val="en-US" w:eastAsia="zh-CN"/>
        </w:rPr>
        <w:t>6</w:t>
      </w:r>
      <w:r>
        <w:rPr>
          <w:rFonts w:hint="eastAsia" w:ascii="仿宋_GB2312" w:hAnsi="仿宋_GB2312" w:eastAsia="仿宋_GB2312" w:cs="仿宋_GB2312"/>
          <w:bCs/>
          <w:color w:val="auto"/>
          <w:sz w:val="32"/>
          <w:szCs w:val="32"/>
        </w:rPr>
        <w:t>年</w:t>
      </w:r>
      <w:r>
        <w:rPr>
          <w:rFonts w:hint="eastAsia" w:ascii="仿宋_GB2312" w:hAnsi="仿宋_GB2312" w:eastAsia="仿宋_GB2312" w:cs="仿宋_GB2312"/>
          <w:bCs/>
          <w:color w:val="auto"/>
          <w:sz w:val="32"/>
          <w:szCs w:val="32"/>
          <w:lang w:val="en-US" w:eastAsia="zh-CN"/>
        </w:rPr>
        <w:t>：组织全体教师制定个人三年发展规划建立教师专业发展档案开展职业生涯规划指导讲座组织教学设计、课堂管理专项培训开展板书、课件制作等技能比武，举行新教师汇报课活动， 成立学科备课组，开展集体备课，每月组织一次教学研讨会。</w:t>
      </w:r>
    </w:p>
    <w:p w14:paraId="271757F6">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rPr>
        <w:fldChar w:fldCharType="begin"/>
      </w:r>
      <w:r>
        <w:rPr>
          <w:rFonts w:hint="eastAsia" w:ascii="仿宋_GB2312" w:hAnsi="仿宋_GB2312" w:eastAsia="仿宋_GB2312" w:cs="仿宋_GB2312"/>
          <w:bCs/>
          <w:color w:val="auto"/>
          <w:sz w:val="32"/>
          <w:szCs w:val="32"/>
        </w:rPr>
        <w:instrText xml:space="preserve"> = 2 \* GB3 </w:instrText>
      </w:r>
      <w:r>
        <w:rPr>
          <w:rFonts w:hint="eastAsia" w:ascii="仿宋_GB2312" w:hAnsi="仿宋_GB2312" w:eastAsia="仿宋_GB2312" w:cs="仿宋_GB2312"/>
          <w:bCs/>
          <w:color w:val="auto"/>
          <w:sz w:val="32"/>
          <w:szCs w:val="32"/>
        </w:rPr>
        <w:fldChar w:fldCharType="separate"/>
      </w:r>
      <w:r>
        <w:rPr>
          <w:rFonts w:hint="eastAsia" w:ascii="仿宋_GB2312" w:hAnsi="仿宋_GB2312" w:eastAsia="仿宋_GB2312" w:cs="仿宋_GB2312"/>
          <w:bCs/>
          <w:color w:val="auto"/>
          <w:sz w:val="32"/>
          <w:szCs w:val="32"/>
        </w:rPr>
        <w:t>②</w:t>
      </w:r>
      <w:r>
        <w:rPr>
          <w:rFonts w:hint="eastAsia" w:ascii="仿宋_GB2312" w:hAnsi="仿宋_GB2312" w:eastAsia="仿宋_GB2312" w:cs="仿宋_GB2312"/>
          <w:bCs/>
          <w:color w:val="auto"/>
          <w:sz w:val="32"/>
          <w:szCs w:val="32"/>
        </w:rPr>
        <w:fldChar w:fldCharType="end"/>
      </w:r>
      <w:r>
        <w:rPr>
          <w:rFonts w:hint="eastAsia" w:ascii="仿宋_GB2312" w:hAnsi="仿宋_GB2312" w:eastAsia="仿宋_GB2312" w:cs="仿宋_GB2312"/>
          <w:bCs/>
          <w:color w:val="auto"/>
          <w:sz w:val="32"/>
          <w:szCs w:val="32"/>
        </w:rPr>
        <w:t>202</w:t>
      </w:r>
      <w:r>
        <w:rPr>
          <w:rFonts w:hint="eastAsia" w:ascii="仿宋_GB2312" w:hAnsi="仿宋_GB2312" w:eastAsia="仿宋_GB2312" w:cs="仿宋_GB2312"/>
          <w:bCs/>
          <w:color w:val="auto"/>
          <w:sz w:val="32"/>
          <w:szCs w:val="32"/>
          <w:lang w:val="en-US" w:eastAsia="zh-CN"/>
        </w:rPr>
        <w:t>6</w:t>
      </w:r>
      <w:r>
        <w:rPr>
          <w:rFonts w:hint="eastAsia" w:ascii="仿宋_GB2312" w:hAnsi="仿宋_GB2312" w:eastAsia="仿宋_GB2312" w:cs="仿宋_GB2312"/>
          <w:bCs/>
          <w:color w:val="auto"/>
          <w:sz w:val="32"/>
          <w:szCs w:val="32"/>
        </w:rPr>
        <w:t>-202</w:t>
      </w:r>
      <w:r>
        <w:rPr>
          <w:rFonts w:hint="eastAsia" w:ascii="仿宋_GB2312" w:hAnsi="仿宋_GB2312" w:eastAsia="仿宋_GB2312" w:cs="仿宋_GB2312"/>
          <w:bCs/>
          <w:color w:val="auto"/>
          <w:sz w:val="32"/>
          <w:szCs w:val="32"/>
          <w:lang w:val="en-US" w:eastAsia="zh-CN"/>
        </w:rPr>
        <w:t>7</w:t>
      </w:r>
      <w:r>
        <w:rPr>
          <w:rFonts w:hint="eastAsia" w:ascii="仿宋_GB2312" w:hAnsi="仿宋_GB2312" w:eastAsia="仿宋_GB2312" w:cs="仿宋_GB2312"/>
          <w:bCs/>
          <w:color w:val="auto"/>
          <w:sz w:val="32"/>
          <w:szCs w:val="32"/>
        </w:rPr>
        <w:t>年：</w:t>
      </w:r>
      <w:r>
        <w:rPr>
          <w:rFonts w:hint="eastAsia" w:ascii="仿宋_GB2312" w:hAnsi="仿宋_GB2312" w:eastAsia="仿宋_GB2312" w:cs="仿宋_GB2312"/>
          <w:bCs/>
          <w:color w:val="auto"/>
          <w:sz w:val="32"/>
          <w:szCs w:val="32"/>
          <w:lang w:val="en-US" w:eastAsia="zh-CN"/>
        </w:rPr>
        <w:t xml:space="preserve"> 成立2-3个学科名师工作室，选拔培养校级骨干教师 ，开展校际教研交流活动 ，举办校级教学比武大赛，开展优质课评选活动，组织教学案例评比。选派教师参加区市级培训，组织参观优秀学校，邀请专家来校指导。</w:t>
      </w:r>
    </w:p>
    <w:p w14:paraId="156A7650">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rPr>
        <w:fldChar w:fldCharType="begin"/>
      </w:r>
      <w:r>
        <w:rPr>
          <w:rFonts w:hint="eastAsia" w:ascii="仿宋_GB2312" w:hAnsi="仿宋_GB2312" w:eastAsia="仿宋_GB2312" w:cs="仿宋_GB2312"/>
          <w:bCs/>
          <w:color w:val="auto"/>
          <w:sz w:val="32"/>
          <w:szCs w:val="32"/>
        </w:rPr>
        <w:instrText xml:space="preserve"> = 3 \* GB3 </w:instrText>
      </w:r>
      <w:r>
        <w:rPr>
          <w:rFonts w:hint="eastAsia" w:ascii="仿宋_GB2312" w:hAnsi="仿宋_GB2312" w:eastAsia="仿宋_GB2312" w:cs="仿宋_GB2312"/>
          <w:bCs/>
          <w:color w:val="auto"/>
          <w:sz w:val="32"/>
          <w:szCs w:val="32"/>
        </w:rPr>
        <w:fldChar w:fldCharType="separate"/>
      </w:r>
      <w:r>
        <w:rPr>
          <w:rFonts w:hint="eastAsia" w:ascii="仿宋_GB2312" w:hAnsi="仿宋_GB2312" w:eastAsia="仿宋_GB2312" w:cs="仿宋_GB2312"/>
          <w:bCs/>
          <w:color w:val="auto"/>
          <w:sz w:val="32"/>
          <w:szCs w:val="32"/>
        </w:rPr>
        <w:t>③</w:t>
      </w:r>
      <w:r>
        <w:rPr>
          <w:rFonts w:hint="eastAsia" w:ascii="仿宋_GB2312" w:hAnsi="仿宋_GB2312" w:eastAsia="仿宋_GB2312" w:cs="仿宋_GB2312"/>
          <w:bCs/>
          <w:color w:val="auto"/>
          <w:sz w:val="32"/>
          <w:szCs w:val="32"/>
        </w:rPr>
        <w:fldChar w:fldCharType="end"/>
      </w:r>
      <w:r>
        <w:rPr>
          <w:rFonts w:hint="eastAsia" w:ascii="仿宋_GB2312" w:hAnsi="仿宋_GB2312" w:eastAsia="仿宋_GB2312" w:cs="仿宋_GB2312"/>
          <w:bCs/>
          <w:color w:val="auto"/>
          <w:sz w:val="32"/>
          <w:szCs w:val="32"/>
        </w:rPr>
        <w:t>202</w:t>
      </w:r>
      <w:r>
        <w:rPr>
          <w:rFonts w:hint="eastAsia" w:ascii="仿宋_GB2312" w:hAnsi="仿宋_GB2312" w:eastAsia="仿宋_GB2312" w:cs="仿宋_GB2312"/>
          <w:bCs/>
          <w:color w:val="auto"/>
          <w:sz w:val="32"/>
          <w:szCs w:val="32"/>
          <w:lang w:val="en-US" w:eastAsia="zh-CN"/>
        </w:rPr>
        <w:t>7</w:t>
      </w:r>
      <w:r>
        <w:rPr>
          <w:rFonts w:hint="eastAsia" w:ascii="仿宋_GB2312" w:hAnsi="仿宋_GB2312" w:eastAsia="仿宋_GB2312" w:cs="仿宋_GB2312"/>
          <w:bCs/>
          <w:color w:val="auto"/>
          <w:sz w:val="32"/>
          <w:szCs w:val="32"/>
        </w:rPr>
        <w:t>-202</w:t>
      </w:r>
      <w:r>
        <w:rPr>
          <w:rFonts w:hint="eastAsia" w:ascii="仿宋_GB2312" w:hAnsi="仿宋_GB2312" w:eastAsia="仿宋_GB2312" w:cs="仿宋_GB2312"/>
          <w:bCs/>
          <w:color w:val="auto"/>
          <w:sz w:val="32"/>
          <w:szCs w:val="32"/>
          <w:lang w:val="en-US" w:eastAsia="zh-CN"/>
        </w:rPr>
        <w:t>8年：培养1-2名区级骨干教师，打造校级名师团队，建立名师工作坊，汇编优秀教学案例集， 整理课题研究成果，制作教师成长记录册，形成校本培训课程体系， 建立教师发展资源库，完善培训评估机制。举办教学成果展示周，开展区域教学观摩活动，总结推广成功经验。</w:t>
      </w:r>
    </w:p>
    <w:p w14:paraId="66B85E01">
      <w:pPr>
        <w:pStyle w:val="10"/>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（3）实施措施</w:t>
      </w:r>
    </w:p>
    <w:p w14:paraId="35762AD8">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rPr>
        <w:fldChar w:fldCharType="begin"/>
      </w:r>
      <w:r>
        <w:rPr>
          <w:rFonts w:hint="eastAsia" w:ascii="仿宋_GB2312" w:hAnsi="仿宋_GB2312" w:eastAsia="仿宋_GB2312" w:cs="仿宋_GB2312"/>
          <w:bCs/>
          <w:color w:val="auto"/>
          <w:sz w:val="32"/>
          <w:szCs w:val="32"/>
        </w:rPr>
        <w:instrText xml:space="preserve"> = 1 \* GB3 </w:instrText>
      </w:r>
      <w:r>
        <w:rPr>
          <w:rFonts w:hint="eastAsia" w:ascii="仿宋_GB2312" w:hAnsi="仿宋_GB2312" w:eastAsia="仿宋_GB2312" w:cs="仿宋_GB2312"/>
          <w:bCs/>
          <w:color w:val="auto"/>
          <w:sz w:val="32"/>
          <w:szCs w:val="32"/>
        </w:rPr>
        <w:fldChar w:fldCharType="separate"/>
      </w:r>
      <w:r>
        <w:rPr>
          <w:rFonts w:hint="eastAsia" w:ascii="仿宋_GB2312" w:hAnsi="仿宋_GB2312" w:eastAsia="仿宋_GB2312" w:cs="仿宋_GB2312"/>
          <w:bCs/>
          <w:color w:val="auto"/>
          <w:sz w:val="32"/>
          <w:szCs w:val="32"/>
        </w:rPr>
        <w:t>①</w:t>
      </w:r>
      <w:r>
        <w:rPr>
          <w:rFonts w:hint="eastAsia" w:ascii="仿宋_GB2312" w:hAnsi="仿宋_GB2312" w:eastAsia="仿宋_GB2312" w:cs="仿宋_GB2312"/>
          <w:bCs/>
          <w:color w:val="auto"/>
          <w:sz w:val="32"/>
          <w:szCs w:val="32"/>
        </w:rPr>
        <w:fldChar w:fldCharType="end"/>
      </w:r>
      <w:r>
        <w:rPr>
          <w:rFonts w:hint="eastAsia" w:ascii="仿宋_GB2312" w:hAnsi="仿宋_GB2312" w:eastAsia="仿宋_GB2312" w:cs="仿宋_GB2312"/>
          <w:bCs/>
          <w:color w:val="auto"/>
          <w:sz w:val="32"/>
          <w:szCs w:val="32"/>
          <w:lang w:val="en-US" w:eastAsia="zh-CN"/>
        </w:rPr>
        <w:t>强化顶层设计，以规划引领个人发展</w:t>
      </w:r>
    </w:p>
    <w:p w14:paraId="5CB72FE7">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学校将以三年发展规划为蓝图，指导每位教师制定个性化的《教师个人三年发展规划书》。成立专门的发展规划指导小组，为教师提供精准的分析与指导，确保个人发展与学校愿景同频共振，实现共同成长。</w:t>
      </w:r>
    </w:p>
    <w:p w14:paraId="1FA29856">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rPr>
        <w:fldChar w:fldCharType="begin"/>
      </w:r>
      <w:r>
        <w:rPr>
          <w:rFonts w:hint="eastAsia" w:ascii="仿宋_GB2312" w:hAnsi="仿宋_GB2312" w:eastAsia="仿宋_GB2312" w:cs="仿宋_GB2312"/>
          <w:bCs/>
          <w:color w:val="auto"/>
          <w:sz w:val="32"/>
          <w:szCs w:val="32"/>
        </w:rPr>
        <w:instrText xml:space="preserve"> = 2 \* GB3 </w:instrText>
      </w:r>
      <w:r>
        <w:rPr>
          <w:rFonts w:hint="eastAsia" w:ascii="仿宋_GB2312" w:hAnsi="仿宋_GB2312" w:eastAsia="仿宋_GB2312" w:cs="仿宋_GB2312"/>
          <w:bCs/>
          <w:color w:val="auto"/>
          <w:sz w:val="32"/>
          <w:szCs w:val="32"/>
        </w:rPr>
        <w:fldChar w:fldCharType="separate"/>
      </w:r>
      <w:r>
        <w:rPr>
          <w:rFonts w:hint="eastAsia" w:ascii="仿宋_GB2312" w:hAnsi="仿宋_GB2312" w:eastAsia="仿宋_GB2312" w:cs="仿宋_GB2312"/>
          <w:bCs/>
          <w:color w:val="auto"/>
          <w:sz w:val="32"/>
          <w:szCs w:val="32"/>
        </w:rPr>
        <w:t>②</w:t>
      </w:r>
      <w:r>
        <w:rPr>
          <w:rFonts w:hint="eastAsia" w:ascii="仿宋_GB2312" w:hAnsi="仿宋_GB2312" w:eastAsia="仿宋_GB2312" w:cs="仿宋_GB2312"/>
          <w:bCs/>
          <w:color w:val="auto"/>
          <w:sz w:val="32"/>
          <w:szCs w:val="32"/>
        </w:rPr>
        <w:fldChar w:fldCharType="end"/>
      </w:r>
      <w:r>
        <w:rPr>
          <w:rFonts w:hint="eastAsia" w:ascii="仿宋_GB2312" w:hAnsi="仿宋_GB2312" w:eastAsia="仿宋_GB2312" w:cs="仿宋_GB2312"/>
          <w:bCs/>
          <w:color w:val="auto"/>
          <w:sz w:val="32"/>
          <w:szCs w:val="32"/>
          <w:lang w:val="en-US" w:eastAsia="zh-CN"/>
        </w:rPr>
        <w:t>深化师德师风建设，筑牢育人根基</w:t>
      </w:r>
    </w:p>
    <w:p w14:paraId="081C898C">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实施“师德涵养工程”。通过开展形式多样、扎实有效的主题学习、榜样宣传、案例剖析与师德承诺等活动，将师德教育融入日常。定期评选表彰“最美耿小教师”，树立典型，弘扬正气，将师德表现作为教师评价的第一标准，培育风清气正的育人环境。</w:t>
      </w:r>
    </w:p>
    <w:p w14:paraId="3D892C2B">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rPr>
        <w:fldChar w:fldCharType="begin"/>
      </w:r>
      <w:r>
        <w:rPr>
          <w:rFonts w:hint="eastAsia" w:ascii="仿宋_GB2312" w:hAnsi="仿宋_GB2312" w:eastAsia="仿宋_GB2312" w:cs="仿宋_GB2312"/>
          <w:bCs/>
          <w:color w:val="auto"/>
          <w:sz w:val="32"/>
          <w:szCs w:val="32"/>
        </w:rPr>
        <w:instrText xml:space="preserve"> = 3 \* GB3 </w:instrText>
      </w:r>
      <w:r>
        <w:rPr>
          <w:rFonts w:hint="eastAsia" w:ascii="仿宋_GB2312" w:hAnsi="仿宋_GB2312" w:eastAsia="仿宋_GB2312" w:cs="仿宋_GB2312"/>
          <w:bCs/>
          <w:color w:val="auto"/>
          <w:sz w:val="32"/>
          <w:szCs w:val="32"/>
        </w:rPr>
        <w:fldChar w:fldCharType="separate"/>
      </w:r>
      <w:r>
        <w:rPr>
          <w:rFonts w:hint="eastAsia" w:ascii="仿宋_GB2312" w:hAnsi="仿宋_GB2312" w:eastAsia="仿宋_GB2312" w:cs="仿宋_GB2312"/>
          <w:bCs/>
          <w:color w:val="auto"/>
          <w:sz w:val="32"/>
          <w:szCs w:val="32"/>
        </w:rPr>
        <w:t>③</w:t>
      </w:r>
      <w:r>
        <w:rPr>
          <w:rFonts w:hint="eastAsia" w:ascii="仿宋_GB2312" w:hAnsi="仿宋_GB2312" w:eastAsia="仿宋_GB2312" w:cs="仿宋_GB2312"/>
          <w:bCs/>
          <w:color w:val="auto"/>
          <w:sz w:val="32"/>
          <w:szCs w:val="32"/>
        </w:rPr>
        <w:fldChar w:fldCharType="end"/>
      </w:r>
      <w:r>
        <w:rPr>
          <w:rFonts w:hint="eastAsia" w:ascii="仿宋_GB2312" w:hAnsi="仿宋_GB2312" w:eastAsia="仿宋_GB2312" w:cs="仿宋_GB2312"/>
          <w:bCs/>
          <w:color w:val="auto"/>
          <w:sz w:val="32"/>
          <w:szCs w:val="32"/>
          <w:lang w:val="en-US" w:eastAsia="zh-CN"/>
        </w:rPr>
        <w:t xml:space="preserve"> 构建精准培训体系，实现按需赋能</w:t>
      </w:r>
    </w:p>
    <w:p w14:paraId="27A6AC1A">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完善学校自培机制，建立以需求为导向的“三维”培训体系。夯实面向全体教师的基础通识培训；深化按学科划分的专业技能培训；开展针对不同发展层次教师的个性化定制培训。坚持“因人施训”、“因需设训”的原则，创新采用“混合式研修”、“主题工作坊”等模式。严格教师培训的学分管理，确保人人达标，并建立培训效果反馈机制，持续提升培训质量。</w:t>
      </w:r>
    </w:p>
    <w:p w14:paraId="32AF0E22">
      <w:pPr>
        <w:pStyle w:val="4"/>
        <w:keepNext w:val="0"/>
        <w:keepLines w:val="0"/>
        <w:pageBreakBefore w:val="0"/>
        <w:widowControl/>
        <w:kinsoku/>
        <w:wordWrap/>
        <w:overflowPunct/>
        <w:topLinePunct w:val="0"/>
        <w:bidi w:val="0"/>
        <w:spacing w:line="560" w:lineRule="exact"/>
        <w:ind w:firstLine="705"/>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6.</w:t>
      </w:r>
      <w:r>
        <w:rPr>
          <w:rFonts w:hint="eastAsia" w:ascii="仿宋_GB2312" w:hAnsi="仿宋_GB2312" w:eastAsia="仿宋_GB2312" w:cs="仿宋_GB2312"/>
          <w:bCs/>
          <w:color w:val="000000" w:themeColor="text1"/>
          <w:sz w:val="32"/>
          <w:szCs w:val="32"/>
          <w14:textFill>
            <w14:solidFill>
              <w14:schemeClr w14:val="tx1"/>
            </w14:solidFill>
          </w14:textFill>
        </w:rPr>
        <w:t>以</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生</w:t>
      </w:r>
      <w:r>
        <w:rPr>
          <w:rFonts w:hint="eastAsia" w:ascii="仿宋_GB2312" w:hAnsi="仿宋_GB2312" w:eastAsia="仿宋_GB2312" w:cs="仿宋_GB2312"/>
          <w:bCs/>
          <w:color w:val="000000" w:themeColor="text1"/>
          <w:sz w:val="32"/>
          <w:szCs w:val="32"/>
          <w14:textFill>
            <w14:solidFill>
              <w14:schemeClr w14:val="tx1"/>
            </w14:solidFill>
          </w14:textFill>
        </w:rPr>
        <w:t>为本，服务育人——为师生提供</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安全保障和全面</w:t>
      </w:r>
      <w:r>
        <w:rPr>
          <w:rFonts w:hint="eastAsia" w:ascii="仿宋_GB2312" w:hAnsi="仿宋_GB2312" w:eastAsia="仿宋_GB2312" w:cs="仿宋_GB2312"/>
          <w:bCs/>
          <w:color w:val="000000" w:themeColor="text1"/>
          <w:sz w:val="32"/>
          <w:szCs w:val="32"/>
          <w14:textFill>
            <w14:solidFill>
              <w14:schemeClr w14:val="tx1"/>
            </w14:solidFill>
          </w14:textFill>
        </w:rPr>
        <w:t>服务</w:t>
      </w:r>
    </w:p>
    <w:p w14:paraId="4CA1CCE1">
      <w:pPr>
        <w:pStyle w:val="10"/>
        <w:keepNext w:val="0"/>
        <w:keepLines w:val="0"/>
        <w:pageBreakBefore w:val="0"/>
        <w:kinsoku/>
        <w:wordWrap/>
        <w:overflowPunct/>
        <w:topLinePunct w:val="0"/>
        <w:bidi w:val="0"/>
        <w:adjustRightInd w:val="0"/>
        <w:snapToGrid w:val="0"/>
        <w:spacing w:line="560" w:lineRule="exact"/>
        <w:ind w:firstLine="64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（1）工作目标</w:t>
      </w:r>
    </w:p>
    <w:p w14:paraId="38394E44">
      <w:pPr>
        <w:pStyle w:val="10"/>
        <w:keepNext w:val="0"/>
        <w:keepLines w:val="0"/>
        <w:pageBreakBefore w:val="0"/>
        <w:kinsoku/>
        <w:wordWrap/>
        <w:overflowPunct/>
        <w:topLinePunct w:val="0"/>
        <w:bidi w:val="0"/>
        <w:adjustRightInd w:val="0"/>
        <w:snapToGrid w:val="0"/>
        <w:spacing w:line="560" w:lineRule="exact"/>
        <w:ind w:firstLine="64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坚持"以</w:t>
      </w:r>
      <w:r>
        <w:rPr>
          <w:rFonts w:hint="eastAsia" w:ascii="仿宋_GB2312" w:hAnsi="仿宋_GB2312" w:eastAsia="仿宋_GB2312" w:cs="仿宋_GB2312"/>
          <w:bCs/>
          <w:color w:val="auto"/>
          <w:sz w:val="32"/>
          <w:szCs w:val="32"/>
          <w:lang w:val="en-US" w:eastAsia="zh-CN"/>
        </w:rPr>
        <w:t>生</w:t>
      </w:r>
      <w:r>
        <w:rPr>
          <w:rFonts w:hint="eastAsia" w:ascii="仿宋_GB2312" w:hAnsi="仿宋_GB2312" w:eastAsia="仿宋_GB2312" w:cs="仿宋_GB2312"/>
          <w:bCs/>
          <w:color w:val="auto"/>
          <w:sz w:val="32"/>
          <w:szCs w:val="32"/>
        </w:rPr>
        <w:t>为本，服务育人"的思想，树立服务意识，提高服务技能，保证服务质量，规范后勤管理，为学校的教育、教学工作提供有力后勤</w:t>
      </w:r>
      <w:r>
        <w:rPr>
          <w:rFonts w:hint="eastAsia" w:ascii="仿宋_GB2312" w:hAnsi="仿宋_GB2312" w:eastAsia="仿宋_GB2312" w:cs="仿宋_GB2312"/>
          <w:bCs/>
          <w:color w:val="auto"/>
          <w:sz w:val="32"/>
          <w:szCs w:val="32"/>
          <w:lang w:val="en-US" w:eastAsia="zh-CN"/>
        </w:rPr>
        <w:t>服务</w:t>
      </w:r>
      <w:r>
        <w:rPr>
          <w:rFonts w:hint="eastAsia" w:ascii="仿宋_GB2312" w:hAnsi="仿宋_GB2312" w:eastAsia="仿宋_GB2312" w:cs="仿宋_GB2312"/>
          <w:bCs/>
          <w:color w:val="auto"/>
          <w:sz w:val="32"/>
          <w:szCs w:val="32"/>
        </w:rPr>
        <w:t>、安全保障。</w:t>
      </w:r>
    </w:p>
    <w:p w14:paraId="2B36FC82">
      <w:pPr>
        <w:pStyle w:val="10"/>
        <w:keepNext w:val="0"/>
        <w:keepLines w:val="0"/>
        <w:pageBreakBefore w:val="0"/>
        <w:kinsoku/>
        <w:wordWrap/>
        <w:overflowPunct/>
        <w:topLinePunct w:val="0"/>
        <w:bidi w:val="0"/>
        <w:adjustRightInd w:val="0"/>
        <w:snapToGrid w:val="0"/>
        <w:spacing w:line="560" w:lineRule="exact"/>
        <w:ind w:firstLine="64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（2）目标达成标志</w:t>
      </w:r>
    </w:p>
    <w:p w14:paraId="06F184CA">
      <w:pPr>
        <w:pStyle w:val="4"/>
        <w:keepNext w:val="0"/>
        <w:keepLines w:val="0"/>
        <w:pageBreakBefore w:val="0"/>
        <w:widowControl/>
        <w:kinsoku/>
        <w:wordWrap/>
        <w:overflowPunct/>
        <w:topLinePunct w:val="0"/>
        <w:bidi w:val="0"/>
        <w:spacing w:line="560" w:lineRule="exact"/>
        <w:ind w:firstLine="640" w:firstLineChars="200"/>
        <w:rPr>
          <w:rFonts w:hint="eastAsia" w:ascii="仿宋_GB2312" w:hAnsi="仿宋_GB2312" w:eastAsia="仿宋_GB2312" w:cs="仿宋_GB2312"/>
          <w:bCs/>
          <w:kern w:val="2"/>
          <w:sz w:val="32"/>
          <w:szCs w:val="32"/>
        </w:rPr>
      </w:pPr>
      <w:r>
        <w:rPr>
          <w:rFonts w:hint="eastAsia" w:ascii="仿宋_GB2312" w:hAnsi="仿宋_GB2312" w:eastAsia="仿宋_GB2312" w:cs="仿宋_GB2312"/>
          <w:bCs/>
          <w:kern w:val="2"/>
          <w:sz w:val="32"/>
          <w:szCs w:val="32"/>
        </w:rPr>
        <w:fldChar w:fldCharType="begin"/>
      </w:r>
      <w:r>
        <w:rPr>
          <w:rFonts w:hint="eastAsia" w:ascii="仿宋_GB2312" w:hAnsi="仿宋_GB2312" w:eastAsia="仿宋_GB2312" w:cs="仿宋_GB2312"/>
          <w:bCs/>
          <w:kern w:val="2"/>
          <w:sz w:val="32"/>
          <w:szCs w:val="32"/>
        </w:rPr>
        <w:instrText xml:space="preserve"> = 1 \* GB3 </w:instrText>
      </w:r>
      <w:r>
        <w:rPr>
          <w:rFonts w:hint="eastAsia" w:ascii="仿宋_GB2312" w:hAnsi="仿宋_GB2312" w:eastAsia="仿宋_GB2312" w:cs="仿宋_GB2312"/>
          <w:bCs/>
          <w:kern w:val="2"/>
          <w:sz w:val="32"/>
          <w:szCs w:val="32"/>
        </w:rPr>
        <w:fldChar w:fldCharType="separate"/>
      </w:r>
      <w:r>
        <w:rPr>
          <w:rFonts w:hint="eastAsia" w:ascii="仿宋_GB2312" w:hAnsi="仿宋_GB2312" w:eastAsia="仿宋_GB2312" w:cs="仿宋_GB2312"/>
          <w:bCs/>
          <w:kern w:val="2"/>
          <w:sz w:val="32"/>
          <w:szCs w:val="32"/>
        </w:rPr>
        <w:t>①</w:t>
      </w:r>
      <w:r>
        <w:rPr>
          <w:rFonts w:hint="eastAsia" w:ascii="仿宋_GB2312" w:hAnsi="仿宋_GB2312" w:eastAsia="仿宋_GB2312" w:cs="仿宋_GB2312"/>
          <w:bCs/>
          <w:kern w:val="2"/>
          <w:sz w:val="32"/>
          <w:szCs w:val="32"/>
        </w:rPr>
        <w:fldChar w:fldCharType="end"/>
      </w:r>
      <w:r>
        <w:rPr>
          <w:rFonts w:hint="eastAsia" w:ascii="仿宋_GB2312" w:hAnsi="仿宋_GB2312" w:eastAsia="仿宋_GB2312" w:cs="仿宋_GB2312"/>
          <w:bCs/>
          <w:kern w:val="2"/>
          <w:sz w:val="32"/>
          <w:szCs w:val="32"/>
        </w:rPr>
        <w:t>202</w:t>
      </w:r>
      <w:r>
        <w:rPr>
          <w:rFonts w:hint="eastAsia" w:ascii="仿宋_GB2312" w:hAnsi="仿宋_GB2312" w:eastAsia="仿宋_GB2312" w:cs="仿宋_GB2312"/>
          <w:bCs/>
          <w:kern w:val="2"/>
          <w:sz w:val="32"/>
          <w:szCs w:val="32"/>
          <w:lang w:val="en-US" w:eastAsia="zh-CN"/>
        </w:rPr>
        <w:t>5</w:t>
      </w:r>
      <w:r>
        <w:rPr>
          <w:rFonts w:hint="eastAsia" w:ascii="仿宋_GB2312" w:hAnsi="仿宋_GB2312" w:eastAsia="仿宋_GB2312" w:cs="仿宋_GB2312"/>
          <w:bCs/>
          <w:kern w:val="2"/>
          <w:sz w:val="32"/>
          <w:szCs w:val="32"/>
        </w:rPr>
        <w:t>-202</w:t>
      </w:r>
      <w:r>
        <w:rPr>
          <w:rFonts w:hint="eastAsia" w:ascii="仿宋_GB2312" w:hAnsi="仿宋_GB2312" w:eastAsia="仿宋_GB2312" w:cs="仿宋_GB2312"/>
          <w:bCs/>
          <w:kern w:val="2"/>
          <w:sz w:val="32"/>
          <w:szCs w:val="32"/>
          <w:lang w:val="en-US" w:eastAsia="zh-CN"/>
        </w:rPr>
        <w:t>6</w:t>
      </w:r>
      <w:r>
        <w:rPr>
          <w:rFonts w:hint="eastAsia" w:ascii="仿宋_GB2312" w:hAnsi="仿宋_GB2312" w:eastAsia="仿宋_GB2312" w:cs="仿宋_GB2312"/>
          <w:bCs/>
          <w:kern w:val="2"/>
          <w:sz w:val="32"/>
          <w:szCs w:val="32"/>
        </w:rPr>
        <w:t xml:space="preserve">年：加大安全管理力度，不断完善相关管理制度; </w:t>
      </w:r>
      <w:r>
        <w:rPr>
          <w:rFonts w:hint="eastAsia" w:ascii="仿宋_GB2312" w:hAnsi="仿宋_GB2312" w:eastAsia="仿宋_GB2312" w:cs="仿宋_GB2312"/>
          <w:bCs/>
          <w:kern w:val="2"/>
          <w:sz w:val="32"/>
          <w:szCs w:val="32"/>
          <w:lang w:val="en-US" w:eastAsia="zh-CN"/>
        </w:rPr>
        <w:t>按要求进行防欺凌教育和排查；</w:t>
      </w:r>
      <w:r>
        <w:rPr>
          <w:rFonts w:hint="eastAsia" w:ascii="仿宋_GB2312" w:hAnsi="仿宋_GB2312" w:eastAsia="仿宋_GB2312" w:cs="仿宋_GB2312"/>
          <w:bCs/>
          <w:kern w:val="2"/>
          <w:sz w:val="32"/>
          <w:szCs w:val="32"/>
        </w:rPr>
        <w:t>配合上级部门更新校车；根据上级要求</w:t>
      </w:r>
      <w:r>
        <w:rPr>
          <w:rFonts w:hint="eastAsia" w:ascii="仿宋_GB2312" w:hAnsi="仿宋_GB2312" w:eastAsia="仿宋_GB2312" w:cs="仿宋_GB2312"/>
          <w:bCs/>
          <w:kern w:val="2"/>
          <w:sz w:val="32"/>
          <w:szCs w:val="32"/>
          <w:lang w:val="en-US" w:eastAsia="zh-CN"/>
        </w:rPr>
        <w:t>加强食品安全和膳食经费</w:t>
      </w:r>
      <w:r>
        <w:rPr>
          <w:rFonts w:hint="eastAsia" w:ascii="仿宋_GB2312" w:hAnsi="仿宋_GB2312" w:eastAsia="仿宋_GB2312" w:cs="仿宋_GB2312"/>
          <w:bCs/>
          <w:kern w:val="2"/>
          <w:sz w:val="32"/>
          <w:szCs w:val="32"/>
        </w:rPr>
        <w:t>管理工作，</w:t>
      </w:r>
      <w:r>
        <w:rPr>
          <w:rFonts w:hint="eastAsia" w:ascii="仿宋_GB2312" w:hAnsi="仿宋_GB2312" w:eastAsia="仿宋_GB2312" w:cs="仿宋_GB2312"/>
          <w:bCs/>
          <w:kern w:val="2"/>
          <w:sz w:val="32"/>
          <w:szCs w:val="32"/>
          <w:lang w:val="en-US" w:eastAsia="zh-CN"/>
        </w:rPr>
        <w:t>全面</w:t>
      </w:r>
      <w:r>
        <w:rPr>
          <w:rFonts w:hint="eastAsia" w:ascii="仿宋_GB2312" w:hAnsi="仿宋_GB2312" w:eastAsia="仿宋_GB2312" w:cs="仿宋_GB2312"/>
          <w:bCs/>
          <w:kern w:val="2"/>
          <w:sz w:val="32"/>
          <w:szCs w:val="32"/>
        </w:rPr>
        <w:t>做好学校后勤安全保障工作。　　</w:t>
      </w:r>
    </w:p>
    <w:p w14:paraId="1C701185">
      <w:pPr>
        <w:pStyle w:val="4"/>
        <w:keepNext w:val="0"/>
        <w:keepLines w:val="0"/>
        <w:pageBreakBefore w:val="0"/>
        <w:widowControl/>
        <w:kinsoku/>
        <w:wordWrap/>
        <w:overflowPunct/>
        <w:topLinePunct w:val="0"/>
        <w:bidi w:val="0"/>
        <w:spacing w:line="560" w:lineRule="exact"/>
        <w:ind w:firstLine="640" w:firstLineChars="200"/>
        <w:rPr>
          <w:rFonts w:hint="eastAsia" w:ascii="仿宋_GB2312" w:hAnsi="仿宋_GB2312" w:eastAsia="仿宋_GB2312" w:cs="仿宋_GB2312"/>
          <w:bCs/>
          <w:kern w:val="2"/>
          <w:sz w:val="32"/>
          <w:szCs w:val="32"/>
        </w:rPr>
      </w:pPr>
      <w:r>
        <w:rPr>
          <w:rFonts w:hint="eastAsia" w:ascii="仿宋_GB2312" w:hAnsi="仿宋_GB2312" w:eastAsia="仿宋_GB2312" w:cs="仿宋_GB2312"/>
          <w:bCs/>
          <w:kern w:val="2"/>
          <w:sz w:val="32"/>
          <w:szCs w:val="32"/>
        </w:rPr>
        <w:fldChar w:fldCharType="begin"/>
      </w:r>
      <w:r>
        <w:rPr>
          <w:rFonts w:hint="eastAsia" w:ascii="仿宋_GB2312" w:hAnsi="仿宋_GB2312" w:eastAsia="仿宋_GB2312" w:cs="仿宋_GB2312"/>
          <w:bCs/>
          <w:kern w:val="2"/>
          <w:sz w:val="32"/>
          <w:szCs w:val="32"/>
        </w:rPr>
        <w:instrText xml:space="preserve"> = 2 \* GB3 </w:instrText>
      </w:r>
      <w:r>
        <w:rPr>
          <w:rFonts w:hint="eastAsia" w:ascii="仿宋_GB2312" w:hAnsi="仿宋_GB2312" w:eastAsia="仿宋_GB2312" w:cs="仿宋_GB2312"/>
          <w:bCs/>
          <w:kern w:val="2"/>
          <w:sz w:val="32"/>
          <w:szCs w:val="32"/>
        </w:rPr>
        <w:fldChar w:fldCharType="separate"/>
      </w:r>
      <w:r>
        <w:rPr>
          <w:rFonts w:hint="eastAsia" w:ascii="仿宋_GB2312" w:hAnsi="仿宋_GB2312" w:eastAsia="仿宋_GB2312" w:cs="仿宋_GB2312"/>
          <w:bCs/>
          <w:kern w:val="2"/>
          <w:sz w:val="32"/>
          <w:szCs w:val="32"/>
        </w:rPr>
        <w:t>②</w:t>
      </w:r>
      <w:r>
        <w:rPr>
          <w:rFonts w:hint="eastAsia" w:ascii="仿宋_GB2312" w:hAnsi="仿宋_GB2312" w:eastAsia="仿宋_GB2312" w:cs="仿宋_GB2312"/>
          <w:bCs/>
          <w:kern w:val="2"/>
          <w:sz w:val="32"/>
          <w:szCs w:val="32"/>
        </w:rPr>
        <w:fldChar w:fldCharType="end"/>
      </w:r>
      <w:r>
        <w:rPr>
          <w:rFonts w:hint="eastAsia" w:ascii="仿宋_GB2312" w:hAnsi="仿宋_GB2312" w:eastAsia="仿宋_GB2312" w:cs="仿宋_GB2312"/>
          <w:bCs/>
          <w:kern w:val="2"/>
          <w:sz w:val="32"/>
          <w:szCs w:val="32"/>
        </w:rPr>
        <w:t>202</w:t>
      </w:r>
      <w:r>
        <w:rPr>
          <w:rFonts w:hint="eastAsia" w:ascii="仿宋_GB2312" w:hAnsi="仿宋_GB2312" w:eastAsia="仿宋_GB2312" w:cs="仿宋_GB2312"/>
          <w:bCs/>
          <w:kern w:val="2"/>
          <w:sz w:val="32"/>
          <w:szCs w:val="32"/>
          <w:lang w:val="en-US" w:eastAsia="zh-CN"/>
        </w:rPr>
        <w:t>6</w:t>
      </w:r>
      <w:r>
        <w:rPr>
          <w:rFonts w:hint="eastAsia" w:ascii="仿宋_GB2312" w:hAnsi="仿宋_GB2312" w:eastAsia="仿宋_GB2312" w:cs="仿宋_GB2312"/>
          <w:bCs/>
          <w:kern w:val="2"/>
          <w:sz w:val="32"/>
          <w:szCs w:val="32"/>
        </w:rPr>
        <w:t>-202</w:t>
      </w:r>
      <w:r>
        <w:rPr>
          <w:rFonts w:hint="eastAsia" w:ascii="仿宋_GB2312" w:hAnsi="仿宋_GB2312" w:eastAsia="仿宋_GB2312" w:cs="仿宋_GB2312"/>
          <w:bCs/>
          <w:kern w:val="2"/>
          <w:sz w:val="32"/>
          <w:szCs w:val="32"/>
          <w:lang w:val="en-US" w:eastAsia="zh-CN"/>
        </w:rPr>
        <w:t>7</w:t>
      </w:r>
      <w:r>
        <w:rPr>
          <w:rFonts w:hint="eastAsia" w:ascii="仿宋_GB2312" w:hAnsi="仿宋_GB2312" w:eastAsia="仿宋_GB2312" w:cs="仿宋_GB2312"/>
          <w:bCs/>
          <w:kern w:val="2"/>
          <w:sz w:val="32"/>
          <w:szCs w:val="32"/>
        </w:rPr>
        <w:t>年：</w:t>
      </w:r>
      <w:r>
        <w:rPr>
          <w:rFonts w:hint="eastAsia" w:ascii="仿宋_GB2312" w:hAnsi="仿宋_GB2312" w:eastAsia="仿宋_GB2312" w:cs="仿宋_GB2312"/>
          <w:bCs/>
          <w:kern w:val="2"/>
          <w:sz w:val="32"/>
          <w:szCs w:val="32"/>
          <w:lang w:val="en-US" w:eastAsia="zh-CN"/>
        </w:rPr>
        <w:t>结合校长走流程全面排除隐患，加大隐患排查力度，及时进行社会矛盾风险排查，</w:t>
      </w:r>
      <w:r>
        <w:rPr>
          <w:rFonts w:hint="eastAsia" w:ascii="仿宋_GB2312" w:hAnsi="仿宋_GB2312" w:eastAsia="仿宋_GB2312" w:cs="仿宋_GB2312"/>
          <w:bCs/>
          <w:kern w:val="2"/>
          <w:sz w:val="32"/>
          <w:szCs w:val="32"/>
        </w:rPr>
        <w:t>推进校园安全和</w:t>
      </w:r>
      <w:r>
        <w:rPr>
          <w:rFonts w:hint="eastAsia" w:ascii="仿宋_GB2312" w:hAnsi="仿宋_GB2312" w:eastAsia="仿宋_GB2312" w:cs="仿宋_GB2312"/>
          <w:bCs/>
          <w:kern w:val="2"/>
          <w:sz w:val="32"/>
          <w:szCs w:val="32"/>
          <w:lang w:val="en-US" w:eastAsia="zh-CN"/>
        </w:rPr>
        <w:t>日常</w:t>
      </w:r>
      <w:r>
        <w:rPr>
          <w:rFonts w:hint="eastAsia" w:ascii="仿宋_GB2312" w:hAnsi="仿宋_GB2312" w:eastAsia="仿宋_GB2312" w:cs="仿宋_GB2312"/>
          <w:bCs/>
          <w:kern w:val="2"/>
          <w:sz w:val="32"/>
          <w:szCs w:val="32"/>
        </w:rPr>
        <w:t>管理细致化，</w:t>
      </w:r>
      <w:r>
        <w:rPr>
          <w:rFonts w:hint="eastAsia" w:ascii="仿宋_GB2312" w:hAnsi="仿宋_GB2312" w:eastAsia="仿宋_GB2312" w:cs="仿宋_GB2312"/>
          <w:bCs/>
          <w:kern w:val="2"/>
          <w:sz w:val="32"/>
          <w:szCs w:val="32"/>
          <w:lang w:val="en-US" w:eastAsia="zh-CN"/>
        </w:rPr>
        <w:t>及时维护一键报警系统和监控等技防设施设备</w:t>
      </w:r>
      <w:r>
        <w:rPr>
          <w:rFonts w:hint="eastAsia" w:ascii="仿宋_GB2312" w:hAnsi="仿宋_GB2312" w:eastAsia="仿宋_GB2312" w:cs="仿宋_GB2312"/>
          <w:bCs/>
          <w:kern w:val="2"/>
          <w:sz w:val="32"/>
          <w:szCs w:val="32"/>
        </w:rPr>
        <w:t>，</w:t>
      </w:r>
      <w:r>
        <w:rPr>
          <w:rFonts w:hint="eastAsia" w:ascii="仿宋_GB2312" w:hAnsi="仿宋_GB2312" w:eastAsia="仿宋_GB2312" w:cs="仿宋_GB2312"/>
          <w:bCs/>
          <w:kern w:val="2"/>
          <w:sz w:val="32"/>
          <w:szCs w:val="32"/>
          <w:lang w:val="en-US" w:eastAsia="zh-CN"/>
        </w:rPr>
        <w:t>对操场、微机室等学生集中活动区域进行整改提升美化量化工程，</w:t>
      </w:r>
      <w:r>
        <w:rPr>
          <w:rFonts w:hint="eastAsia" w:ascii="仿宋_GB2312" w:hAnsi="仿宋_GB2312" w:eastAsia="仿宋_GB2312" w:cs="仿宋_GB2312"/>
          <w:bCs/>
          <w:kern w:val="2"/>
          <w:sz w:val="32"/>
          <w:szCs w:val="32"/>
        </w:rPr>
        <w:t>为学校教育教学工作提供有力后勤保障、安全保障。 　</w:t>
      </w:r>
    </w:p>
    <w:p w14:paraId="75CADFE0">
      <w:pPr>
        <w:pStyle w:val="4"/>
        <w:keepNext w:val="0"/>
        <w:keepLines w:val="0"/>
        <w:pageBreakBefore w:val="0"/>
        <w:widowControl/>
        <w:kinsoku/>
        <w:wordWrap/>
        <w:overflowPunct/>
        <w:topLinePunct w:val="0"/>
        <w:bidi w:val="0"/>
        <w:spacing w:line="560" w:lineRule="exact"/>
        <w:ind w:firstLine="640" w:firstLineChars="200"/>
        <w:rPr>
          <w:rFonts w:hint="eastAsia" w:ascii="仿宋_GB2312" w:hAnsi="仿宋_GB2312" w:eastAsia="仿宋_GB2312" w:cs="仿宋_GB2312"/>
          <w:bCs/>
          <w:kern w:val="2"/>
          <w:sz w:val="32"/>
          <w:szCs w:val="32"/>
        </w:rPr>
      </w:pPr>
      <w:r>
        <w:rPr>
          <w:rFonts w:hint="eastAsia" w:ascii="仿宋_GB2312" w:hAnsi="仿宋_GB2312" w:eastAsia="仿宋_GB2312" w:cs="仿宋_GB2312"/>
          <w:bCs/>
          <w:kern w:val="2"/>
          <w:sz w:val="32"/>
          <w:szCs w:val="32"/>
        </w:rPr>
        <w:fldChar w:fldCharType="begin"/>
      </w:r>
      <w:r>
        <w:rPr>
          <w:rFonts w:hint="eastAsia" w:ascii="仿宋_GB2312" w:hAnsi="仿宋_GB2312" w:eastAsia="仿宋_GB2312" w:cs="仿宋_GB2312"/>
          <w:bCs/>
          <w:kern w:val="2"/>
          <w:sz w:val="32"/>
          <w:szCs w:val="32"/>
        </w:rPr>
        <w:instrText xml:space="preserve"> = 3 \* GB3 </w:instrText>
      </w:r>
      <w:r>
        <w:rPr>
          <w:rFonts w:hint="eastAsia" w:ascii="仿宋_GB2312" w:hAnsi="仿宋_GB2312" w:eastAsia="仿宋_GB2312" w:cs="仿宋_GB2312"/>
          <w:bCs/>
          <w:kern w:val="2"/>
          <w:sz w:val="32"/>
          <w:szCs w:val="32"/>
        </w:rPr>
        <w:fldChar w:fldCharType="separate"/>
      </w:r>
      <w:r>
        <w:rPr>
          <w:rFonts w:hint="eastAsia" w:ascii="仿宋_GB2312" w:hAnsi="仿宋_GB2312" w:eastAsia="仿宋_GB2312" w:cs="仿宋_GB2312"/>
          <w:bCs/>
          <w:kern w:val="2"/>
          <w:sz w:val="32"/>
          <w:szCs w:val="32"/>
        </w:rPr>
        <w:t>③</w:t>
      </w:r>
      <w:r>
        <w:rPr>
          <w:rFonts w:hint="eastAsia" w:ascii="仿宋_GB2312" w:hAnsi="仿宋_GB2312" w:eastAsia="仿宋_GB2312" w:cs="仿宋_GB2312"/>
          <w:bCs/>
          <w:kern w:val="2"/>
          <w:sz w:val="32"/>
          <w:szCs w:val="32"/>
        </w:rPr>
        <w:fldChar w:fldCharType="end"/>
      </w:r>
      <w:r>
        <w:rPr>
          <w:rFonts w:hint="eastAsia" w:ascii="仿宋_GB2312" w:hAnsi="仿宋_GB2312" w:eastAsia="仿宋_GB2312" w:cs="仿宋_GB2312"/>
          <w:bCs/>
          <w:kern w:val="2"/>
          <w:sz w:val="32"/>
          <w:szCs w:val="32"/>
        </w:rPr>
        <w:t>202</w:t>
      </w:r>
      <w:r>
        <w:rPr>
          <w:rFonts w:hint="eastAsia" w:ascii="仿宋_GB2312" w:hAnsi="仿宋_GB2312" w:eastAsia="仿宋_GB2312" w:cs="仿宋_GB2312"/>
          <w:bCs/>
          <w:kern w:val="2"/>
          <w:sz w:val="32"/>
          <w:szCs w:val="32"/>
          <w:lang w:val="en-US" w:eastAsia="zh-CN"/>
        </w:rPr>
        <w:t>7</w:t>
      </w:r>
      <w:r>
        <w:rPr>
          <w:rFonts w:hint="eastAsia" w:ascii="仿宋_GB2312" w:hAnsi="仿宋_GB2312" w:eastAsia="仿宋_GB2312" w:cs="仿宋_GB2312"/>
          <w:bCs/>
          <w:kern w:val="2"/>
          <w:sz w:val="32"/>
          <w:szCs w:val="32"/>
        </w:rPr>
        <w:t>-202</w:t>
      </w:r>
      <w:r>
        <w:rPr>
          <w:rFonts w:hint="eastAsia" w:ascii="仿宋_GB2312" w:hAnsi="仿宋_GB2312" w:eastAsia="仿宋_GB2312" w:cs="仿宋_GB2312"/>
          <w:bCs/>
          <w:kern w:val="2"/>
          <w:sz w:val="32"/>
          <w:szCs w:val="32"/>
          <w:lang w:val="en-US" w:eastAsia="zh-CN"/>
        </w:rPr>
        <w:t>8</w:t>
      </w:r>
      <w:r>
        <w:rPr>
          <w:rFonts w:hint="eastAsia" w:ascii="仿宋_GB2312" w:hAnsi="仿宋_GB2312" w:eastAsia="仿宋_GB2312" w:cs="仿宋_GB2312"/>
          <w:bCs/>
          <w:kern w:val="2"/>
          <w:sz w:val="32"/>
          <w:szCs w:val="32"/>
        </w:rPr>
        <w:t>年：</w:t>
      </w:r>
      <w:r>
        <w:rPr>
          <w:rFonts w:hint="eastAsia" w:ascii="仿宋_GB2312" w:hAnsi="仿宋_GB2312" w:eastAsia="仿宋_GB2312" w:cs="仿宋_GB2312"/>
          <w:bCs/>
          <w:kern w:val="2"/>
          <w:sz w:val="32"/>
          <w:szCs w:val="32"/>
          <w:lang w:val="en-US" w:eastAsia="zh-CN"/>
        </w:rPr>
        <w:t>积极推进</w:t>
      </w:r>
      <w:r>
        <w:rPr>
          <w:rFonts w:hint="eastAsia" w:ascii="仿宋_GB2312" w:hAnsi="仿宋_GB2312" w:eastAsia="仿宋_GB2312" w:cs="仿宋_GB2312"/>
          <w:bCs/>
          <w:kern w:val="2"/>
          <w:sz w:val="32"/>
          <w:szCs w:val="32"/>
        </w:rPr>
        <w:t>硬化校园</w:t>
      </w:r>
      <w:r>
        <w:rPr>
          <w:rFonts w:hint="eastAsia" w:ascii="仿宋_GB2312" w:hAnsi="仿宋_GB2312" w:eastAsia="仿宋_GB2312" w:cs="仿宋_GB2312"/>
          <w:bCs/>
          <w:kern w:val="2"/>
          <w:sz w:val="32"/>
          <w:szCs w:val="32"/>
          <w:lang w:val="en-US" w:eastAsia="zh-CN"/>
        </w:rPr>
        <w:t>路</w:t>
      </w:r>
      <w:r>
        <w:rPr>
          <w:rFonts w:hint="eastAsia" w:ascii="仿宋_GB2312" w:hAnsi="仿宋_GB2312" w:eastAsia="仿宋_GB2312" w:cs="仿宋_GB2312"/>
          <w:bCs/>
          <w:kern w:val="2"/>
          <w:sz w:val="32"/>
          <w:szCs w:val="32"/>
        </w:rPr>
        <w:t>面</w:t>
      </w:r>
      <w:r>
        <w:rPr>
          <w:rFonts w:hint="eastAsia" w:ascii="仿宋_GB2312" w:hAnsi="仿宋_GB2312" w:eastAsia="仿宋_GB2312" w:cs="仿宋_GB2312"/>
          <w:bCs/>
          <w:kern w:val="2"/>
          <w:sz w:val="32"/>
          <w:szCs w:val="32"/>
          <w:lang w:val="en-US" w:eastAsia="zh-CN"/>
        </w:rPr>
        <w:t>进行沥青罩面</w:t>
      </w:r>
      <w:r>
        <w:rPr>
          <w:rFonts w:hint="eastAsia" w:ascii="仿宋_GB2312" w:hAnsi="仿宋_GB2312" w:eastAsia="仿宋_GB2312" w:cs="仿宋_GB2312"/>
          <w:bCs/>
          <w:kern w:val="2"/>
          <w:sz w:val="32"/>
          <w:szCs w:val="32"/>
        </w:rPr>
        <w:t>；学校校舍及硬件配置符合上级部门相关规定，规范完善学校安全管理各项档案，形成比较完整的管理制度和档案</w:t>
      </w:r>
      <w:r>
        <w:rPr>
          <w:rFonts w:hint="eastAsia" w:ascii="仿宋_GB2312" w:hAnsi="仿宋_GB2312" w:eastAsia="仿宋_GB2312" w:cs="仿宋_GB2312"/>
          <w:bCs/>
          <w:kern w:val="2"/>
          <w:sz w:val="32"/>
          <w:szCs w:val="32"/>
          <w:lang w:eastAsia="zh-CN"/>
        </w:rPr>
        <w:t>，</w:t>
      </w:r>
      <w:r>
        <w:rPr>
          <w:rFonts w:hint="eastAsia" w:ascii="仿宋_GB2312" w:hAnsi="仿宋_GB2312" w:eastAsia="仿宋_GB2312" w:cs="仿宋_GB2312"/>
          <w:bCs/>
          <w:kern w:val="2"/>
          <w:sz w:val="32"/>
          <w:szCs w:val="32"/>
          <w:lang w:val="en-US" w:eastAsia="zh-CN"/>
        </w:rPr>
        <w:t>力争参评“淄博市平安校园”，以实现</w:t>
      </w:r>
      <w:r>
        <w:rPr>
          <w:rFonts w:hint="eastAsia" w:ascii="仿宋_GB2312" w:hAnsi="仿宋_GB2312" w:eastAsia="仿宋_GB2312" w:cs="仿宋_GB2312"/>
          <w:bCs/>
          <w:kern w:val="2"/>
          <w:sz w:val="32"/>
          <w:szCs w:val="32"/>
        </w:rPr>
        <w:t>校园校舍更加安全、美丽，为学校教育教学工作</w:t>
      </w:r>
      <w:r>
        <w:rPr>
          <w:rFonts w:hint="eastAsia" w:ascii="仿宋_GB2312" w:hAnsi="仿宋_GB2312" w:eastAsia="仿宋_GB2312" w:cs="仿宋_GB2312"/>
          <w:bCs/>
          <w:kern w:val="2"/>
          <w:sz w:val="32"/>
          <w:szCs w:val="32"/>
          <w:lang w:val="en-US" w:eastAsia="zh-CN"/>
        </w:rPr>
        <w:t>奠定安全基础</w:t>
      </w:r>
      <w:r>
        <w:rPr>
          <w:rFonts w:hint="eastAsia" w:ascii="仿宋_GB2312" w:hAnsi="仿宋_GB2312" w:eastAsia="仿宋_GB2312" w:cs="仿宋_GB2312"/>
          <w:bCs/>
          <w:kern w:val="2"/>
          <w:sz w:val="32"/>
          <w:szCs w:val="32"/>
        </w:rPr>
        <w:t>。 　　　</w:t>
      </w:r>
    </w:p>
    <w:p w14:paraId="52F6A131">
      <w:pPr>
        <w:pStyle w:val="10"/>
        <w:keepNext w:val="0"/>
        <w:keepLines w:val="0"/>
        <w:pageBreakBefore w:val="0"/>
        <w:kinsoku/>
        <w:wordWrap/>
        <w:overflowPunct/>
        <w:topLinePunct w:val="0"/>
        <w:bidi w:val="0"/>
        <w:adjustRightInd w:val="0"/>
        <w:snapToGrid w:val="0"/>
        <w:spacing w:line="560" w:lineRule="exact"/>
        <w:ind w:firstLine="64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（3）实施措施</w:t>
      </w:r>
    </w:p>
    <w:p w14:paraId="278928F7">
      <w:pPr>
        <w:pStyle w:val="10"/>
        <w:keepNext w:val="0"/>
        <w:keepLines w:val="0"/>
        <w:pageBreakBefore w:val="0"/>
        <w:kinsoku/>
        <w:wordWrap/>
        <w:overflowPunct/>
        <w:topLinePunct w:val="0"/>
        <w:bidi w:val="0"/>
        <w:adjustRightInd w:val="0"/>
        <w:snapToGrid w:val="0"/>
        <w:spacing w:line="560" w:lineRule="exact"/>
        <w:ind w:firstLine="64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①更新观念，增强服务意识  　　</w:t>
      </w:r>
    </w:p>
    <w:p w14:paraId="0FE3CDEA">
      <w:pPr>
        <w:pStyle w:val="10"/>
        <w:keepNext w:val="0"/>
        <w:keepLines w:val="0"/>
        <w:pageBreakBefore w:val="0"/>
        <w:kinsoku/>
        <w:wordWrap/>
        <w:overflowPunct/>
        <w:topLinePunct w:val="0"/>
        <w:bidi w:val="0"/>
        <w:adjustRightInd w:val="0"/>
        <w:snapToGrid w:val="0"/>
        <w:spacing w:line="560" w:lineRule="exact"/>
        <w:ind w:firstLine="64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把师生、家长的合理需求作为开展工作的出发点和归宿，树立师生利益、家长利益至上的服务观，全心全意为师生和家长服务。</w:t>
      </w:r>
      <w:r>
        <w:rPr>
          <w:rFonts w:hint="eastAsia" w:ascii="仿宋_GB2312" w:hAnsi="仿宋_GB2312" w:eastAsia="仿宋_GB2312" w:cs="仿宋_GB2312"/>
          <w:bCs/>
          <w:color w:val="auto"/>
          <w:sz w:val="32"/>
          <w:szCs w:val="32"/>
          <w:lang w:val="en-US" w:eastAsia="zh-CN"/>
        </w:rPr>
        <w:t>特别是在供餐单位遴选、食品安全监督和膳食经费管理方面，组织家长全程参与。加大</w:t>
      </w:r>
      <w:r>
        <w:rPr>
          <w:rFonts w:hint="eastAsia" w:ascii="仿宋_GB2312" w:hAnsi="仿宋_GB2312" w:eastAsia="仿宋_GB2312" w:cs="仿宋_GB2312"/>
          <w:bCs/>
          <w:color w:val="auto"/>
          <w:sz w:val="32"/>
          <w:szCs w:val="32"/>
        </w:rPr>
        <w:t>总务后勤工作的群众路线力度，动员、组织全校师生民主参与、民主管理、民主决策，参与后勤管理。  　　</w:t>
      </w:r>
    </w:p>
    <w:p w14:paraId="481E2983">
      <w:pPr>
        <w:pStyle w:val="10"/>
        <w:keepNext w:val="0"/>
        <w:keepLines w:val="0"/>
        <w:pageBreakBefore w:val="0"/>
        <w:kinsoku/>
        <w:wordWrap/>
        <w:overflowPunct/>
        <w:topLinePunct w:val="0"/>
        <w:bidi w:val="0"/>
        <w:adjustRightInd w:val="0"/>
        <w:snapToGrid w:val="0"/>
        <w:spacing w:line="560" w:lineRule="exact"/>
        <w:ind w:firstLine="64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②精打细算，严格管理  　　</w:t>
      </w:r>
    </w:p>
    <w:p w14:paraId="4F79A1A6">
      <w:pPr>
        <w:pStyle w:val="10"/>
        <w:keepNext w:val="0"/>
        <w:keepLines w:val="0"/>
        <w:pageBreakBefore w:val="0"/>
        <w:kinsoku/>
        <w:wordWrap/>
        <w:overflowPunct/>
        <w:topLinePunct w:val="0"/>
        <w:bidi w:val="0"/>
        <w:adjustRightInd w:val="0"/>
        <w:snapToGrid w:val="0"/>
        <w:spacing w:line="560" w:lineRule="exact"/>
        <w:ind w:firstLine="640"/>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根据审计反馈的情况，对学校财务工作积极认真进行整改，并将此项工作严格贯彻落实。对于学校公用经费，要根据学校的实际情况和需求，依据精打细算的原则，对公用经费的使用有计划使用。</w:t>
      </w:r>
    </w:p>
    <w:p w14:paraId="1E33323E">
      <w:pPr>
        <w:pStyle w:val="10"/>
        <w:keepNext w:val="0"/>
        <w:keepLines w:val="0"/>
        <w:pageBreakBefore w:val="0"/>
        <w:kinsoku/>
        <w:wordWrap/>
        <w:overflowPunct/>
        <w:topLinePunct w:val="0"/>
        <w:bidi w:val="0"/>
        <w:adjustRightInd w:val="0"/>
        <w:snapToGrid w:val="0"/>
        <w:spacing w:line="560" w:lineRule="exact"/>
        <w:ind w:firstLine="640"/>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强化预算约束。提高预算编制的科学性和准确性，严格做到无预算、超预算不支出，提高预算执行能力。</w:t>
      </w:r>
    </w:p>
    <w:p w14:paraId="60625B87">
      <w:pPr>
        <w:pStyle w:val="10"/>
        <w:keepNext w:val="0"/>
        <w:keepLines w:val="0"/>
        <w:pageBreakBefore w:val="0"/>
        <w:kinsoku/>
        <w:wordWrap/>
        <w:overflowPunct/>
        <w:topLinePunct w:val="0"/>
        <w:bidi w:val="0"/>
        <w:adjustRightInd w:val="0"/>
        <w:snapToGrid w:val="0"/>
        <w:spacing w:line="560" w:lineRule="exact"/>
        <w:ind w:firstLine="640"/>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规范“三重一大”政策落实。确保学校重大经济事项、重大项目安排和大额度资金的使用必须由领导班子研究决定。项目立项、承接单位确定和资金支付，必须落实“三重一大”政策。</w:t>
      </w:r>
    </w:p>
    <w:p w14:paraId="6578AC0C">
      <w:pPr>
        <w:pStyle w:val="10"/>
        <w:keepNext w:val="0"/>
        <w:keepLines w:val="0"/>
        <w:pageBreakBefore w:val="0"/>
        <w:kinsoku/>
        <w:wordWrap/>
        <w:overflowPunct/>
        <w:topLinePunct w:val="0"/>
        <w:bidi w:val="0"/>
        <w:adjustRightInd w:val="0"/>
        <w:snapToGrid w:val="0"/>
        <w:spacing w:line="560" w:lineRule="exact"/>
        <w:ind w:firstLine="640"/>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规范政府采购行为，严格执行相关政府采购规定。</w:t>
      </w:r>
    </w:p>
    <w:p w14:paraId="43FA975C">
      <w:pPr>
        <w:pStyle w:val="10"/>
        <w:keepNext w:val="0"/>
        <w:keepLines w:val="0"/>
        <w:pageBreakBefore w:val="0"/>
        <w:kinsoku/>
        <w:wordWrap/>
        <w:overflowPunct/>
        <w:topLinePunct w:val="0"/>
        <w:bidi w:val="0"/>
        <w:adjustRightInd w:val="0"/>
        <w:snapToGrid w:val="0"/>
        <w:spacing w:line="560" w:lineRule="exact"/>
        <w:ind w:firstLine="64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lang w:val="en-US" w:eastAsia="zh-CN"/>
        </w:rPr>
        <w:t>加强对学校水电费、维修费等的管理。</w:t>
      </w:r>
      <w:r>
        <w:rPr>
          <w:rFonts w:hint="eastAsia" w:ascii="仿宋_GB2312" w:hAnsi="仿宋_GB2312" w:eastAsia="仿宋_GB2312" w:cs="仿宋_GB2312"/>
          <w:bCs/>
          <w:color w:val="auto"/>
          <w:sz w:val="32"/>
          <w:szCs w:val="32"/>
        </w:rPr>
        <w:t>严格请购、审批、验收、入库、报销制度。  　　　　</w:t>
      </w:r>
    </w:p>
    <w:p w14:paraId="4C6748E0">
      <w:pPr>
        <w:pStyle w:val="10"/>
        <w:keepNext w:val="0"/>
        <w:keepLines w:val="0"/>
        <w:pageBreakBefore w:val="0"/>
        <w:kinsoku/>
        <w:wordWrap/>
        <w:overflowPunct/>
        <w:topLinePunct w:val="0"/>
        <w:bidi w:val="0"/>
        <w:adjustRightInd w:val="0"/>
        <w:snapToGrid w:val="0"/>
        <w:spacing w:line="560" w:lineRule="exact"/>
        <w:ind w:firstLine="64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③物尽其用，发挥设备功能  　</w:t>
      </w:r>
    </w:p>
    <w:p w14:paraId="040A201A">
      <w:pPr>
        <w:pStyle w:val="10"/>
        <w:keepNext w:val="0"/>
        <w:keepLines w:val="0"/>
        <w:pageBreakBefore w:val="0"/>
        <w:kinsoku/>
        <w:wordWrap/>
        <w:overflowPunct/>
        <w:topLinePunct w:val="0"/>
        <w:bidi w:val="0"/>
        <w:adjustRightInd w:val="0"/>
        <w:snapToGrid w:val="0"/>
        <w:spacing w:line="560" w:lineRule="exact"/>
        <w:ind w:firstLine="640"/>
        <w:rPr>
          <w:rFonts w:hint="eastAsia" w:ascii="仿宋_GB2312" w:hAnsi="仿宋_GB2312" w:eastAsia="仿宋_GB2312" w:cs="仿宋_GB2312"/>
          <w:bCs/>
          <w:color w:val="auto"/>
          <w:sz w:val="32"/>
          <w:szCs w:val="32"/>
          <w:lang w:eastAsia="zh-CN"/>
        </w:rPr>
      </w:pPr>
      <w:r>
        <w:rPr>
          <w:rFonts w:hint="eastAsia" w:ascii="仿宋_GB2312" w:hAnsi="仿宋_GB2312" w:eastAsia="仿宋_GB2312" w:cs="仿宋_GB2312"/>
          <w:bCs/>
          <w:color w:val="auto"/>
          <w:sz w:val="32"/>
          <w:szCs w:val="32"/>
        </w:rPr>
        <w:t>加大校产校舍的定期及日常的检查力度，严格执行校产保管奖罚和损坏赔偿制度。对期初发放的日常用品、班级用品、门窗、窗拉手、台凳等实行承包管理，做到谁损坏谁负责。要鼓励、提倡师生们大胆地、经常地去使用，真正发挥设备的“育人”功能，做到物尽其用。鼓励使用的同时，加强管理，对使用情况、设备情况以及借还手续都要实行严格登记，避免不必要的人为损坏、遗失等。使学校现有校产校具发挥其最大效益</w:t>
      </w:r>
      <w:r>
        <w:rPr>
          <w:rFonts w:hint="eastAsia" w:ascii="仿宋_GB2312" w:hAnsi="仿宋_GB2312" w:eastAsia="仿宋_GB2312" w:cs="仿宋_GB2312"/>
          <w:bCs/>
          <w:color w:val="auto"/>
          <w:sz w:val="32"/>
          <w:szCs w:val="32"/>
          <w:lang w:eastAsia="zh-CN"/>
        </w:rPr>
        <w:t>。</w:t>
      </w:r>
    </w:p>
    <w:p w14:paraId="5F0DD20A">
      <w:pPr>
        <w:pStyle w:val="10"/>
        <w:keepNext w:val="0"/>
        <w:keepLines w:val="0"/>
        <w:pageBreakBefore w:val="0"/>
        <w:kinsoku/>
        <w:wordWrap/>
        <w:overflowPunct/>
        <w:topLinePunct w:val="0"/>
        <w:bidi w:val="0"/>
        <w:adjustRightInd w:val="0"/>
        <w:snapToGrid w:val="0"/>
        <w:spacing w:line="560" w:lineRule="exact"/>
        <w:ind w:firstLine="64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fldChar w:fldCharType="begin"/>
      </w:r>
      <w:r>
        <w:rPr>
          <w:rFonts w:hint="eastAsia" w:ascii="仿宋_GB2312" w:hAnsi="仿宋_GB2312" w:eastAsia="仿宋_GB2312" w:cs="仿宋_GB2312"/>
          <w:bCs/>
          <w:color w:val="auto"/>
          <w:sz w:val="32"/>
          <w:szCs w:val="32"/>
        </w:rPr>
        <w:instrText xml:space="preserve"> = 4 \* GB3 </w:instrText>
      </w:r>
      <w:r>
        <w:rPr>
          <w:rFonts w:hint="eastAsia" w:ascii="仿宋_GB2312" w:hAnsi="仿宋_GB2312" w:eastAsia="仿宋_GB2312" w:cs="仿宋_GB2312"/>
          <w:bCs/>
          <w:color w:val="auto"/>
          <w:sz w:val="32"/>
          <w:szCs w:val="32"/>
        </w:rPr>
        <w:fldChar w:fldCharType="separate"/>
      </w:r>
      <w:r>
        <w:rPr>
          <w:rFonts w:hint="eastAsia" w:ascii="仿宋_GB2312" w:hAnsi="仿宋_GB2312" w:eastAsia="仿宋_GB2312" w:cs="仿宋_GB2312"/>
          <w:bCs/>
          <w:color w:val="auto"/>
          <w:sz w:val="32"/>
          <w:szCs w:val="32"/>
        </w:rPr>
        <w:t>④</w:t>
      </w:r>
      <w:r>
        <w:rPr>
          <w:rFonts w:hint="eastAsia" w:ascii="仿宋_GB2312" w:hAnsi="仿宋_GB2312" w:eastAsia="仿宋_GB2312" w:cs="仿宋_GB2312"/>
          <w:bCs/>
          <w:color w:val="auto"/>
          <w:sz w:val="32"/>
          <w:szCs w:val="32"/>
        </w:rPr>
        <w:fldChar w:fldCharType="end"/>
      </w:r>
      <w:r>
        <w:rPr>
          <w:rFonts w:hint="eastAsia" w:ascii="仿宋_GB2312" w:hAnsi="仿宋_GB2312" w:eastAsia="仿宋_GB2312" w:cs="仿宋_GB2312"/>
          <w:bCs/>
          <w:color w:val="auto"/>
          <w:sz w:val="32"/>
          <w:szCs w:val="32"/>
        </w:rPr>
        <w:t>长抓不懈，提高安全防患意识  　　</w:t>
      </w:r>
    </w:p>
    <w:p w14:paraId="5CFE4FBC">
      <w:pPr>
        <w:pStyle w:val="10"/>
        <w:keepNext w:val="0"/>
        <w:keepLines w:val="0"/>
        <w:pageBreakBefore w:val="0"/>
        <w:kinsoku/>
        <w:wordWrap/>
        <w:overflowPunct/>
        <w:topLinePunct w:val="0"/>
        <w:bidi w:val="0"/>
        <w:adjustRightInd w:val="0"/>
        <w:snapToGrid w:val="0"/>
        <w:spacing w:line="560" w:lineRule="exact"/>
        <w:ind w:firstLine="64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对发现有安全隐患的校舍、建筑物、体育器材等作及时彻底的维修</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加强校园</w:t>
      </w:r>
      <w:r>
        <w:rPr>
          <w:rFonts w:hint="eastAsia" w:ascii="仿宋_GB2312" w:hAnsi="仿宋_GB2312" w:eastAsia="仿宋_GB2312" w:cs="仿宋_GB2312"/>
          <w:bCs/>
          <w:color w:val="auto"/>
          <w:sz w:val="32"/>
          <w:szCs w:val="32"/>
          <w:lang w:val="en-US" w:eastAsia="zh-CN"/>
        </w:rPr>
        <w:t>及周边</w:t>
      </w:r>
      <w:r>
        <w:rPr>
          <w:rFonts w:hint="eastAsia" w:ascii="仿宋_GB2312" w:hAnsi="仿宋_GB2312" w:eastAsia="仿宋_GB2312" w:cs="仿宋_GB2312"/>
          <w:bCs/>
          <w:color w:val="auto"/>
          <w:sz w:val="32"/>
          <w:szCs w:val="32"/>
        </w:rPr>
        <w:t>巡视</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lang w:val="en-US" w:eastAsia="zh-CN"/>
        </w:rPr>
        <w:t>及时发现隐患并</w:t>
      </w:r>
      <w:r>
        <w:rPr>
          <w:rFonts w:hint="eastAsia" w:ascii="仿宋_GB2312" w:hAnsi="仿宋_GB2312" w:eastAsia="仿宋_GB2312" w:cs="仿宋_GB2312"/>
          <w:bCs/>
          <w:color w:val="auto"/>
          <w:sz w:val="32"/>
          <w:szCs w:val="32"/>
        </w:rPr>
        <w:t>排除。</w:t>
      </w:r>
    </w:p>
    <w:p w14:paraId="71B9F43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楷体" w:hAnsi="楷体" w:eastAsia="楷体" w:cs="楷体"/>
          <w:i w:val="0"/>
          <w:iCs w:val="0"/>
          <w:caps w:val="0"/>
          <w:color w:val="000000"/>
          <w:spacing w:val="0"/>
          <w:sz w:val="32"/>
          <w:szCs w:val="32"/>
          <w:lang w:val="en-US" w:eastAsia="zh-CN"/>
        </w:rPr>
      </w:pPr>
      <w:r>
        <w:rPr>
          <w:rFonts w:hint="eastAsia" w:ascii="楷体" w:hAnsi="楷体" w:eastAsia="楷体" w:cs="楷体"/>
          <w:i w:val="0"/>
          <w:iCs w:val="0"/>
          <w:caps w:val="0"/>
          <w:color w:val="000000"/>
          <w:spacing w:val="0"/>
          <w:sz w:val="32"/>
          <w:szCs w:val="32"/>
          <w:lang w:val="en-US" w:eastAsia="zh-CN"/>
        </w:rPr>
        <w:t>（二）特色发展项目</w:t>
      </w:r>
    </w:p>
    <w:p w14:paraId="278AD71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“乡土四季·耕读育人”跨学科实践课程</w:t>
      </w:r>
    </w:p>
    <w:p w14:paraId="5725113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lang w:val="en-US" w:eastAsia="zh-CN"/>
        </w:rPr>
        <w:t>1.</w:t>
      </w:r>
      <w:r>
        <w:rPr>
          <w:rFonts w:hint="eastAsia" w:ascii="仿宋_GB2312" w:hAnsi="仿宋_GB2312" w:eastAsia="仿宋_GB2312" w:cs="仿宋_GB2312"/>
          <w:sz w:val="32"/>
          <w:szCs w:val="40"/>
        </w:rPr>
        <w:t>工作目标</w:t>
      </w:r>
    </w:p>
    <w:p w14:paraId="006DAC9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依托乡村自然资源与农耕文化系统构建一个以“乡土四季”为脉络、以“耕读育人”为核心的跨学科实践课程体系，通过将农耕文化、节气知识与乡土资源深度融入教育教学，组织开展序列化、主题化的项目式学习与劳动实践，引导学生在真实的乡土情境中发现问题、探究问题并创造性解决问题，从而有效提升其综合实践能力、科学素养与家国情怀；同时，积极构建“学校-家庭-社区”协同共育机制，整合三方资源，最终将本项目打造为彰显耿家小学“博·悦”文化内涵、在区域内具有显著辨识度和影响力的“新乡土教育”特色品牌。</w:t>
      </w:r>
    </w:p>
    <w:p w14:paraId="1EAB791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lang w:val="en-US" w:eastAsia="zh-CN"/>
        </w:rPr>
        <w:t>2.</w:t>
      </w:r>
      <w:r>
        <w:rPr>
          <w:rFonts w:hint="eastAsia" w:ascii="仿宋_GB2312" w:hAnsi="仿宋_GB2312" w:eastAsia="仿宋_GB2312" w:cs="仿宋_GB2312"/>
          <w:sz w:val="32"/>
          <w:szCs w:val="40"/>
        </w:rPr>
        <w:t>目标达成标志</w:t>
      </w:r>
    </w:p>
    <w:p w14:paraId="66D96FE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lang w:val="en-US" w:eastAsia="zh-CN"/>
        </w:rPr>
        <w:t>1）</w:t>
      </w:r>
      <w:r>
        <w:rPr>
          <w:rFonts w:hint="eastAsia" w:ascii="仿宋_GB2312" w:hAnsi="仿宋_GB2312" w:eastAsia="仿宋_GB2312" w:cs="仿宋_GB2312"/>
          <w:sz w:val="32"/>
          <w:szCs w:val="40"/>
        </w:rPr>
        <w:t>2025-2026学年：本年度为课程构建与试点年，将重点完成“乡土四季”课程的整体框架设计与至少2个主题单元（如“春种希望”“秋收感恩”）的资源开发，并成功在3-5年级进行试点实施，确保学生参与率不低于70%；同步启动“校园微农场”实践基地建设，组织各班开展种植实践，并初步收集与展示学生的过程性作品（如种植日记、节气绘画），同时完成教师团队的首次跨学科教学理念与技能培训，为课程的全面推广奠定坚实基础。</w:t>
      </w:r>
    </w:p>
    <w:p w14:paraId="0D7E2A8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lang w:val="en-US" w:eastAsia="zh-CN"/>
        </w:rPr>
        <w:t>2）</w:t>
      </w:r>
      <w:r>
        <w:rPr>
          <w:rFonts w:hint="eastAsia" w:ascii="仿宋_GB2312" w:hAnsi="仿宋_GB2312" w:eastAsia="仿宋_GB2312" w:cs="仿宋_GB2312"/>
          <w:sz w:val="32"/>
          <w:szCs w:val="40"/>
        </w:rPr>
        <w:t>2026-2027学年： 本年度为课程深化与推广年，将在试点基础上完善并形成涵盖四季的完整课程资源包，实现3-5年级学生100%全员参与；通过成功举办首届“耿小乡土文化节”并邀请家长社区代表参与，有效扩大课程影响力；推动学生完成更具深度的项目成果（如调查报告、创意作品），并鼓励教师总结提炼实践智慧，形成至少1篇可发表或交流的教学案例，标志着课程实施从“活动化”走向“成果化”。</w:t>
      </w:r>
    </w:p>
    <w:p w14:paraId="6956B52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lang w:val="en-US" w:eastAsia="zh-CN"/>
        </w:rPr>
        <w:t>3）</w:t>
      </w:r>
      <w:r>
        <w:rPr>
          <w:rFonts w:hint="eastAsia" w:ascii="仿宋_GB2312" w:hAnsi="仿宋_GB2312" w:eastAsia="仿宋_GB2312" w:cs="仿宋_GB2312"/>
          <w:sz w:val="32"/>
          <w:szCs w:val="40"/>
        </w:rPr>
        <w:t>2027-2028学年： 本年度为课程成熟与品牌形成年，将系统编撰完成校本课程教材与教师指导用书，形成可复制、可推广的成熟课程体系；课程优秀成果在区级以上平台展示或获奖不少于2项，并成功构建起“家校社耕读共同体”的常态化运作机制；学生综合素质评价中“劳动与实践”维度的优良率稳定在90%以上，最终使“乡土四季·耕读育人”成为学校的鲜明标识，助力学校获评区域“乡土教育实践基地”或相关示范校，实现特色品牌的成功塑造。</w:t>
      </w:r>
    </w:p>
    <w:p w14:paraId="1969610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lang w:val="en-US" w:eastAsia="zh-CN"/>
        </w:rPr>
        <w:t>3.</w:t>
      </w:r>
      <w:r>
        <w:rPr>
          <w:rFonts w:hint="eastAsia" w:ascii="仿宋_GB2312" w:hAnsi="仿宋_GB2312" w:eastAsia="仿宋_GB2312" w:cs="仿宋_GB2312"/>
          <w:sz w:val="32"/>
          <w:szCs w:val="40"/>
        </w:rPr>
        <w:t>实施措施</w:t>
      </w:r>
    </w:p>
    <w:p w14:paraId="3A3A8C2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lang w:val="en-US" w:eastAsia="zh-CN"/>
        </w:rPr>
        <w:t>1</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课程体系构建与研发</w:t>
      </w:r>
    </w:p>
    <w:p w14:paraId="19994D1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我们将成立由教导处牵头，联合科学、语文、美术、劳动、数学等学科骨干教师组成的“乡土课程研发组”，系统推进课程建设。研发组将依据“春耕、夏耘、秋收、冬藏”四季主线，深度挖掘本地农耕文化、节气知识与物产特色，开发一系列跨学科融合的主题单元课程资源包，确保每个主题均明确融合不同学科的教学目标与实践任务，例如在“春耕”单元中科学课负责植物生长观察、语文课完成种植日记、数学课进行土地测量计算、美术课开展种子拼贴画创作，从而形成一套体系完整、内容生动、兼具教育性与实践性的“乡土四季”校本课程纲要与教学资源库，为特色项目的持续实施提供坚实的课程基础。</w:t>
      </w:r>
    </w:p>
    <w:p w14:paraId="14B1478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lang w:val="en-US" w:eastAsia="zh-CN"/>
        </w:rPr>
        <w:t>2）</w:t>
      </w:r>
      <w:r>
        <w:rPr>
          <w:rFonts w:hint="eastAsia" w:ascii="仿宋_GB2312" w:hAnsi="仿宋_GB2312" w:eastAsia="仿宋_GB2312" w:cs="仿宋_GB2312"/>
          <w:sz w:val="32"/>
          <w:szCs w:val="40"/>
        </w:rPr>
        <w:t>实践基地建设与资源整合</w:t>
      </w:r>
    </w:p>
    <w:p w14:paraId="2103CA8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我们将充分利用校园空间，规整并打造“耿小耕读园”作为核心实践基地，为每个班级划分“责任田”，配备基础农具、观察记录工具与安全设施，使其成为学生进行常态化种植、管理与观察的“户外实验室”。同时，积极拓展校外资源，与本地种植能手、农业合作社或家庭农场建立稳定的合作关系，设立校外实践点，定期组织学生参与更具规模性和专业性的农业生产劳动。此外，我们还将动员家长与社区力量，征集捐赠传统农具、本地种子等，在校园内创设一个微型的“农耕文化展示角”，从而构建起一个由校内基地、校外网点和社区资源共同支撑的立体化实践保障体系。</w:t>
      </w:r>
    </w:p>
    <w:p w14:paraId="15BD0B4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lang w:val="en-US" w:eastAsia="zh-CN"/>
        </w:rPr>
        <w:t>3）</w:t>
      </w:r>
      <w:r>
        <w:rPr>
          <w:rFonts w:hint="eastAsia" w:ascii="仿宋_GB2312" w:hAnsi="仿宋_GB2312" w:eastAsia="仿宋_GB2312" w:cs="仿宋_GB2312"/>
          <w:sz w:val="32"/>
          <w:szCs w:val="40"/>
        </w:rPr>
        <w:t>项目式学习推进与教学实施</w:t>
      </w:r>
    </w:p>
    <w:p w14:paraId="59912C3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rPr>
        <w:t>课程实施将采用项目式学习（PBL）模式，以驱动性问题引领每个学期的核心探究活动。例如，春季围绕“如何规划并运营我们班的‘责任田’才能获得好收成？”展开，秋季则聚焦“如何将我们的收获物产策划一场有意义的‘感恩义卖会’？”。学生将在教师指导下，以小组形式经历从项目策划、信息搜集、实践探究、数据记录到成果创造与公开展示的完整过程。学校将定期组织项目中期交流与终期成果展评会，并鼓励各学科教师协作开展跨学科主题教学周，真正实现“做中学”、“学中用”，让学生在解决真实问题的过程中全面提升综合素养</w:t>
      </w:r>
      <w:r>
        <w:rPr>
          <w:rFonts w:hint="eastAsia" w:ascii="仿宋_GB2312" w:hAnsi="仿宋_GB2312" w:eastAsia="仿宋_GB2312" w:cs="仿宋_GB2312"/>
          <w:sz w:val="32"/>
          <w:szCs w:val="40"/>
          <w:lang w:eastAsia="zh-CN"/>
        </w:rPr>
        <w:t>。</w:t>
      </w:r>
    </w:p>
    <w:p w14:paraId="2ED62D6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lang w:val="en-US" w:eastAsia="zh-CN"/>
        </w:rPr>
        <w:t>4）</w:t>
      </w:r>
      <w:r>
        <w:rPr>
          <w:rFonts w:hint="eastAsia" w:ascii="仿宋_GB2312" w:hAnsi="仿宋_GB2312" w:eastAsia="仿宋_GB2312" w:cs="仿宋_GB2312"/>
          <w:sz w:val="32"/>
          <w:szCs w:val="40"/>
        </w:rPr>
        <w:t>家校社协同机制构建</w:t>
      </w:r>
    </w:p>
    <w:p w14:paraId="6E8F806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我们将着力构建“家校社耕读共同体”，形成育人合力。一方面，定期邀请拥有农耕经验或乡土知识的家长、村民走进课堂，担任“乡土讲师”或“实践导师”，分享智慧与技能。另一方面，每学期精心设计并组织“亲子耕种日”、“丰收节义卖”、“家乡味道制作”等开放性实践活动，吸引家长深度参与。同时，与村委会、社区联动，组织学生开展“美丽乡村环境调查”、“传统农具探寻”等社区服务与调研活动，让学生在与社区的真实互动中，深化对乡土文化的理解与认同，将教育从校园延伸至更广阔的天地。</w:t>
      </w:r>
    </w:p>
    <w:p w14:paraId="4B53F03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lang w:val="en-US" w:eastAsia="zh-CN"/>
        </w:rPr>
        <w:t>5）</w:t>
      </w:r>
      <w:r>
        <w:rPr>
          <w:rFonts w:hint="eastAsia" w:ascii="仿宋_GB2312" w:hAnsi="仿宋_GB2312" w:eastAsia="仿宋_GB2312" w:cs="仿宋_GB2312"/>
          <w:sz w:val="32"/>
          <w:szCs w:val="40"/>
        </w:rPr>
        <w:t>评价激励与成果固化</w:t>
      </w:r>
    </w:p>
    <w:p w14:paraId="0B30CB3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为科学评估课程成效并激励师生参与，我们将专门设计《“耕读育人”成长</w:t>
      </w:r>
      <w:r>
        <w:rPr>
          <w:rFonts w:hint="eastAsia" w:ascii="仿宋_GB2312" w:hAnsi="仿宋_GB2312" w:eastAsia="仿宋_GB2312" w:cs="仿宋_GB2312"/>
          <w:sz w:val="32"/>
          <w:szCs w:val="40"/>
          <w:lang w:val="en-US" w:eastAsia="zh-CN"/>
        </w:rPr>
        <w:t>印记</w:t>
      </w:r>
      <w:r>
        <w:rPr>
          <w:rFonts w:hint="eastAsia" w:ascii="仿宋_GB2312" w:hAnsi="仿宋_GB2312" w:eastAsia="仿宋_GB2312" w:cs="仿宋_GB2312"/>
          <w:sz w:val="32"/>
          <w:szCs w:val="40"/>
        </w:rPr>
        <w:t>》作为过程性评价工具，详细记录学生在劳动实践、科学观察、作品创作、合作表现等方面的足迹与成果。每学期末，学校将举办大型“乡土四季成果博览会”，集中展示学生的项目报告、实践照片、艺术作品、种植收获等，并邀请家长社区代表观摩评议。同时，将教师在此项目中的课程开发贡献度、活动组织效果、成果产出情况纳入绩效考核与评优评先体系，以此建立强有力的激励反馈机制，并着手将优秀成果汇编成案例集、资源包，最终固化为可传承、可推广的校本教材与学校特色文化标识。</w:t>
      </w:r>
    </w:p>
    <w:p w14:paraId="49C53AE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705"/>
        <w:textAlignment w:val="auto"/>
        <w:rPr>
          <w:rFonts w:hint="eastAsia" w:ascii="Arial" w:hAnsi="Arial" w:eastAsia="黑体" w:cs="Arial"/>
          <w:i w:val="0"/>
          <w:iCs w:val="0"/>
          <w:caps w:val="0"/>
          <w:color w:val="000000"/>
          <w:spacing w:val="0"/>
          <w:sz w:val="32"/>
          <w:szCs w:val="32"/>
          <w:lang w:eastAsia="zh-CN"/>
        </w:rPr>
      </w:pPr>
      <w:r>
        <w:rPr>
          <w:rFonts w:hint="eastAsia" w:ascii="黑体" w:hAnsi="宋体" w:eastAsia="黑体" w:cs="黑体"/>
          <w:i w:val="0"/>
          <w:iCs w:val="0"/>
          <w:caps w:val="0"/>
          <w:color w:val="000000"/>
          <w:spacing w:val="0"/>
          <w:sz w:val="32"/>
          <w:szCs w:val="32"/>
          <w:lang w:val="en-US" w:eastAsia="zh-CN"/>
        </w:rPr>
        <w:t>四</w:t>
      </w:r>
      <w:r>
        <w:rPr>
          <w:rFonts w:hint="eastAsia" w:ascii="黑体" w:hAnsi="宋体" w:eastAsia="黑体" w:cs="黑体"/>
          <w:i w:val="0"/>
          <w:iCs w:val="0"/>
          <w:caps w:val="0"/>
          <w:color w:val="000000"/>
          <w:spacing w:val="0"/>
          <w:sz w:val="32"/>
          <w:szCs w:val="32"/>
        </w:rPr>
        <w:t>、</w:t>
      </w:r>
      <w:r>
        <w:rPr>
          <w:rFonts w:hint="eastAsia" w:ascii="黑体" w:hAnsi="宋体" w:eastAsia="黑体" w:cs="黑体"/>
          <w:i w:val="0"/>
          <w:iCs w:val="0"/>
          <w:caps w:val="0"/>
          <w:color w:val="000000"/>
          <w:spacing w:val="0"/>
          <w:sz w:val="32"/>
          <w:szCs w:val="32"/>
          <w:lang w:eastAsia="zh-CN"/>
        </w:rPr>
        <w:t>规划</w:t>
      </w:r>
      <w:r>
        <w:rPr>
          <w:rFonts w:hint="eastAsia" w:ascii="黑体" w:hAnsi="宋体" w:eastAsia="黑体" w:cs="黑体"/>
          <w:i w:val="0"/>
          <w:iCs w:val="0"/>
          <w:caps w:val="0"/>
          <w:color w:val="000000"/>
          <w:spacing w:val="0"/>
          <w:sz w:val="32"/>
          <w:szCs w:val="32"/>
        </w:rPr>
        <w:t>实施保障</w:t>
      </w:r>
      <w:r>
        <w:rPr>
          <w:rFonts w:hint="eastAsia" w:ascii="黑体" w:hAnsi="宋体" w:eastAsia="黑体" w:cs="黑体"/>
          <w:i w:val="0"/>
          <w:iCs w:val="0"/>
          <w:caps w:val="0"/>
          <w:color w:val="000000"/>
          <w:spacing w:val="0"/>
          <w:sz w:val="32"/>
          <w:szCs w:val="32"/>
          <w:lang w:eastAsia="zh-CN"/>
        </w:rPr>
        <w:t>机制</w:t>
      </w:r>
    </w:p>
    <w:p w14:paraId="60839389">
      <w:pPr>
        <w:keepNext w:val="0"/>
        <w:keepLines w:val="0"/>
        <w:pageBreakBefore w:val="0"/>
        <w:kinsoku/>
        <w:wordWrap/>
        <w:overflowPunct/>
        <w:topLinePunct w:val="0"/>
        <w:bidi w:val="0"/>
        <w:spacing w:line="560" w:lineRule="exact"/>
        <w:ind w:firstLine="640" w:firstLineChars="200"/>
        <w:rPr>
          <w:rStyle w:val="7"/>
          <w:rFonts w:hint="eastAsia" w:ascii="楷体" w:hAnsi="楷体" w:eastAsia="楷体" w:cs="楷体"/>
          <w:b w:val="0"/>
          <w:bCs/>
          <w:i w:val="0"/>
          <w:iCs w:val="0"/>
          <w:caps w:val="0"/>
          <w:color w:val="000000"/>
          <w:spacing w:val="0"/>
          <w:sz w:val="32"/>
          <w:szCs w:val="32"/>
          <w:lang w:eastAsia="zh-CN"/>
        </w:rPr>
      </w:pPr>
      <w:r>
        <w:rPr>
          <w:rStyle w:val="7"/>
          <w:rFonts w:hint="eastAsia" w:ascii="楷体" w:hAnsi="楷体" w:eastAsia="楷体" w:cs="楷体"/>
          <w:b w:val="0"/>
          <w:bCs/>
          <w:i w:val="0"/>
          <w:iCs w:val="0"/>
          <w:caps w:val="0"/>
          <w:color w:val="000000"/>
          <w:spacing w:val="0"/>
          <w:sz w:val="32"/>
          <w:szCs w:val="32"/>
          <w:lang w:eastAsia="zh-CN"/>
        </w:rPr>
        <w:t>（一）组织保障</w:t>
      </w:r>
    </w:p>
    <w:p w14:paraId="1A5E981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val="en-US" w:eastAsia="zh-CN"/>
        </w:rPr>
        <w:t>1.</w:t>
      </w:r>
      <w:r>
        <w:rPr>
          <w:rFonts w:hint="eastAsia" w:ascii="仿宋_GB2312" w:hAnsi="仿宋_GB2312" w:eastAsia="仿宋_GB2312" w:cs="仿宋_GB2312"/>
          <w:sz w:val="32"/>
          <w:szCs w:val="40"/>
          <w:lang w:eastAsia="zh-CN"/>
        </w:rPr>
        <w:t>成立由校长任组长、分管副校长为副组长、各职能部门负责人及骨干教师代表共同参与的“学校三年发展规划实施领导小组”，全面负责规划的统筹推进、部门协调与动态调整。领导小组下设办公室于党政办，负责具体的任务分解、进度跟踪与日常联络。</w:t>
      </w:r>
    </w:p>
    <w:p w14:paraId="7CA8F2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val="en-US" w:eastAsia="zh-CN"/>
        </w:rPr>
        <w:t>2.</w:t>
      </w:r>
      <w:r>
        <w:rPr>
          <w:rFonts w:hint="eastAsia" w:ascii="仿宋_GB2312" w:hAnsi="仿宋_GB2312" w:eastAsia="仿宋_GB2312" w:cs="仿宋_GB2312"/>
          <w:sz w:val="32"/>
          <w:szCs w:val="40"/>
          <w:lang w:eastAsia="zh-CN"/>
        </w:rPr>
        <w:t>明确党支部在规划实施中的政治引领和监督保障作用，教导处、德育处、总务处等职能部门须依据规划内容制定详细的学年、学期执行计划，形成“校长室顶层设计—领导小组统筹协调—职能部门具体落实—全体教师协同参与”的层级清晰、权责明确的组织运行网络，确保规划执行纵向贯通、横向联动。</w:t>
      </w:r>
    </w:p>
    <w:p w14:paraId="1DC5C790">
      <w:pPr>
        <w:keepNext w:val="0"/>
        <w:keepLines w:val="0"/>
        <w:pageBreakBefore w:val="0"/>
        <w:kinsoku/>
        <w:wordWrap/>
        <w:overflowPunct/>
        <w:topLinePunct w:val="0"/>
        <w:bidi w:val="0"/>
        <w:spacing w:line="560" w:lineRule="exact"/>
        <w:ind w:firstLine="640" w:firstLineChars="200"/>
        <w:rPr>
          <w:rStyle w:val="7"/>
          <w:rFonts w:hint="eastAsia" w:ascii="楷体" w:hAnsi="楷体" w:eastAsia="楷体" w:cs="楷体"/>
          <w:b w:val="0"/>
          <w:bCs/>
          <w:i w:val="0"/>
          <w:iCs w:val="0"/>
          <w:caps w:val="0"/>
          <w:color w:val="000000"/>
          <w:spacing w:val="0"/>
          <w:sz w:val="32"/>
          <w:szCs w:val="32"/>
          <w:lang w:eastAsia="zh-CN"/>
        </w:rPr>
      </w:pPr>
      <w:r>
        <w:rPr>
          <w:rStyle w:val="7"/>
          <w:rFonts w:hint="eastAsia" w:ascii="楷体" w:hAnsi="楷体" w:eastAsia="楷体" w:cs="楷体"/>
          <w:b w:val="0"/>
          <w:bCs/>
          <w:i w:val="0"/>
          <w:iCs w:val="0"/>
          <w:caps w:val="0"/>
          <w:color w:val="000000"/>
          <w:spacing w:val="0"/>
          <w:sz w:val="32"/>
          <w:szCs w:val="32"/>
          <w:lang w:eastAsia="zh-CN"/>
        </w:rPr>
        <w:t>（二）管理保障</w:t>
      </w:r>
    </w:p>
    <w:p w14:paraId="751283C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建立“计划-执行-监测-评估-改进”的闭环管理体系，将规划目标分解为可执行、可考核的年度与学期重点工作任务，并纳入各部门及负责人的绩效考核。实施“双线”监控机制：一是“常规线”，依托校长办公会、行政例会，建立规划实施月度通报与季度研判制度，及时掌握进展、解决问题；二是“督导线”，定期邀请责任督学、社区代表及家委会成员对规划实施的关键领域进行视察与评议，引入第三方视角。同时，完善与之配套的激励与问责机制，对推进有力、成效显著的部门与个人予以表彰，对执行不力的进行督促整改，确保学校管理全程服务于规划目标的达成。</w:t>
      </w:r>
    </w:p>
    <w:p w14:paraId="19C8E293">
      <w:pPr>
        <w:keepNext w:val="0"/>
        <w:keepLines w:val="0"/>
        <w:pageBreakBefore w:val="0"/>
        <w:kinsoku/>
        <w:wordWrap/>
        <w:overflowPunct/>
        <w:topLinePunct w:val="0"/>
        <w:bidi w:val="0"/>
        <w:spacing w:line="560" w:lineRule="exact"/>
        <w:ind w:firstLine="640" w:firstLineChars="200"/>
        <w:rPr>
          <w:rStyle w:val="7"/>
          <w:rFonts w:hint="eastAsia" w:ascii="楷体" w:hAnsi="楷体" w:eastAsia="楷体" w:cs="楷体"/>
          <w:b w:val="0"/>
          <w:bCs/>
          <w:i w:val="0"/>
          <w:iCs w:val="0"/>
          <w:caps w:val="0"/>
          <w:color w:val="000000"/>
          <w:spacing w:val="0"/>
          <w:sz w:val="32"/>
          <w:szCs w:val="32"/>
          <w:lang w:eastAsia="zh-CN"/>
        </w:rPr>
      </w:pPr>
      <w:r>
        <w:rPr>
          <w:rStyle w:val="7"/>
          <w:rFonts w:hint="eastAsia" w:ascii="楷体" w:hAnsi="楷体" w:eastAsia="楷体" w:cs="楷体"/>
          <w:b w:val="0"/>
          <w:bCs/>
          <w:i w:val="0"/>
          <w:iCs w:val="0"/>
          <w:caps w:val="0"/>
          <w:color w:val="000000"/>
          <w:spacing w:val="0"/>
          <w:sz w:val="32"/>
          <w:szCs w:val="32"/>
          <w:lang w:eastAsia="zh-CN"/>
        </w:rPr>
        <w:t>（三）实施保障</w:t>
      </w:r>
    </w:p>
    <w:p w14:paraId="24F4D9E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7"/>
          <w:rFonts w:hint="eastAsia" w:ascii="黑体" w:hAnsi="黑体" w:eastAsia="黑体" w:cs="黑体"/>
          <w:b w:val="0"/>
          <w:bCs/>
          <w:i w:val="0"/>
          <w:iCs w:val="0"/>
          <w:caps w:val="0"/>
          <w:color w:val="000000"/>
          <w:spacing w:val="0"/>
          <w:sz w:val="32"/>
          <w:szCs w:val="32"/>
          <w:lang w:eastAsia="zh-CN"/>
        </w:rPr>
      </w:pPr>
      <w:r>
        <w:rPr>
          <w:rFonts w:hint="eastAsia" w:ascii="仿宋_GB2312" w:hAnsi="仿宋_GB2312" w:eastAsia="仿宋_GB2312" w:cs="仿宋_GB2312"/>
          <w:sz w:val="32"/>
          <w:szCs w:val="40"/>
          <w:lang w:eastAsia="zh-CN"/>
        </w:rPr>
        <w:t>1.经费保障。建立“规划引领投入”的预算保障机制，学校年度预算编制优先保障规划中确定的重点发展项目和特色创新任务。积极争取南部生态产业新城发展中心教育文化事业部的专项资金支持，并依法合规拓宽社会资源引入渠道，确保校园文化提升、课程改革、师资培训、特色项目等关键领域有充足、稳定的经费支持。严格执行财务管理制度，加强项目经费使用的过程监督与绩效评估，提高资金使用效益。</w:t>
      </w:r>
    </w:p>
    <w:p w14:paraId="05246CD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2.条件保障。持续优化和完善办学条件。总务部门需制定详细的校园设施、设备维护与更新年度计划，重点保障“博·悦”文化环境建设、“乡土四季”实践基地、智慧教室、安全设施等规划重点项目的硬件需求。建立高效的资产管理与使用制度，确保各类教学设施、功能场馆向师生充分开放，物尽其用，为教育教学改革提供坚实的物质基础。</w:t>
      </w:r>
    </w:p>
    <w:p w14:paraId="7BD9B79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3.资源保障。积极构建“家校社”协同育人资源网络。内部充分挖掘和整合教师、课程、文化资源；外部主动与高兄弟学校、社区、企业及非遗传承人等建立长期合作关系，引入专家智慧、实践基地与特色资源，为学校的课程创新、师资培养与特色发展提供持续的外部动力和资源支持，形成推动学校发展的强大合力。</w:t>
      </w:r>
    </w:p>
    <w:p w14:paraId="6184AA38">
      <w:pPr>
        <w:rPr>
          <w:rStyle w:val="7"/>
          <w:rFonts w:hint="eastAsia" w:ascii="黑体" w:hAnsi="黑体" w:eastAsia="黑体" w:cs="黑体"/>
          <w:b w:val="0"/>
          <w:bCs/>
          <w:i w:val="0"/>
          <w:iCs w:val="0"/>
          <w:caps w:val="0"/>
          <w:color w:val="000000"/>
          <w:spacing w:val="0"/>
          <w:sz w:val="32"/>
          <w:szCs w:val="32"/>
          <w:lang w:eastAsia="zh-CN"/>
        </w:rPr>
      </w:pPr>
    </w:p>
    <w:p w14:paraId="7CCC22BE"/>
    <w:p w14:paraId="4354F434"/>
    <w:p w14:paraId="037EA1E9"/>
    <w:p w14:paraId="72A97FBB"/>
    <w:p w14:paraId="1CA9DED7"/>
    <w:p w14:paraId="4CCA9D8E"/>
    <w:p w14:paraId="054AC1A6">
      <w:pPr>
        <w:rPr>
          <w:rFonts w:hint="eastAsia" w:ascii="楷体" w:hAnsi="楷体" w:eastAsia="楷体" w:cs="楷体"/>
          <w:sz w:val="32"/>
          <w:szCs w:val="32"/>
          <w:lang w:val="en-US" w:eastAsia="zh-CN"/>
        </w:rPr>
      </w:pPr>
      <w:r>
        <w:rPr>
          <w:rFonts w:hint="eastAsia"/>
          <w:lang w:val="en-US" w:eastAsia="zh-CN"/>
        </w:rPr>
        <w:t xml:space="preserve">                                           </w:t>
      </w:r>
      <w:r>
        <w:rPr>
          <w:rFonts w:hint="eastAsia" w:ascii="楷体" w:hAnsi="楷体" w:eastAsia="楷体" w:cs="楷体"/>
          <w:sz w:val="32"/>
          <w:szCs w:val="32"/>
          <w:lang w:val="en-US" w:eastAsia="zh-CN"/>
        </w:rPr>
        <w:t xml:space="preserve">    淄博经开区耿家小学</w:t>
      </w:r>
    </w:p>
    <w:p w14:paraId="71D83B66">
      <w:pPr>
        <w:rPr>
          <w:rFonts w:hint="default" w:ascii="楷体" w:hAnsi="楷体" w:eastAsia="楷体" w:cs="楷体"/>
          <w:sz w:val="32"/>
          <w:szCs w:val="32"/>
          <w:lang w:val="en-US" w:eastAsia="zh-CN"/>
        </w:rPr>
      </w:pPr>
      <w:r>
        <w:rPr>
          <w:rFonts w:hint="eastAsia" w:ascii="楷体" w:hAnsi="楷体" w:eastAsia="楷体" w:cs="楷体"/>
          <w:sz w:val="32"/>
          <w:szCs w:val="32"/>
          <w:lang w:val="en-US" w:eastAsia="zh-CN"/>
        </w:rPr>
        <w:t xml:space="preserve">                                     2025年9月</w:t>
      </w:r>
    </w:p>
    <w:p w14:paraId="4EFE6B4E"/>
    <w:p w14:paraId="454C73CF"/>
    <w:p w14:paraId="437B511C"/>
    <w:p w14:paraId="638F914B"/>
    <w:p w14:paraId="5D030672"/>
    <w:p w14:paraId="661CE71C"/>
    <w:p w14:paraId="1A0431F9"/>
    <w:p w14:paraId="7EB811FE"/>
    <w:p w14:paraId="7BA290B3"/>
    <w:p w14:paraId="65C8BA4D"/>
    <w:p w14:paraId="4FB521E3"/>
    <w:p w14:paraId="76B61CEC"/>
    <w:p w14:paraId="58876DEC"/>
    <w:p w14:paraId="64A3C93E"/>
    <w:p w14:paraId="19D550CD"/>
    <w:p w14:paraId="5B1100C7"/>
    <w:p w14:paraId="64418159"/>
    <w:p w14:paraId="4A9B560F">
      <w:pPr>
        <w:jc w:val="both"/>
        <w:rPr>
          <w:rFonts w:hint="default"/>
          <w:b/>
          <w:bCs/>
          <w:sz w:val="96"/>
          <w:szCs w:val="144"/>
          <w:lang w:val="en-US" w:eastAsia="zh-CN"/>
        </w:rPr>
      </w:pPr>
      <w:bookmarkStart w:id="0" w:name="_GoBack"/>
      <w:bookmarkEnd w:id="0"/>
    </w:p>
    <w:sectPr>
      <w:pgSz w:w="11906" w:h="16838"/>
      <w:pgMar w:top="2211" w:right="1531" w:bottom="187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简体">
    <w:altName w:val="微软雅黑"/>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Adobe 宋体 Std L">
    <w:altName w:val="微软雅黑"/>
    <w:panose1 w:val="000000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MS PGothic">
    <w:panose1 w:val="020B0600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F59D9D"/>
    <w:multiLevelType w:val="singleLevel"/>
    <w:tmpl w:val="89F59D9D"/>
    <w:lvl w:ilvl="0" w:tentative="0">
      <w:start w:val="1"/>
      <w:numFmt w:val="chineseCounting"/>
      <w:suff w:val="nothing"/>
      <w:lvlText w:val="（%1）"/>
      <w:lvlJc w:val="left"/>
      <w:rPr>
        <w:rFonts w:hint="eastAsia"/>
      </w:rPr>
    </w:lvl>
  </w:abstractNum>
  <w:abstractNum w:abstractNumId="1">
    <w:nsid w:val="357E1122"/>
    <w:multiLevelType w:val="singleLevel"/>
    <w:tmpl w:val="357E1122"/>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0773D5"/>
    <w:rsid w:val="05FC1F95"/>
    <w:rsid w:val="15C94B84"/>
    <w:rsid w:val="1B4F12C0"/>
    <w:rsid w:val="1F6C7832"/>
    <w:rsid w:val="24D91D37"/>
    <w:rsid w:val="262B076C"/>
    <w:rsid w:val="27EC75D3"/>
    <w:rsid w:val="2B9560C6"/>
    <w:rsid w:val="34A075E3"/>
    <w:rsid w:val="3A463058"/>
    <w:rsid w:val="3B8D4157"/>
    <w:rsid w:val="4B296A56"/>
    <w:rsid w:val="4BD265F2"/>
    <w:rsid w:val="57946DB3"/>
    <w:rsid w:val="580773D5"/>
    <w:rsid w:val="5FDA6F3E"/>
    <w:rsid w:val="61D408F5"/>
    <w:rsid w:val="72250002"/>
    <w:rsid w:val="7BD21F5D"/>
    <w:rsid w:val="7CBB76D8"/>
    <w:rsid w:val="7E3F31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0"/>
    <w:rPr>
      <w:rFonts w:hAnsi="Courier New" w:cs="黑体"/>
      <w:w w:val="100"/>
      <w:sz w:val="21"/>
      <w:szCs w:val="21"/>
    </w:rPr>
  </w:style>
  <w:style w:type="paragraph" w:styleId="4">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7">
    <w:name w:val="Strong"/>
    <w:basedOn w:val="6"/>
    <w:qFormat/>
    <w:uiPriority w:val="0"/>
    <w:rPr>
      <w:b/>
    </w:rPr>
  </w:style>
  <w:style w:type="paragraph" w:customStyle="1" w:styleId="8">
    <w:name w:val="一黑体"/>
    <w:basedOn w:val="1"/>
    <w:qFormat/>
    <w:uiPriority w:val="0"/>
    <w:pPr>
      <w:spacing w:line="420" w:lineRule="exact"/>
      <w:ind w:firstLine="480" w:firstLineChars="200"/>
    </w:pPr>
    <w:rPr>
      <w:rFonts w:ascii="Times New Roman" w:eastAsia="方正黑体简体"/>
      <w:bCs/>
      <w:color w:val="000000"/>
      <w:w w:val="100"/>
      <w:sz w:val="24"/>
      <w:szCs w:val="24"/>
    </w:rPr>
  </w:style>
  <w:style w:type="paragraph" w:customStyle="1" w:styleId="9">
    <w:name w:val="[基本段落]"/>
    <w:basedOn w:val="1"/>
    <w:qFormat/>
    <w:uiPriority w:val="99"/>
    <w:pPr>
      <w:autoSpaceDE w:val="0"/>
      <w:autoSpaceDN w:val="0"/>
      <w:adjustRightInd w:val="0"/>
      <w:spacing w:line="288" w:lineRule="auto"/>
      <w:textAlignment w:val="center"/>
    </w:pPr>
    <w:rPr>
      <w:rFonts w:ascii="Adobe 宋体 Std L" w:hAnsi="Calibri" w:eastAsia="Adobe 宋体 Std L" w:cs="Adobe 宋体 Std L"/>
      <w:color w:val="000000"/>
      <w:w w:val="100"/>
      <w:kern w:val="0"/>
      <w:sz w:val="24"/>
      <w:szCs w:val="24"/>
      <w:lang w:val="zh-CN"/>
    </w:rPr>
  </w:style>
  <w:style w:type="paragraph" w:customStyle="1" w:styleId="10">
    <w:name w:val="正文 放松"/>
    <w:basedOn w:val="1"/>
    <w:qFormat/>
    <w:uiPriority w:val="0"/>
    <w:pPr>
      <w:spacing w:line="420" w:lineRule="exact"/>
      <w:ind w:firstLine="480" w:firstLineChars="200"/>
    </w:pPr>
    <w:rPr>
      <w:rFonts w:ascii="Times New Roman" w:hAnsi="仿宋" w:eastAsia="仿宋"/>
      <w:color w:val="000000"/>
      <w:w w:val="10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28</Pages>
  <Words>2618</Words>
  <Characters>2697</Characters>
  <Lines>0</Lines>
  <Paragraphs>0</Paragraphs>
  <TotalTime>20</TotalTime>
  <ScaleCrop>false</ScaleCrop>
  <LinksUpToDate>false</LinksUpToDate>
  <CharactersWithSpaces>2704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2025-10-12T09:38:00Z</dcterms:created>
  <dc:creator>Comfort</dc:creator>
  <cp:lastModifiedBy>郢</cp:lastModifiedBy>
  <cp:lastPrinted>2025-10-31T01:44:48Z</cp:lastPrinted>
  <dcterms:modified xsi:type="dcterms:W3CDTF">2025-10-31T01:47:11Z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C7C0875C830A4BF9AFF8E807A3A07487_13</vt:lpwstr>
  </property>
  <property fmtid="{D5CDD505-2E9C-101B-9397-08002B2CF9AE}" pid="4" name="KSOTemplateDocerSaveRecord">
    <vt:lpwstr>eyJoZGlkIjoiMDhlZWQ2NWU2ZmZiMTliNzE3NzdhOTg1YjZjNDQ1NjMiLCJ1c2VySWQiOiI1NTk5NjE5NjMifQ==</vt:lpwstr>
  </property>
</Properties>
</file>