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" w:leftChars="100" w:right="210" w:rightChars="100"/>
        <w:jc w:val="distribute"/>
        <w:rPr>
          <w:rFonts w:ascii="新宋体" w:hAnsi="新宋体" w:eastAsia="新宋体"/>
          <w:b/>
          <w:bCs w:val="0"/>
          <w:color w:val="FF0000"/>
          <w:spacing w:val="-60"/>
          <w:w w:val="66"/>
          <w:sz w:val="96"/>
          <w:szCs w:val="96"/>
        </w:rPr>
      </w:pPr>
      <w:r>
        <w:rPr>
          <w:rFonts w:hint="eastAsia" w:ascii="新宋体" w:hAnsi="新宋体" w:eastAsia="新宋体"/>
          <w:b/>
          <w:bCs w:val="0"/>
          <w:color w:val="FF0000"/>
          <w:spacing w:val="-60"/>
          <w:w w:val="66"/>
          <w:sz w:val="96"/>
          <w:szCs w:val="96"/>
        </w:rPr>
        <w:t>淄博市张店区</w:t>
      </w:r>
      <w:r>
        <w:rPr>
          <w:rFonts w:hint="eastAsia" w:ascii="新宋体" w:hAnsi="新宋体" w:eastAsia="新宋体"/>
          <w:b/>
          <w:bCs w:val="0"/>
          <w:color w:val="FF0000"/>
          <w:spacing w:val="-60"/>
          <w:w w:val="66"/>
          <w:sz w:val="96"/>
          <w:szCs w:val="96"/>
          <w:lang w:val="en-US" w:eastAsia="zh-CN"/>
        </w:rPr>
        <w:t>铁山学校</w:t>
      </w:r>
      <w:r>
        <w:rPr>
          <w:rFonts w:hint="eastAsia" w:ascii="新宋体" w:hAnsi="新宋体" w:eastAsia="新宋体"/>
          <w:b/>
          <w:bCs w:val="0"/>
          <w:color w:val="FF0000"/>
          <w:spacing w:val="-60"/>
          <w:w w:val="66"/>
          <w:sz w:val="96"/>
          <w:szCs w:val="96"/>
        </w:rPr>
        <w:t>文件</w:t>
      </w:r>
    </w:p>
    <w:p>
      <w:pPr>
        <w:jc w:val="center"/>
        <w:rPr>
          <w:b w:val="0"/>
          <w:bCs/>
          <w:color w:val="FF0000"/>
        </w:rPr>
      </w:pPr>
      <w:r>
        <w:rPr>
          <w:b w:val="0"/>
          <w:bCs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291465</wp:posOffset>
                </wp:positionV>
                <wp:extent cx="2484120" cy="0"/>
                <wp:effectExtent l="0" t="15875" r="11430" b="222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12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5.4pt;margin-top:22.95pt;height:0pt;width:195.6pt;z-index:251659264;mso-width-relative:page;mso-height-relative:page;" filled="f" stroked="t" coordsize="21600,21600" o:gfxdata="UEsDBAoAAAAAAIdO4kAAAAAAAAAAAAAAAAAEAAAAZHJzL1BLAwQUAAAACACHTuJAE3as8NkAAAAJ&#10;AQAADwAAAGRycy9kb3ducmV2LnhtbE2PT0vEMBDF7wt+hzCCl8VNWrTW2nRZBEHoQVz34HHaxLbY&#10;TEqT/eN+ekc86G1m3uPN75XrkxvFwc5h8KQhWSkQllpvBuo07N6ernMQISIZHD1ZDV82wLq6WJRY&#10;GH+kV3vYxk5wCIUCNfQxToWUoe2tw7DykyXWPvzsMPI6d9LMeORwN8pUqUw6HIg/9DjZx962n9u9&#10;07DE92yThyQ1/qVuzs+u3p03tdZXl4l6ABHtKf6Z4Qef0aFipsbvyQQxari5U4weebi9B8GGPEu5&#10;XPN7kFUp/zeovgFQSwMEFAAAAAgAh07iQC7n/h73AQAA5QMAAA4AAABkcnMvZTJvRG9jLnhtbK1T&#10;zY7TMBC+I/EOlu80TXeBVdR0D1vKBUEl4AGmtpNY8p88btO+BC+AxA1OHLnzNrs8BuOk24Xl0gM5&#10;OGPP+Jv5vhnPr/fWsJ2KqL2reTmZcqac8FK7tuYfP6yeXXGGCZwE452q+UEhv148fTLvQ6VmvvNG&#10;qsgIxGHVh5p3KYWqKFB0ygJOfFCOnI2PFhJtY1vICD2hW1PMptMXRe+jDNELhUiny9HJj4jxHEDf&#10;NFqopRdbq1waUaMykIgSdjogXwzVNo0S6V3ToErM1JyYpmGlJGRv8los5lC1EUKnxbEEOKeER5ws&#10;aEdJT1BLSMC2Uf8DZbWIHn2TJsLbYiQyKEIsyukjbd53ENTAhaTGcBId/x+seLtbR6ZlzS84c2Cp&#10;4Xeff9x++vrr5xda775/YxdZpD5gRbE3bh2POwzrmBnvm2jzn7iw/SDs4SSs2icm6HB2eXVZzkhz&#10;ce8rHi6GiOm18pZlo+ZGu8wZKti9wUTJKPQ+JB8bx3qqtnz5POMBTWBDnSfTBmKBrh0uozdarrQx&#10;+QrGdnNjItsBTcFqNaUvcyLgv8JyliVgN8YNrnE+OgXylZMsHQLp4+hZ8FyDVZIzo+gVZYsAoUqg&#10;zTmRlNo4qiDLOgqZrY2XB+rGNkTddiRFOVSZPdT9od7jpObx+nM/ID28zs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3as8NkAAAAJAQAADwAAAAAAAAABACAAAAAiAAAAZHJzL2Rvd25yZXYueG1s&#10;UEsBAhQAFAAAAAgAh07iQC7n/h73AQAA5QMAAA4AAAAAAAAAAQAgAAAAKAEAAGRycy9lMm9Eb2Mu&#10;eG1sUEsFBgAAAAAGAAYAWQEAAJEFAAAAAA=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 w:val="0"/>
          <w:bCs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281940</wp:posOffset>
                </wp:positionV>
                <wp:extent cx="2484120" cy="0"/>
                <wp:effectExtent l="0" t="15875" r="11430" b="222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12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85pt;margin-top:22.2pt;height:0pt;width:195.6pt;z-index:251660288;mso-width-relative:page;mso-height-relative:page;" filled="f" stroked="t" coordsize="21600,21600" o:gfxdata="UEsDBAoAAAAAAIdO4kAAAAAAAAAAAAAAAAAEAAAAZHJzL1BLAwQUAAAACACHTuJAA+GsSNoAAAAJ&#10;AQAADwAAAGRycy9kb3ducmV2LnhtbE2PTUvDQBCG74L/YRnBi7SbtGmtaTalCIKQQ2ntweMkO02C&#10;2dmQ3X7YX++KB3ucmYd3njdbXUwnTjS41rKCeByBIK6sbrlWsP94Gy1AOI+ssbNMCr7JwSq/v8sw&#10;1fbMWzrtfC1CCLsUFTTe96mUrmrIoBvbnjjcDnYw6MM41FIPeA7hppOTKJpLgy2HDw329NpQ9bU7&#10;GgVP+DlfL1w80XZTlNd3U+yv60Kpx4c4WoLwdPH/MPzqB3XIg1Npj6yd6BSMpvFzQBUkSQIiANPZ&#10;ywxE+beQeSZvG+Q/UEsDBBQAAAAIAIdO4kC3oyN0+AEAAOUDAAAOAAAAZHJzL2Uyb0RvYy54bWyt&#10;U82O0zAQviPxDpbvNG1YYBU13cOWckFQCXiAqe0klvwnj9u0L8ELIHGDE0fuvA3LYzBOul1299ID&#10;OThjz/ib+b4Zz6/21rCdiqi9q/lsMuVMOeGldm3NP31cPbvkDBM4CcY7VfODQn61ePpk3odKlb7z&#10;RqrICMRh1YeadymFqihQdMoCTnxQjpyNjxYSbWNbyAg9oVtTlNPpy6L3UYbohUKk0+Xo5EfEeA6g&#10;bxot1NKLrVUujahRGUhECTsdkC+GaptGifS+aVAlZmpOTNOwUhKyN3ktFnOo2gih0+JYApxTwgNO&#10;FrSjpCeoJSRg26gfQVktokffpInwthiJDIoQi9n0gTYfOghq4EJSYziJjv8PVrzbrSPTsuYlZw4s&#10;Nfzmy8/fn7/9+fWV1psf31mZReoDVhR77dbxuMOwjpnxvok2/4kL2w/CHk7Cqn1igg7Li8uLWUma&#10;i1tfcXcxRExvlLcsGzU32mXOUMHuLSZKRqG3IfnYONbX/Pns1YuMBzSBDXWeTBuIBbp2uIzeaLnS&#10;xuQrGNvNtYlsBzQFq9WUvsyJgO+F5SxLwG6MG1zjfHQK5GsnWToE0sfRs+C5BqskZ0bRK8oWAUKV&#10;QJtzIim1cVRBlnUUMlsbLw/UjW2Iuu1IitlQZfZQ94d6j5Oax+vf/YB09zoX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D4axI2gAAAAkBAAAPAAAAAAAAAAEAIAAAACIAAABkcnMvZG93bnJldi54&#10;bWxQSwECFAAUAAAACACHTuJAt6MjdPgBAADlAwAADgAAAAAAAAABACAAAAApAQAAZHJzL2Uyb0Rv&#10;Yy54bWxQSwUGAAAAAAYABgBZAQAAkwUAAAAA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 w:val="0"/>
          <w:bCs/>
          <w:color w:val="FF0000"/>
        </w:rPr>
        <w:drawing>
          <wp:inline distT="0" distB="0" distL="0" distR="0">
            <wp:extent cx="504825" cy="581025"/>
            <wp:effectExtent l="0" t="0" r="9525" b="9525"/>
            <wp:docPr id="1" name="图片 1" descr="20140319163321-2085106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40319163321-20851064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校园足球特色学校发展目标及规划</w:t>
      </w:r>
    </w:p>
    <w:p>
      <w:pPr>
        <w:jc w:val="center"/>
        <w:rPr>
          <w:rFonts w:hint="eastAsia" w:ascii="Times New Roman" w:hAnsi="Times New Roman" w:eastAsia="方正小标宋简体" w:cs="Times New Roman"/>
          <w:b w:val="0"/>
          <w:bCs/>
          <w:sz w:val="22"/>
          <w:szCs w:val="2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自建校以来，学校始终把校园足球的发展作为学校重点工作推进。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坚持以人为本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的足球发展理念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践行“本真”教育，遵循普及与提高并重的原则，深入推广足球项目，以校园足球为载体，行立德树人之目的。大力推进校园足球特色课程和活动的开展，满足学生体质锻炼与个性特长发展的需求，提升校园活力。根据实际情况，制定我校“校园足球特色学校”三年发展目标及规划。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一、指导思想 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以认真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贯彻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落实《国家体育总局、教育部关于开展全国青少年校园足球活动的通知》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全国全省教育大会精神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为指导思想，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切实让广大学生在足球运动中享受乐趣、增强体质、健全人格、锤炼意志，不断提高校园足球的发展质量和水平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根本目标，强化普及促提高，全面提高促特色，大力开展校园足球活动。 </w:t>
      </w:r>
    </w:p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二、总体目标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  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使“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快乐、健康、合作、进取”的足球精神逐渐成为学校文化的精髓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形成学生体质普遍增强、竞技水平不断提升、足球特色魅力日益彰显、装备设施日趋完善的学校发展新格局。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 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三、具体目标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1.体质健康水平明显提高。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通过三年左右的时间，学生体质健康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检测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合格率保持在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95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%以上，优秀率达到15%。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2. 逐渐养成足球技能。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培养学生良好的体育锻炼习惯和健康的生活方式。积极开展足球项目认定评价活动，使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0%的学生掌握一定的足球技能。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3. 学校足球社团活动蓬勃开展。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通过三年的努力使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足球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社团骨干成员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日益增多，各年级大课间活动渐进式的融入足球项目。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4. 足球特色魅力日益彰显。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在全面普及的基础上不断彰显我校足球特色，做到人人有足球、班班有球队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集中精干力量组建年级足球队和校级男女足球队。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定期开展校园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足球班级联赛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，并在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、市、省级足球比赛中取得优异成绩。 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四、发展基础与现状分析 </w:t>
      </w:r>
    </w:p>
    <w:p>
      <w:pPr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1.发展基础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我校是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九年一贯制学校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学生在校培养周期长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培养系统连贯。由于建校时间短，我校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中小学足球运动尚处于起步阶段，学生的足球基础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有待进一步夯实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，所以我们要发展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校园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足球项目必须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精计划、严要求、重落实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。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2．学生体质现状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2020年，我校学生体质健康测试结果：优秀率是%，良好率是%，及格率是%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当前青少年学生的身体形态和机能素质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普遍不高的大环境下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学生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身体素质和运动技能方面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待提高。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3.学校师资现状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 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我校现开设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个教学班，体育教师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人。目前体育师资的数量和业务水平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基本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满足和适应校园足球发展的需要，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但仍需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选送体育教师外出学习先进足球理论知识和带队经验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促进教师专业队伍的成长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4.校园足球的基础设施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学校建有400米和200米两个综合田径足球运动场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配备11人制和7人制标准足球场地各一块，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同时相配套的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足球、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标志杆、绳梯及其它辅助器材基本具备。 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五、措施与保障 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1.加强校园足球工作领导，建立完善的工作管理制度和运行机制。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成立青少年校园足球特色学校办公室，健全工作管理机制，为确保校园足球的有效开展提供保障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，进一步加强对校园足球工作的政策规划、宏观管理和统筹协调，把校园足球工作列入教育改革和发展规划之中。 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2.广泛开展校园足球活动，为每一个学生的健康和谐发展搭建平台。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定期开展班级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年级、校级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足球联赛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足球技能大比武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足球啦啦操展示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等活动，形成“班班有球队，人人都参与”的良好局面。提升学校足球活动的影响力。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3.加大校园足球经费投入，完善学校足球活动设施设备。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设立校园足球专项经费，主要用于开展活动、发展项目、添置体育设施、奖励先进等。 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4.加强体育宣传，营造良好的体育氛围。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通过各种媒体和形式，广泛宣传开展校园足球活动的重要意义，大力宣传开展校园足球所取得的成效，形成正确的舆论导向和良好的社会氛围，为开展校园足球活动创造有利的社会环境和舆论环境。 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六、实施步骤及阶段目标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（一）第一阶段（20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20.9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---20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21.7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此阶段是规划实施的开始阶段，也是至关重要的阶段。所以，学校把该阶段定位为建制、宣传、奠基阶段，要求全体教师稳扎稳打，按计划与分工做好份内工作，具体步骤是：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健全工作机制成立校园足球工作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领导小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组： </w:t>
      </w:r>
    </w:p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组  长：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王福勇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   </w:t>
      </w:r>
    </w:p>
    <w:p>
      <w:pPr>
        <w:rPr>
          <w:rFonts w:hint="default" w:ascii="仿宋" w:hAnsi="仿宋" w:eastAsia="仿宋" w:cs="仿宋"/>
          <w:b w:val="0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副组长：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杨  燕  刘  峰  孙启祯  房  兵  刘学锋</w:t>
      </w:r>
    </w:p>
    <w:p>
      <w:pPr>
        <w:ind w:left="1280" w:hanging="1280" w:hangingChars="4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成  员：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马忠茂  朱向荣  孟庆洋  于成涛  张  园  田  雪  王玲玲  张  骁  各级部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体育老师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各班主任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职责：统筹规划学校校园足球工作的方案与措施，制订相关管理、考评制度。 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各成员具体负责校园足球工作规划、方案和计划的落实工作。体育组落实足球课的开设、社团的组建、校内比赛的筹备与开展、设备的增添与管理等一系列具体工作的落实。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青少年校园足球特色学校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办公室负责校园足球工作的日常管理与考评。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2、20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年秋期开展宣传发动，建章立制，组织师生进行足球知识培训，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开展校园足球手抄报、啦啦操展示等活动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。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开展教师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足球专项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培训，提升师资水平，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引进优质校园足球俱乐部提高训练水平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，并加大经费投入力度，购置相关训练器材。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4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开展足球校本课程。20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年秋期发动本校教师以教育部下发的相关资料为依据，编撰足球校本课程，自20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秋季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开始每周每班开设一节足球课，按校本教材上课。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5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初步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组建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阶梯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足球社团，初步建立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班级足球队、年级足球队、学校足球队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，以培养足球骨干为目标。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本阶段的目标是：争取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优质校园足球俱乐部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加盟我校，全部体育教师和10%的教师能够掌握一种基本的足球技能、足球知识，并能指导学生实践，3%的学生参加学校足球队，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并组织开展辖内各级足球联赛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。 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（二）第二阶段（20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21.9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---20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22.7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）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此阶段学校定为深入、巩固、激励阶段。作为规划实施的第二个年头，应该认真总结不足，坚定信念，更加深入细致地把校园足球工作持久地开展下去。具体步骤是：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开学前召开专题总结工作会议，认真总结第一阶段工作中的不足之处，积极改进工作方法，表彰先进典型。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开展校本教研，开发足球课程资源，逐步形成以足球为特色的体育教学。 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继续组织开展班级和年级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校园足球联赛；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组织学生参加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级比赛，力争参加市级足球比赛；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本阶段的培养目标是：30%的教师能够掌握一种基本的足球技能、足球知识和精神，10%的教师能够达到较高的水平，并能指导学生实践，5%的学生参加学校运动队，其中2%的学生能够参加各级足球比赛并获奖。 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（三）第三阶段（20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22.9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--20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23.7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本阶段为总结、自查、持久阶段。按照校园足球总体规划的目标要求，此阶段实为检验三年来活动效果、工作成绩，以及确定校园足球工作第二个三年规划阶段。具体步骤是：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1、巩固足球校本课程和社团活动；巩固班级足球队和学校足球队成果；发展足球大课间活动。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2、确立每年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月为学校足球节，进行师生足球技能比赛。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3、加强对外宣传，邀请家长观摩足球课，营造足球氛围，并上升到足球文化的高度。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4、建立健全学校联赛机制，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提高班与班、年级与年纪足球比赛质量。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5、力争在市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级比赛中获奖。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6、召开总结大会，全面总结校园足球工作。 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、该阶段的目标是：60％的教师能掌握足球技能技巧、知识，具备优良的理论与实践素质，30%的教师在此基础上能指导学生进行实践；10%的学生参加学校各种运动队训练，其中5%的学生能够参加各级足球比赛并获奖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培养学生足球特长，夯实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足球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</w:rPr>
        <w:t>校园文化，发展足球特色，以体寓德，健康成长，以体育智，全面发展，是树立学校品牌，创建名校，推进素质教育的必由之路。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让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全校师生真正树立“健康第一，终身体育”意识，以足球运动为载体，普及足球基础知识和技能，建设校园足球生活、足球文化、足球教育，以足球为切入点，达到立德、树人的目标，从而推动素质教育的深化，促进学生全面发展，提升办学品位，强化办学特色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jc w:val="both"/>
        <w:rPr>
          <w:rFonts w:hint="default" w:asciiTheme="majorEastAsia" w:hAnsiTheme="majorEastAsia" w:eastAsiaTheme="majorEastAsia" w:cstheme="majorEastAsia"/>
          <w:b w:val="0"/>
          <w:bCs/>
          <w:sz w:val="52"/>
          <w:szCs w:val="52"/>
          <w:lang w:val="en-US" w:eastAsia="zh-CN"/>
        </w:rPr>
      </w:pPr>
    </w:p>
    <w:sectPr>
      <w:pgSz w:w="11906" w:h="16838"/>
      <w:pgMar w:top="1984" w:right="1417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F4F1F"/>
    <w:rsid w:val="0AAD5AC9"/>
    <w:rsid w:val="327023A9"/>
    <w:rsid w:val="4400608B"/>
    <w:rsid w:val="44191A75"/>
    <w:rsid w:val="44DF4F1F"/>
    <w:rsid w:val="4A555968"/>
    <w:rsid w:val="5BFB5BA8"/>
    <w:rsid w:val="6FB81B3B"/>
    <w:rsid w:val="70AE0285"/>
    <w:rsid w:val="739A3464"/>
    <w:rsid w:val="7E80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2020-10-03T13:11:00Z</dcterms:created>
  <dc:creator>颖馨朵朵</dc:creator>
  <cp:lastModifiedBy>時  間</cp:lastModifiedBy>
  <cp:lastPrinted>2020-10-12T12:31:00Z</cp:lastPrinted>
  <dcterms:modified xsi:type="dcterms:W3CDTF">2021-09-04T07:02:51Z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2A34B4C8F3B94998B4855125E3E565F1</vt:lpwstr>
  </property>
</Properties>
</file>