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
        <w:gridCol w:w="1172"/>
        <w:gridCol w:w="200"/>
        <w:gridCol w:w="1171"/>
        <w:gridCol w:w="710"/>
        <w:gridCol w:w="885"/>
        <w:gridCol w:w="855"/>
        <w:gridCol w:w="139"/>
        <w:gridCol w:w="765"/>
        <w:gridCol w:w="780"/>
        <w:gridCol w:w="420"/>
        <w:gridCol w:w="840"/>
        <w:gridCol w:w="710"/>
        <w:gridCol w:w="480"/>
        <w:gridCol w:w="690"/>
        <w:gridCol w:w="515"/>
        <w:gridCol w:w="209"/>
        <w:gridCol w:w="254"/>
        <w:gridCol w:w="960"/>
        <w:gridCol w:w="735"/>
        <w:gridCol w:w="900"/>
        <w:gridCol w:w="209"/>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9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4079" w:type="dxa"/>
            <w:gridSpan w:val="2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528" w:lineRule="exact"/>
              <w:ind w:left="20"/>
              <w:jc w:val="center"/>
              <w:rPr>
                <w:rFonts w:hint="eastAsia" w:ascii="Dialog" w:hAnsi="Times New Roman"/>
                <w:color w:val="auto"/>
                <w:sz w:val="44"/>
              </w:rPr>
            </w:pPr>
            <w:r>
              <w:rPr>
                <w:rFonts w:hint="eastAsia" w:ascii="Dialog" w:hAnsi="Times New Roman"/>
                <w:color w:val="auto"/>
                <w:sz w:val="44"/>
              </w:rPr>
              <w:t>中小学校艺术教育工作自评报表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4993" w:type="dxa"/>
            <w:gridSpan w:val="6"/>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7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543"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学校名称(公章):</w:t>
            </w:r>
          </w:p>
        </w:tc>
        <w:tc>
          <w:tcPr>
            <w:tcW w:w="4134" w:type="dxa"/>
            <w:gridSpan w:val="6"/>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eastAsia" w:ascii="仿宋_GB2312" w:hAnsi="宋体" w:eastAsia="仿宋_GB2312"/>
                <w:color w:val="auto"/>
                <w:sz w:val="28"/>
              </w:rPr>
              <w:t>淄博市张店区傅家镇黄家小学</w:t>
            </w: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720" w:type="dxa"/>
            <w:gridSpan w:val="4"/>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right="20"/>
              <w:jc w:val="right"/>
              <w:rPr>
                <w:rFonts w:hint="eastAsia" w:ascii="Dialog" w:hAnsi="Times New Roman"/>
                <w:color w:val="auto"/>
                <w:sz w:val="28"/>
              </w:rPr>
            </w:pPr>
            <w:r>
              <w:rPr>
                <w:rFonts w:hint="eastAsia" w:ascii="Dialog" w:hAnsi="Times New Roman"/>
                <w:color w:val="auto"/>
                <w:sz w:val="28"/>
              </w:rPr>
              <w:t>联系电话:</w:t>
            </w:r>
          </w:p>
        </w:tc>
        <w:tc>
          <w:tcPr>
            <w:tcW w:w="2673" w:type="dxa"/>
            <w:gridSpan w:val="5"/>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eastAsia" w:ascii="仿宋_GB2312" w:hAnsi="宋体" w:eastAsia="仿宋_GB2312"/>
                <w:color w:val="auto"/>
                <w:sz w:val="28"/>
              </w:rPr>
              <w:t>0533-2271295</w:t>
            </w: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7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学校类别:</w:t>
            </w:r>
          </w:p>
        </w:tc>
        <w:tc>
          <w:tcPr>
            <w:tcW w:w="12707" w:type="dxa"/>
            <w:gridSpan w:val="20"/>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543"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教学班总数:</w:t>
            </w: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小学</w:t>
            </w:r>
          </w:p>
        </w:tc>
        <w:tc>
          <w:tcPr>
            <w:tcW w:w="885" w:type="dxa"/>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eastAsia" w:ascii="Times New Roman" w:eastAsia="宋体"/>
                <w:color w:val="auto"/>
                <w:sz w:val="24"/>
                <w:lang w:val="en-US" w:eastAsia="zh-CN"/>
              </w:rPr>
            </w:pPr>
            <w:r>
              <w:rPr>
                <w:rFonts w:hint="default" w:ascii="Times New Roman" w:hAnsi="Times New Roman"/>
                <w:color w:val="auto"/>
                <w:sz w:val="24"/>
              </w:rPr>
              <w:t>1</w:t>
            </w:r>
            <w:r>
              <w:rPr>
                <w:rFonts w:hint="eastAsia" w:ascii="Times New Roman" w:hAnsi="Times New Roman"/>
                <w:color w:val="auto"/>
                <w:sz w:val="24"/>
                <w:lang w:val="en-US" w:eastAsia="zh-CN"/>
              </w:rPr>
              <w:t>0</w:t>
            </w:r>
          </w:p>
        </w:tc>
        <w:tc>
          <w:tcPr>
            <w:tcW w:w="994"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初中</w:t>
            </w:r>
          </w:p>
        </w:tc>
        <w:tc>
          <w:tcPr>
            <w:tcW w:w="780" w:type="dxa"/>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p>
        </w:tc>
        <w:tc>
          <w:tcPr>
            <w:tcW w:w="126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高中</w:t>
            </w:r>
          </w:p>
        </w:tc>
        <w:tc>
          <w:tcPr>
            <w:tcW w:w="1170" w:type="dxa"/>
            <w:gridSpan w:val="2"/>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7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543"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在校学生总数:</w:t>
            </w: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小学</w:t>
            </w:r>
          </w:p>
        </w:tc>
        <w:tc>
          <w:tcPr>
            <w:tcW w:w="885" w:type="dxa"/>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宋体"/>
                <w:color w:val="auto"/>
                <w:sz w:val="24"/>
                <w:lang w:val="en-US" w:eastAsia="zh-CN"/>
              </w:rPr>
            </w:pPr>
            <w:r>
              <w:rPr>
                <w:rFonts w:hint="eastAsia" w:ascii="Times New Roman"/>
                <w:color w:val="auto"/>
                <w:sz w:val="24"/>
                <w:lang w:val="en-US" w:eastAsia="zh-CN"/>
              </w:rPr>
              <w:t>272</w:t>
            </w:r>
          </w:p>
        </w:tc>
        <w:tc>
          <w:tcPr>
            <w:tcW w:w="994"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初中</w:t>
            </w:r>
          </w:p>
        </w:tc>
        <w:tc>
          <w:tcPr>
            <w:tcW w:w="780" w:type="dxa"/>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p>
        </w:tc>
        <w:tc>
          <w:tcPr>
            <w:tcW w:w="126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高中</w:t>
            </w:r>
          </w:p>
        </w:tc>
        <w:tc>
          <w:tcPr>
            <w:tcW w:w="1170" w:type="dxa"/>
            <w:gridSpan w:val="2"/>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2543" w:type="dxa"/>
            <w:gridSpan w:val="3"/>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专任教师总数:</w:t>
            </w: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小学</w:t>
            </w:r>
          </w:p>
        </w:tc>
        <w:tc>
          <w:tcPr>
            <w:tcW w:w="885" w:type="dxa"/>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eastAsia" w:ascii="Times New Roman" w:eastAsia="宋体"/>
                <w:color w:val="auto"/>
                <w:sz w:val="24"/>
                <w:lang w:val="en-US" w:eastAsia="zh-CN"/>
              </w:rPr>
            </w:pPr>
            <w:r>
              <w:rPr>
                <w:rFonts w:hint="eastAsia" w:ascii="Times New Roman"/>
                <w:color w:val="auto"/>
                <w:sz w:val="24"/>
              </w:rPr>
              <w:t>3</w:t>
            </w:r>
            <w:r>
              <w:rPr>
                <w:rFonts w:hint="eastAsia" w:ascii="Times New Roman"/>
                <w:color w:val="auto"/>
                <w:sz w:val="24"/>
                <w:lang w:val="en-US" w:eastAsia="zh-CN"/>
              </w:rPr>
              <w:t>6</w:t>
            </w:r>
            <w:bookmarkStart w:id="0" w:name="_GoBack"/>
            <w:bookmarkEnd w:id="0"/>
          </w:p>
        </w:tc>
        <w:tc>
          <w:tcPr>
            <w:tcW w:w="994"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初中</w:t>
            </w:r>
          </w:p>
        </w:tc>
        <w:tc>
          <w:tcPr>
            <w:tcW w:w="780" w:type="dxa"/>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p>
        </w:tc>
        <w:tc>
          <w:tcPr>
            <w:tcW w:w="126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高中</w:t>
            </w:r>
          </w:p>
        </w:tc>
        <w:tc>
          <w:tcPr>
            <w:tcW w:w="1170" w:type="dxa"/>
            <w:gridSpan w:val="2"/>
            <w:tcBorders>
              <w:top w:val="single" w:color="FFFFFF" w:sz="4" w:space="0"/>
              <w:left w:val="single" w:color="FFFFFF" w:sz="4" w:space="0"/>
              <w:bottom w:val="single" w:color="000000" w:sz="8" w:space="0"/>
              <w:right w:val="single" w:color="FFFFFF" w:sz="4" w:space="0"/>
              <w:tl2br w:val="nil"/>
              <w:tr2bl w:val="nil"/>
            </w:tcBorders>
            <w:shd w:val="clear" w:color="auto" w:fill="FFFFFF"/>
            <w:noWrap w:val="0"/>
            <w:vAlign w:val="center"/>
          </w:tcPr>
          <w:p>
            <w:pPr>
              <w:jc w:val="cente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个;</w:t>
            </w: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exact"/>
        </w:trPr>
        <w:tc>
          <w:tcPr>
            <w:tcW w:w="156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自评项目</w:t>
            </w:r>
          </w:p>
        </w:tc>
        <w:tc>
          <w:tcPr>
            <w:tcW w:w="2766"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自评内容</w:t>
            </w:r>
          </w:p>
        </w:tc>
        <w:tc>
          <w:tcPr>
            <w:tcW w:w="5679" w:type="dxa"/>
            <w:gridSpan w:val="9"/>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自评记录</w:t>
            </w:r>
          </w:p>
        </w:tc>
        <w:tc>
          <w:tcPr>
            <w:tcW w:w="978"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自评得分</w:t>
            </w:r>
          </w:p>
        </w:tc>
        <w:tc>
          <w:tcPr>
            <w:tcW w:w="16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存在的主要问题</w:t>
            </w:r>
          </w:p>
        </w:tc>
        <w:tc>
          <w:tcPr>
            <w:tcW w:w="1589"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67"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艺术课程</w:t>
            </w:r>
          </w:p>
          <w:p>
            <w:pPr>
              <w:spacing w:line="336" w:lineRule="exact"/>
              <w:ind w:left="20"/>
              <w:jc w:val="center"/>
              <w:rPr>
                <w:rFonts w:hint="eastAsia" w:ascii="Dialog" w:hAnsi="Times New Roman"/>
                <w:color w:val="auto"/>
                <w:sz w:val="28"/>
              </w:rPr>
            </w:pPr>
            <w:r>
              <w:rPr>
                <w:rFonts w:hint="eastAsia" w:ascii="Dialog" w:hAnsi="Times New Roman"/>
                <w:color w:val="auto"/>
                <w:sz w:val="28"/>
              </w:rPr>
              <w:t>(30分)</w:t>
            </w:r>
          </w:p>
        </w:tc>
        <w:tc>
          <w:tcPr>
            <w:tcW w:w="2766"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 xml:space="preserve">按照国家要求开齐开足上好音乐、美术等艺术课程。利用当地教育资源，开发具有民族、地域特色的艺术课程，推进教学改革，提高教学质量。 </w:t>
            </w:r>
          </w:p>
        </w:tc>
        <w:tc>
          <w:tcPr>
            <w:tcW w:w="3799"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音乐(课时/周)</w:t>
            </w:r>
          </w:p>
        </w:tc>
        <w:tc>
          <w:tcPr>
            <w:tcW w:w="18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w:t>
            </w:r>
          </w:p>
        </w:tc>
        <w:tc>
          <w:tcPr>
            <w:tcW w:w="978"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28</w:t>
            </w:r>
          </w:p>
        </w:tc>
        <w:tc>
          <w:tcPr>
            <w:tcW w:w="1695"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仿宋" w:eastAsia="仿宋_GB2312"/>
                <w:color w:val="auto"/>
                <w:sz w:val="28"/>
              </w:rPr>
              <w:t>综合艺术课程开设种类相对较少。</w:t>
            </w:r>
          </w:p>
        </w:tc>
        <w:tc>
          <w:tcPr>
            <w:tcW w:w="1589"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仿宋" w:eastAsia="仿宋_GB2312"/>
                <w:color w:val="auto"/>
                <w:sz w:val="28"/>
              </w:rPr>
              <w:t>增加综合课程投入，充分利用好学校及当地教育资源。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799"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美术(课时/周)</w:t>
            </w:r>
          </w:p>
        </w:tc>
        <w:tc>
          <w:tcPr>
            <w:tcW w:w="18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799"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综合艺术(课时/周)</w:t>
            </w:r>
          </w:p>
        </w:tc>
        <w:tc>
          <w:tcPr>
            <w:tcW w:w="18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1</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799"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地方/学校艺术课程(课时/周)</w:t>
            </w:r>
          </w:p>
        </w:tc>
        <w:tc>
          <w:tcPr>
            <w:tcW w:w="1880"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1</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4"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列出课程名称</w:t>
            </w:r>
          </w:p>
        </w:tc>
        <w:tc>
          <w:tcPr>
            <w:tcW w:w="4685" w:type="dxa"/>
            <w:gridSpan w:val="7"/>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eastAsia" w:ascii="Times New Roman" w:hAnsi="Times New Roman"/>
                <w:color w:val="auto"/>
                <w:sz w:val="24"/>
              </w:rPr>
              <w:t>刺绣课程</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4"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7"/>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bl>
    <w:p>
      <w:pPr>
        <w:rPr>
          <w:rFonts w:hint="default" w:ascii="Times New Roman" w:eastAsia="Times New Roman"/>
          <w:color w:val="auto"/>
          <w:sz w:val="2"/>
        </w:rPr>
      </w:pPr>
      <w:r>
        <w:rPr>
          <w:rFonts w:hint="default" w:ascii="Times New Roman" w:eastAsia="Times New Roman"/>
          <w:color w:val="auto"/>
          <w:sz w:val="2"/>
        </w:rPr>
        <w:br w:type="page"/>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4"/>
        <w:gridCol w:w="2766"/>
        <w:gridCol w:w="995"/>
        <w:gridCol w:w="765"/>
        <w:gridCol w:w="780"/>
        <w:gridCol w:w="420"/>
        <w:gridCol w:w="840"/>
        <w:gridCol w:w="710"/>
        <w:gridCol w:w="480"/>
        <w:gridCol w:w="690"/>
        <w:gridCol w:w="979"/>
        <w:gridCol w:w="1696"/>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exact"/>
        </w:trPr>
        <w:tc>
          <w:tcPr>
            <w:tcW w:w="156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自评项目</w:t>
            </w:r>
          </w:p>
        </w:tc>
        <w:tc>
          <w:tcPr>
            <w:tcW w:w="27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自评内容</w:t>
            </w:r>
          </w:p>
        </w:tc>
        <w:tc>
          <w:tcPr>
            <w:tcW w:w="5680" w:type="dxa"/>
            <w:gridSpan w:val="8"/>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自评记录</w:t>
            </w:r>
          </w:p>
        </w:tc>
        <w:tc>
          <w:tcPr>
            <w:tcW w:w="9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自评得分</w:t>
            </w:r>
          </w:p>
        </w:tc>
        <w:tc>
          <w:tcPr>
            <w:tcW w:w="169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存在的主要问题</w:t>
            </w:r>
          </w:p>
        </w:tc>
        <w:tc>
          <w:tcPr>
            <w:tcW w:w="158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56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艺术活动</w:t>
            </w:r>
          </w:p>
          <w:p>
            <w:pPr>
              <w:spacing w:line="336" w:lineRule="exact"/>
              <w:ind w:left="20"/>
              <w:jc w:val="center"/>
              <w:rPr>
                <w:rFonts w:hint="eastAsia" w:ascii="Dialog" w:hAnsi="Times New Roman"/>
                <w:color w:val="auto"/>
                <w:sz w:val="28"/>
              </w:rPr>
            </w:pPr>
            <w:r>
              <w:rPr>
                <w:rFonts w:hint="eastAsia" w:ascii="Dialog" w:hAnsi="Times New Roman"/>
                <w:color w:val="auto"/>
                <w:sz w:val="28"/>
              </w:rPr>
              <w:t>(20分)</w:t>
            </w:r>
          </w:p>
        </w:tc>
        <w:tc>
          <w:tcPr>
            <w:tcW w:w="276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 xml:space="preserve">面向全体学生组织开展艺术活动，因地制宜建立学生艺术社团或兴趣小组，保证每周有固定的艺术活动时间，每年组织合唱节、美术展览和艺术节等活动。充分利用学校校歌、广播、电视、网络以及校园、教室、走廊、宣传栏、活动场所等，营造格调高雅、富有美感、充满朝气的校园文化艺术环境。 </w:t>
            </w:r>
          </w:p>
        </w:tc>
        <w:tc>
          <w:tcPr>
            <w:tcW w:w="3800" w:type="dxa"/>
            <w:gridSpan w:val="5"/>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学校开展艺术节等活动场次(场/年)</w:t>
            </w:r>
          </w:p>
        </w:tc>
        <w:tc>
          <w:tcPr>
            <w:tcW w:w="188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w:t>
            </w:r>
          </w:p>
        </w:tc>
        <w:tc>
          <w:tcPr>
            <w:tcW w:w="97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color w:val="auto"/>
                <w:sz w:val="24"/>
              </w:rPr>
            </w:pPr>
            <w:r>
              <w:rPr>
                <w:rFonts w:hint="eastAsia" w:ascii="Times New Roman"/>
                <w:color w:val="auto"/>
                <w:sz w:val="24"/>
              </w:rPr>
              <w:t>19</w:t>
            </w:r>
          </w:p>
        </w:tc>
        <w:tc>
          <w:tcPr>
            <w:tcW w:w="169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学校组织艺术活动的次数相对偏少</w:t>
            </w:r>
          </w:p>
        </w:tc>
        <w:tc>
          <w:tcPr>
            <w:tcW w:w="158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充分利用学校的设施，多组织艺术活动，让艺术氛围充满整个校园。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800" w:type="dxa"/>
            <w:gridSpan w:val="5"/>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800" w:type="dxa"/>
            <w:gridSpan w:val="5"/>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每周开展艺术活动频次(次/周)</w:t>
            </w:r>
          </w:p>
        </w:tc>
        <w:tc>
          <w:tcPr>
            <w:tcW w:w="188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4</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800" w:type="dxa"/>
            <w:gridSpan w:val="5"/>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800" w:type="dxa"/>
            <w:gridSpan w:val="5"/>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校级学生艺术社团/兴趣小组数量(个)</w:t>
            </w:r>
          </w:p>
        </w:tc>
        <w:tc>
          <w:tcPr>
            <w:tcW w:w="188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宋体"/>
                <w:color w:val="auto"/>
                <w:sz w:val="24"/>
                <w:lang w:val="en-US" w:eastAsia="zh-CN"/>
              </w:rPr>
            </w:pPr>
            <w:r>
              <w:rPr>
                <w:rFonts w:hint="eastAsia" w:ascii="Times New Roman"/>
                <w:color w:val="auto"/>
                <w:sz w:val="24"/>
                <w:lang w:val="en-US" w:eastAsia="zh-CN"/>
              </w:rPr>
              <w:t>7</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800" w:type="dxa"/>
            <w:gridSpan w:val="5"/>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54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列出项目（如合唱、民乐、管乐、交响乐、舞蹈、戏剧、戏曲、美术、书法等)</w:t>
            </w:r>
          </w:p>
        </w:tc>
        <w:tc>
          <w:tcPr>
            <w:tcW w:w="3140" w:type="dxa"/>
            <w:gridSpan w:val="5"/>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Times New Roman" w:eastAsia="仿宋_GB2312"/>
                <w:color w:val="auto"/>
                <w:sz w:val="24"/>
                <w:lang w:eastAsia="zh-CN"/>
              </w:rPr>
            </w:pPr>
            <w:r>
              <w:rPr>
                <w:rFonts w:hint="eastAsia" w:ascii="仿宋_GB2312" w:hAnsi="宋体" w:eastAsia="仿宋_GB2312"/>
                <w:color w:val="auto"/>
                <w:sz w:val="28"/>
              </w:rPr>
              <w:t>合唱，刺绣，</w:t>
            </w:r>
            <w:r>
              <w:rPr>
                <w:rFonts w:hint="eastAsia" w:ascii="仿宋_GB2312" w:hAnsi="宋体" w:eastAsia="仿宋_GB2312"/>
                <w:color w:val="auto"/>
                <w:sz w:val="28"/>
                <w:lang w:eastAsia="zh-CN"/>
              </w:rPr>
              <w:t>朗诵</w:t>
            </w:r>
            <w:r>
              <w:rPr>
                <w:rFonts w:hint="eastAsia" w:ascii="仿宋_GB2312" w:hAnsi="宋体" w:eastAsia="仿宋_GB2312"/>
                <w:color w:val="auto"/>
                <w:sz w:val="28"/>
              </w:rPr>
              <w:t>，绘画 ,课本剧</w:t>
            </w:r>
            <w:r>
              <w:rPr>
                <w:rFonts w:hint="eastAsia" w:ascii="仿宋_GB2312" w:hAnsi="宋体" w:eastAsia="仿宋_GB2312"/>
                <w:color w:val="auto"/>
                <w:sz w:val="28"/>
                <w:lang w:eastAsia="zh-CN"/>
              </w:rPr>
              <w:t>、书法、舞蹈</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54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140" w:type="dxa"/>
            <w:gridSpan w:val="5"/>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54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140" w:type="dxa"/>
            <w:gridSpan w:val="5"/>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510"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艺术活动学生参与面（占学校学生总数比例）(%)</w:t>
            </w:r>
          </w:p>
        </w:tc>
        <w:tc>
          <w:tcPr>
            <w:tcW w:w="117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100%</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校园文化艺术环境基本情况</w:t>
            </w:r>
          </w:p>
        </w:tc>
        <w:tc>
          <w:tcPr>
            <w:tcW w:w="4685" w:type="dxa"/>
            <w:gridSpan w:val="7"/>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snapToGrid w:val="0"/>
                <w:color w:val="auto"/>
                <w:sz w:val="28"/>
                <w:u w:val="single"/>
              </w:rPr>
              <w:t>良好，学校 通过组织丰富多彩的社团活动以及宣传栏的展示有效提升了学生的艺术学习兴趣。</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7"/>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艺术教师</w:t>
            </w:r>
          </w:p>
          <w:p>
            <w:pPr>
              <w:spacing w:line="336" w:lineRule="exact"/>
              <w:ind w:left="20"/>
              <w:jc w:val="center"/>
              <w:rPr>
                <w:rFonts w:hint="eastAsia" w:ascii="Dialog" w:hAnsi="Times New Roman"/>
                <w:color w:val="auto"/>
                <w:sz w:val="28"/>
              </w:rPr>
            </w:pPr>
            <w:r>
              <w:rPr>
                <w:rFonts w:hint="eastAsia" w:ascii="Dialog" w:hAnsi="Times New Roman"/>
                <w:color w:val="auto"/>
                <w:sz w:val="28"/>
              </w:rPr>
              <w:t>(20分)</w:t>
            </w:r>
          </w:p>
        </w:tc>
        <w:tc>
          <w:tcPr>
            <w:tcW w:w="276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 xml:space="preserve">在学校核定的编制总额内，按照国家课程方案规定的课时数和学校班级数配备艺术教师，满足艺术教育基本需求，加强教师培训，提高队伍素质。 </w:t>
            </w:r>
          </w:p>
        </w:tc>
        <w:tc>
          <w:tcPr>
            <w:tcW w:w="99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艺术老师总数</w:t>
            </w:r>
          </w:p>
        </w:tc>
        <w:tc>
          <w:tcPr>
            <w:tcW w:w="76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4</w:t>
            </w:r>
          </w:p>
        </w:tc>
        <w:tc>
          <w:tcPr>
            <w:tcW w:w="120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专任</w:t>
            </w:r>
          </w:p>
        </w:tc>
        <w:tc>
          <w:tcPr>
            <w:tcW w:w="84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4</w:t>
            </w:r>
          </w:p>
        </w:tc>
        <w:tc>
          <w:tcPr>
            <w:tcW w:w="119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音乐</w:t>
            </w:r>
          </w:p>
        </w:tc>
        <w:tc>
          <w:tcPr>
            <w:tcW w:w="69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w:t>
            </w:r>
          </w:p>
        </w:tc>
        <w:tc>
          <w:tcPr>
            <w:tcW w:w="97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Times New Roman"/>
                <w:color w:val="auto"/>
                <w:sz w:val="24"/>
              </w:rPr>
            </w:pPr>
            <w:r>
              <w:rPr>
                <w:rFonts w:hint="default" w:ascii="Times New Roman" w:hAnsi="Times New Roman"/>
                <w:color w:val="auto"/>
                <w:sz w:val="24"/>
              </w:rPr>
              <w:t>1</w:t>
            </w:r>
            <w:r>
              <w:rPr>
                <w:rFonts w:hint="eastAsia" w:ascii="Times New Roman" w:hAnsi="Times New Roman"/>
                <w:color w:val="auto"/>
                <w:sz w:val="24"/>
              </w:rPr>
              <w:t>8</w:t>
            </w:r>
          </w:p>
        </w:tc>
        <w:tc>
          <w:tcPr>
            <w:tcW w:w="169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艺术教师按照要求配备，但教师多以年轻教师为主，教学业务能力还需要再提升。</w:t>
            </w:r>
          </w:p>
        </w:tc>
        <w:tc>
          <w:tcPr>
            <w:tcW w:w="158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通过参观学习、培训等方式不断加强艺术教师教学能力，提升校园艺术氛围。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20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19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20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19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美术</w:t>
            </w:r>
          </w:p>
        </w:tc>
        <w:tc>
          <w:tcPr>
            <w:tcW w:w="69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20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兼职</w:t>
            </w:r>
          </w:p>
        </w:tc>
        <w:tc>
          <w:tcPr>
            <w:tcW w:w="84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eastAsia="Times New Roman"/>
                <w:color w:val="auto"/>
                <w:sz w:val="24"/>
              </w:rPr>
              <w:t>0</w:t>
            </w:r>
          </w:p>
        </w:tc>
        <w:tc>
          <w:tcPr>
            <w:tcW w:w="119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20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19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其它</w:t>
            </w:r>
          </w:p>
        </w:tc>
        <w:tc>
          <w:tcPr>
            <w:tcW w:w="69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Times New Roman" w:eastAsia="宋体"/>
                <w:color w:val="auto"/>
                <w:sz w:val="24"/>
                <w:lang w:val="en-US" w:eastAsia="zh-CN"/>
              </w:rPr>
            </w:pPr>
            <w:r>
              <w:rPr>
                <w:rFonts w:hint="eastAsia" w:ascii="Times New Roman"/>
                <w:color w:val="auto"/>
                <w:sz w:val="24"/>
                <w:lang w:val="en-US" w:eastAsia="zh-CN"/>
              </w:rPr>
              <w:t>0</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20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19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3800"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艺术教师生师比</w:t>
            </w:r>
          </w:p>
        </w:tc>
        <w:tc>
          <w:tcPr>
            <w:tcW w:w="119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宋体"/>
                <w:color w:val="auto"/>
                <w:sz w:val="24"/>
                <w:lang w:val="en-US" w:eastAsia="zh-CN"/>
              </w:rPr>
            </w:pPr>
            <w:r>
              <w:rPr>
                <w:rFonts w:hint="eastAsia" w:ascii="Times New Roman"/>
                <w:color w:val="auto"/>
                <w:sz w:val="24"/>
                <w:lang w:val="en-US" w:eastAsia="zh-CN"/>
              </w:rPr>
              <w:t>68</w:t>
            </w:r>
          </w:p>
        </w:tc>
        <w:tc>
          <w:tcPr>
            <w:tcW w:w="69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:1</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254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教学班数与艺术教师配备比例</w:t>
            </w:r>
          </w:p>
        </w:tc>
        <w:tc>
          <w:tcPr>
            <w:tcW w:w="12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音乐学科</w:t>
            </w:r>
          </w:p>
        </w:tc>
        <w:tc>
          <w:tcPr>
            <w:tcW w:w="119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Times New Roman"/>
                <w:color w:val="auto"/>
                <w:sz w:val="24"/>
              </w:rPr>
            </w:pPr>
            <w:r>
              <w:rPr>
                <w:rFonts w:hint="eastAsia" w:ascii="Times New Roman"/>
                <w:color w:val="auto"/>
                <w:sz w:val="24"/>
              </w:rPr>
              <w:t>7</w:t>
            </w:r>
          </w:p>
        </w:tc>
        <w:tc>
          <w:tcPr>
            <w:tcW w:w="69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:1</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254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126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美术学科</w:t>
            </w:r>
          </w:p>
        </w:tc>
        <w:tc>
          <w:tcPr>
            <w:tcW w:w="119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Times New Roman" w:eastAsia="宋体"/>
                <w:color w:val="auto"/>
                <w:sz w:val="24"/>
                <w:lang w:val="en-US" w:eastAsia="zh-CN"/>
              </w:rPr>
            </w:pPr>
            <w:r>
              <w:rPr>
                <w:rFonts w:hint="eastAsia" w:ascii="Times New Roman"/>
                <w:color w:val="auto"/>
                <w:sz w:val="24"/>
                <w:lang w:val="en-US" w:eastAsia="zh-CN"/>
              </w:rPr>
              <w:t>7</w:t>
            </w:r>
          </w:p>
        </w:tc>
        <w:tc>
          <w:tcPr>
            <w:tcW w:w="690"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:1</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 w:hAnsi="Times New Roman"/>
                <w:color w:val="auto"/>
                <w:sz w:val="28"/>
              </w:rPr>
            </w:pPr>
          </w:p>
        </w:tc>
        <w:tc>
          <w:tcPr>
            <w:tcW w:w="4510"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艺术教师平均周课时(课时/周)</w:t>
            </w:r>
          </w:p>
        </w:tc>
        <w:tc>
          <w:tcPr>
            <w:tcW w:w="117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Times New Roman" w:eastAsia="宋体"/>
                <w:color w:val="auto"/>
                <w:sz w:val="24"/>
                <w:lang w:val="en-US" w:eastAsia="zh-CN"/>
              </w:rPr>
            </w:pPr>
            <w:r>
              <w:rPr>
                <w:rFonts w:hint="default" w:ascii="Times New Roman" w:hAnsi="Times New Roman"/>
                <w:color w:val="auto"/>
                <w:sz w:val="24"/>
              </w:rPr>
              <w:t>1</w:t>
            </w:r>
            <w:r>
              <w:rPr>
                <w:rFonts w:hint="eastAsia" w:ascii="Times New Roman" w:hAnsi="Times New Roman"/>
                <w:color w:val="auto"/>
                <w:sz w:val="24"/>
                <w:lang w:val="en-US" w:eastAsia="zh-CN"/>
              </w:rPr>
              <w:t>5</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510"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艺术教师缺额数(人)</w:t>
            </w:r>
          </w:p>
        </w:tc>
        <w:tc>
          <w:tcPr>
            <w:tcW w:w="117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eastAsia="Times New Roman"/>
                <w:color w:val="auto"/>
                <w:sz w:val="24"/>
              </w:rPr>
              <w:t>0</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510" w:type="dxa"/>
            <w:gridSpan w:val="6"/>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本学年艺术教师参加县级以上培训人数(人)</w:t>
            </w:r>
          </w:p>
        </w:tc>
        <w:tc>
          <w:tcPr>
            <w:tcW w:w="117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4</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bl>
    <w:p>
      <w:pPr>
        <w:rPr>
          <w:rFonts w:hint="default" w:ascii="Times New Roman" w:eastAsia="Times New Roman"/>
          <w:color w:val="auto"/>
          <w:sz w:val="2"/>
        </w:rPr>
      </w:pPr>
      <w:r>
        <w:rPr>
          <w:rFonts w:hint="default" w:ascii="Times New Roman" w:eastAsia="Times New Roman"/>
          <w:color w:val="auto"/>
          <w:sz w:val="2"/>
        </w:rPr>
        <w:br w:type="page"/>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64"/>
        <w:gridCol w:w="2766"/>
        <w:gridCol w:w="995"/>
        <w:gridCol w:w="765"/>
        <w:gridCol w:w="2040"/>
        <w:gridCol w:w="710"/>
        <w:gridCol w:w="1170"/>
        <w:gridCol w:w="979"/>
        <w:gridCol w:w="1696"/>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exact"/>
        </w:trPr>
        <w:tc>
          <w:tcPr>
            <w:tcW w:w="1564"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自评项目</w:t>
            </w:r>
          </w:p>
        </w:tc>
        <w:tc>
          <w:tcPr>
            <w:tcW w:w="276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自评内容</w:t>
            </w:r>
          </w:p>
        </w:tc>
        <w:tc>
          <w:tcPr>
            <w:tcW w:w="5680"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自评记录</w:t>
            </w:r>
          </w:p>
        </w:tc>
        <w:tc>
          <w:tcPr>
            <w:tcW w:w="97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自评得分</w:t>
            </w:r>
          </w:p>
        </w:tc>
        <w:tc>
          <w:tcPr>
            <w:tcW w:w="1696"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存在的主要问题</w:t>
            </w:r>
          </w:p>
        </w:tc>
        <w:tc>
          <w:tcPr>
            <w:tcW w:w="158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exact"/>
        </w:trPr>
        <w:tc>
          <w:tcPr>
            <w:tcW w:w="156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条件保障</w:t>
            </w:r>
          </w:p>
          <w:p>
            <w:pPr>
              <w:spacing w:line="336" w:lineRule="exact"/>
              <w:ind w:left="20"/>
              <w:jc w:val="center"/>
              <w:rPr>
                <w:rFonts w:hint="eastAsia" w:ascii="Dialog" w:hAnsi="Times New Roman"/>
                <w:color w:val="auto"/>
                <w:sz w:val="28"/>
              </w:rPr>
            </w:pPr>
            <w:r>
              <w:rPr>
                <w:rFonts w:hint="eastAsia" w:ascii="Dialog" w:hAnsi="Times New Roman"/>
                <w:color w:val="auto"/>
                <w:sz w:val="28"/>
              </w:rPr>
              <w:t>(20分)</w:t>
            </w:r>
          </w:p>
        </w:tc>
        <w:tc>
          <w:tcPr>
            <w:tcW w:w="276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 xml:space="preserve">设置艺术专用教室和艺术活动室，并按照国家标准配备艺术课程教学和艺术活动器材。 </w:t>
            </w:r>
          </w:p>
        </w:tc>
        <w:tc>
          <w:tcPr>
            <w:tcW w:w="99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艺术专用教室/活动室(个)</w:t>
            </w:r>
          </w:p>
        </w:tc>
        <w:tc>
          <w:tcPr>
            <w:tcW w:w="76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5</w:t>
            </w:r>
          </w:p>
        </w:tc>
        <w:tc>
          <w:tcPr>
            <w:tcW w:w="204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音乐(个)</w:t>
            </w:r>
          </w:p>
        </w:tc>
        <w:tc>
          <w:tcPr>
            <w:tcW w:w="188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Times New Roman"/>
                <w:color w:val="auto"/>
                <w:sz w:val="24"/>
              </w:rPr>
            </w:pPr>
            <w:r>
              <w:rPr>
                <w:rFonts w:hint="eastAsia" w:ascii="Times New Roman"/>
                <w:color w:val="auto"/>
                <w:sz w:val="24"/>
              </w:rPr>
              <w:t>2</w:t>
            </w:r>
          </w:p>
        </w:tc>
        <w:tc>
          <w:tcPr>
            <w:tcW w:w="97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19</w:t>
            </w:r>
          </w:p>
        </w:tc>
        <w:tc>
          <w:tcPr>
            <w:tcW w:w="169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缺少专门的艺术场馆。</w:t>
            </w:r>
          </w:p>
        </w:tc>
        <w:tc>
          <w:tcPr>
            <w:tcW w:w="158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合理利用学校资源，提升艺术教学的发展。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美术(个)</w:t>
            </w:r>
          </w:p>
        </w:tc>
        <w:tc>
          <w:tcPr>
            <w:tcW w:w="188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1</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其它(个)</w:t>
            </w:r>
          </w:p>
        </w:tc>
        <w:tc>
          <w:tcPr>
            <w:tcW w:w="188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Times New Roman" w:eastAsia="宋体"/>
                <w:color w:val="auto"/>
                <w:sz w:val="24"/>
                <w:lang w:val="en-US" w:eastAsia="zh-CN"/>
              </w:rPr>
            </w:pPr>
            <w:r>
              <w:rPr>
                <w:rFonts w:hint="eastAsia" w:ascii="Times New Roman"/>
                <w:color w:val="auto"/>
                <w:sz w:val="24"/>
                <w:lang w:val="en-US" w:eastAsia="zh-CN"/>
              </w:rPr>
              <w:t>2</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列出名称</w:t>
            </w:r>
          </w:p>
        </w:tc>
        <w:tc>
          <w:tcPr>
            <w:tcW w:w="468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音乐室，美术室  陶艺室、刺绣室 ，舞蹈室</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艺术场馆(个)</w:t>
            </w:r>
          </w:p>
        </w:tc>
        <w:tc>
          <w:tcPr>
            <w:tcW w:w="76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eastAsia" w:ascii="Times New Roman" w:hAnsi="Times New Roman"/>
                <w:color w:val="auto"/>
                <w:sz w:val="24"/>
              </w:rPr>
              <w:t>无</w:t>
            </w:r>
          </w:p>
        </w:tc>
        <w:tc>
          <w:tcPr>
            <w:tcW w:w="204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面积(㎡)</w:t>
            </w:r>
          </w:p>
        </w:tc>
        <w:tc>
          <w:tcPr>
            <w:tcW w:w="188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eastAsia="Times New Roman"/>
                <w:color w:val="auto"/>
                <w:sz w:val="24"/>
              </w:rPr>
              <w:t>0</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列出名称</w:t>
            </w:r>
          </w:p>
        </w:tc>
        <w:tc>
          <w:tcPr>
            <w:tcW w:w="468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510" w:type="dxa"/>
            <w:gridSpan w:val="4"/>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是否按照国家标准配备艺术课程教学和艺术活动器材</w:t>
            </w:r>
          </w:p>
        </w:tc>
        <w:tc>
          <w:tcPr>
            <w:tcW w:w="1170"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eastAsia" w:ascii="Times New Roman" w:hAnsi="Times New Roman"/>
                <w:color w:val="auto"/>
                <w:sz w:val="24"/>
              </w:rPr>
              <w:t>是</w:t>
            </w: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510"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170"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特色发展</w:t>
            </w:r>
          </w:p>
          <w:p>
            <w:pPr>
              <w:spacing w:line="336" w:lineRule="exact"/>
              <w:ind w:left="20"/>
              <w:jc w:val="center"/>
              <w:rPr>
                <w:rFonts w:hint="eastAsia" w:ascii="Dialog" w:hAnsi="Times New Roman"/>
                <w:color w:val="auto"/>
                <w:sz w:val="28"/>
              </w:rPr>
            </w:pPr>
            <w:r>
              <w:rPr>
                <w:rFonts w:hint="eastAsia" w:ascii="Dialog" w:hAnsi="Times New Roman"/>
                <w:color w:val="auto"/>
                <w:sz w:val="28"/>
              </w:rPr>
              <w:t>(10分)</w:t>
            </w:r>
          </w:p>
        </w:tc>
        <w:tc>
          <w:tcPr>
            <w:tcW w:w="276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 xml:space="preserve">发挥本校艺术教育资源优势、依托本地民族民间优秀传统文化艺术资源，形成学校艺术教育发展特色。充分利用社会艺术教育资源，利用当地文化艺术场地资源开展艺术教学、实践活动和校园文化建设，学校与社会艺术团体及社区建立合作关系。 </w:t>
            </w:r>
          </w:p>
        </w:tc>
        <w:tc>
          <w:tcPr>
            <w:tcW w:w="995"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列举学校艺术教育特色发展成果</w:t>
            </w:r>
          </w:p>
        </w:tc>
        <w:tc>
          <w:tcPr>
            <w:tcW w:w="4685" w:type="dxa"/>
            <w:gridSpan w:val="4"/>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60" w:lineRule="exact"/>
              <w:rPr>
                <w:rFonts w:hint="eastAsia" w:ascii="仿宋_GB2312" w:hAnsi="宋体" w:eastAsia="仿宋_GB2312"/>
                <w:color w:val="auto"/>
                <w:sz w:val="28"/>
              </w:rPr>
            </w:pPr>
            <w:r>
              <w:rPr>
                <w:rFonts w:hint="eastAsia" w:ascii="仿宋_GB2312" w:hAnsi="宋体" w:eastAsia="仿宋_GB2312"/>
                <w:color w:val="auto"/>
                <w:sz w:val="28"/>
              </w:rPr>
              <w:t>1学校利用广播、网络、宣传栏创建校园艺术文化，并形成了良好的艺术氛围。</w:t>
            </w:r>
          </w:p>
          <w:p>
            <w:pPr>
              <w:spacing w:line="360" w:lineRule="exact"/>
              <w:rPr>
                <w:rFonts w:hint="eastAsia" w:ascii="仿宋_GB2312" w:hAnsi="宋体" w:eastAsia="仿宋_GB2312"/>
                <w:color w:val="auto"/>
                <w:sz w:val="28"/>
              </w:rPr>
            </w:pPr>
            <w:r>
              <w:rPr>
                <w:rFonts w:hint="eastAsia" w:ascii="仿宋_GB2312" w:hAnsi="宋体" w:eastAsia="仿宋_GB2312"/>
                <w:color w:val="auto"/>
                <w:sz w:val="28"/>
              </w:rPr>
              <w:t>2学校定期开展艺术节及艺术比赛增加学生学习艺术的兴趣。</w:t>
            </w:r>
          </w:p>
          <w:p>
            <w:pPr>
              <w:spacing w:line="360" w:lineRule="exact"/>
              <w:rPr>
                <w:rFonts w:hint="eastAsia" w:ascii="仿宋_GB2312" w:hAnsi="宋体" w:eastAsia="仿宋_GB2312"/>
                <w:color w:val="auto"/>
                <w:sz w:val="28"/>
              </w:rPr>
            </w:pPr>
            <w:r>
              <w:rPr>
                <w:rFonts w:hint="eastAsia" w:ascii="仿宋_GB2312" w:hAnsi="宋体" w:eastAsia="仿宋_GB2312"/>
                <w:color w:val="auto"/>
                <w:sz w:val="28"/>
              </w:rPr>
              <w:t>3学校开设刺绣校本课程，让每个学生都能学到刺绣这么中国传动艺术，并在学校形成了人人会刺绣，人人都有代表作的氛围。</w:t>
            </w:r>
          </w:p>
          <w:p>
            <w:pPr>
              <w:rPr>
                <w:rFonts w:hint="default" w:ascii="Times New Roman" w:eastAsia="Times New Roman"/>
                <w:color w:val="auto"/>
                <w:sz w:val="24"/>
              </w:rPr>
            </w:pPr>
          </w:p>
        </w:tc>
        <w:tc>
          <w:tcPr>
            <w:tcW w:w="97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8</w:t>
            </w:r>
          </w:p>
        </w:tc>
        <w:tc>
          <w:tcPr>
            <w:tcW w:w="1696"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应适当增加艺术活动的多样性。</w:t>
            </w:r>
          </w:p>
        </w:tc>
        <w:tc>
          <w:tcPr>
            <w:tcW w:w="158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学校开展的艺术活动应增加学生参与的覆盖面，增加多样化的艺术活动。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80" w:hRule="exact"/>
        </w:trPr>
        <w:tc>
          <w:tcPr>
            <w:tcW w:w="1564"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95"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685"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6"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bl>
    <w:p>
      <w:pPr>
        <w:rPr>
          <w:rFonts w:hint="default" w:ascii="Times New Roman" w:eastAsia="Times New Roman"/>
          <w:color w:val="auto"/>
          <w:sz w:val="2"/>
        </w:rPr>
      </w:pPr>
      <w:r>
        <w:rPr>
          <w:rFonts w:hint="default" w:ascii="Times New Roman" w:eastAsia="Times New Roman"/>
          <w:color w:val="auto"/>
          <w:sz w:val="2"/>
        </w:rPr>
        <w:br w:type="page"/>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5"/>
        <w:gridCol w:w="1172"/>
        <w:gridCol w:w="200"/>
        <w:gridCol w:w="1171"/>
        <w:gridCol w:w="710"/>
        <w:gridCol w:w="885"/>
        <w:gridCol w:w="855"/>
        <w:gridCol w:w="139"/>
        <w:gridCol w:w="765"/>
        <w:gridCol w:w="780"/>
        <w:gridCol w:w="420"/>
        <w:gridCol w:w="840"/>
        <w:gridCol w:w="710"/>
        <w:gridCol w:w="480"/>
        <w:gridCol w:w="690"/>
        <w:gridCol w:w="515"/>
        <w:gridCol w:w="209"/>
        <w:gridCol w:w="254"/>
        <w:gridCol w:w="960"/>
        <w:gridCol w:w="735"/>
        <w:gridCol w:w="900"/>
        <w:gridCol w:w="209"/>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exact"/>
        </w:trPr>
        <w:tc>
          <w:tcPr>
            <w:tcW w:w="1567"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自评项目</w:t>
            </w:r>
          </w:p>
        </w:tc>
        <w:tc>
          <w:tcPr>
            <w:tcW w:w="2766"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自评内容</w:t>
            </w:r>
          </w:p>
        </w:tc>
        <w:tc>
          <w:tcPr>
            <w:tcW w:w="5679" w:type="dxa"/>
            <w:gridSpan w:val="9"/>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自评记录</w:t>
            </w:r>
          </w:p>
        </w:tc>
        <w:tc>
          <w:tcPr>
            <w:tcW w:w="978"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自评得分</w:t>
            </w:r>
          </w:p>
        </w:tc>
        <w:tc>
          <w:tcPr>
            <w:tcW w:w="169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存在的主要问题</w:t>
            </w:r>
          </w:p>
        </w:tc>
        <w:tc>
          <w:tcPr>
            <w:tcW w:w="1589" w:type="dxa"/>
            <w:gridSpan w:val="3"/>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exact"/>
        </w:trPr>
        <w:tc>
          <w:tcPr>
            <w:tcW w:w="1567"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学生艺术素质测评</w:t>
            </w:r>
          </w:p>
          <w:p>
            <w:pPr>
              <w:spacing w:line="336" w:lineRule="exact"/>
              <w:ind w:left="20"/>
              <w:jc w:val="center"/>
              <w:rPr>
                <w:rFonts w:hint="eastAsia" w:ascii="Dialog" w:hAnsi="Times New Roman"/>
                <w:color w:val="auto"/>
                <w:sz w:val="28"/>
              </w:rPr>
            </w:pPr>
            <w:r>
              <w:rPr>
                <w:rFonts w:hint="eastAsia" w:ascii="Dialog" w:hAnsi="Times New Roman"/>
                <w:color w:val="auto"/>
                <w:sz w:val="28"/>
              </w:rPr>
              <w:t>(加分10分)</w:t>
            </w:r>
          </w:p>
        </w:tc>
        <w:tc>
          <w:tcPr>
            <w:tcW w:w="2766"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 xml:space="preserve">认真组织实施学生艺术素质测评 </w:t>
            </w:r>
          </w:p>
        </w:tc>
        <w:tc>
          <w:tcPr>
            <w:tcW w:w="4509" w:type="dxa"/>
            <w:gridSpan w:val="7"/>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实施学生艺术素质测评的起始学年</w:t>
            </w:r>
          </w:p>
        </w:tc>
        <w:tc>
          <w:tcPr>
            <w:tcW w:w="117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2008</w:t>
            </w:r>
            <w:r>
              <w:rPr>
                <w:rFonts w:hint="eastAsia" w:ascii="Times New Roman" w:hAnsi="Times New Roman"/>
                <w:color w:val="auto"/>
                <w:sz w:val="24"/>
              </w:rPr>
              <w:t>年</w:t>
            </w:r>
          </w:p>
        </w:tc>
        <w:tc>
          <w:tcPr>
            <w:tcW w:w="978"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8</w:t>
            </w:r>
          </w:p>
        </w:tc>
        <w:tc>
          <w:tcPr>
            <w:tcW w:w="1695"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我校学生还有很大的提升空间。</w:t>
            </w:r>
          </w:p>
        </w:tc>
        <w:tc>
          <w:tcPr>
            <w:tcW w:w="1589"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r>
              <w:rPr>
                <w:rFonts w:hint="eastAsia" w:ascii="仿宋_GB2312" w:hAnsi="宋体" w:eastAsia="仿宋_GB2312"/>
                <w:color w:val="auto"/>
                <w:sz w:val="28"/>
              </w:rPr>
              <w:t>提高学生学习艺术课的兴趣，给予信心，带动学习，争取取得更好的成绩。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509" w:type="dxa"/>
            <w:gridSpan w:val="7"/>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本学年学生艺术素质测评的覆盖面（占学校学生总数比例)(%)</w:t>
            </w:r>
          </w:p>
        </w:tc>
        <w:tc>
          <w:tcPr>
            <w:tcW w:w="1170" w:type="dxa"/>
            <w:gridSpan w:val="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100%</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4509" w:type="dxa"/>
            <w:gridSpan w:val="7"/>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170"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本学年学生艺术素质测评结果</w:t>
            </w:r>
          </w:p>
        </w:tc>
        <w:tc>
          <w:tcPr>
            <w:tcW w:w="204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优秀(%)</w:t>
            </w:r>
          </w:p>
        </w:tc>
        <w:tc>
          <w:tcPr>
            <w:tcW w:w="188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30%</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良好(%)</w:t>
            </w:r>
          </w:p>
        </w:tc>
        <w:tc>
          <w:tcPr>
            <w:tcW w:w="188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4</w:t>
            </w:r>
            <w:r>
              <w:rPr>
                <w:rFonts w:hint="eastAsia" w:ascii="Times New Roman" w:hAnsi="Times New Roman"/>
                <w:color w:val="auto"/>
                <w:sz w:val="24"/>
              </w:rPr>
              <w:t>5</w:t>
            </w:r>
            <w:r>
              <w:rPr>
                <w:rFonts w:hint="default" w:ascii="Times New Roman" w:hAnsi="Times New Roman"/>
                <w:color w:val="auto"/>
                <w:sz w:val="24"/>
              </w:rPr>
              <w:t>%</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合格(%)</w:t>
            </w:r>
          </w:p>
        </w:tc>
        <w:tc>
          <w:tcPr>
            <w:tcW w:w="188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default" w:ascii="Times New Roman" w:hAnsi="Times New Roman"/>
                <w:color w:val="auto"/>
                <w:sz w:val="24"/>
              </w:rPr>
              <w:t>2</w:t>
            </w:r>
            <w:r>
              <w:rPr>
                <w:rFonts w:hint="eastAsia" w:ascii="Times New Roman" w:hAnsi="Times New Roman"/>
                <w:color w:val="auto"/>
                <w:sz w:val="24"/>
              </w:rPr>
              <w:t>2</w:t>
            </w:r>
            <w:r>
              <w:rPr>
                <w:rFonts w:hint="default" w:ascii="Times New Roman" w:hAnsi="Times New Roman"/>
                <w:color w:val="auto"/>
                <w:sz w:val="24"/>
              </w:rPr>
              <w:t>%</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不合格(%)</w:t>
            </w:r>
          </w:p>
        </w:tc>
        <w:tc>
          <w:tcPr>
            <w:tcW w:w="1880"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default" w:ascii="Times New Roman" w:eastAsia="Times New Roman"/>
                <w:color w:val="auto"/>
                <w:sz w:val="24"/>
              </w:rPr>
            </w:pPr>
            <w:r>
              <w:rPr>
                <w:rFonts w:hint="eastAsia" w:ascii="Times New Roman" w:hAnsi="Times New Roman"/>
                <w:color w:val="auto"/>
                <w:sz w:val="24"/>
              </w:rPr>
              <w:t>2.8</w:t>
            </w:r>
            <w:r>
              <w:rPr>
                <w:rFonts w:hint="default" w:ascii="Times New Roman" w:hAnsi="Times New Roman"/>
                <w:color w:val="auto"/>
                <w:sz w:val="24"/>
              </w:rPr>
              <w:t>%</w:t>
            </w: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766"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75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204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880"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978"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695" w:type="dxa"/>
            <w:gridSpan w:val="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c>
          <w:tcPr>
            <w:tcW w:w="1589"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exact"/>
        </w:trPr>
        <w:tc>
          <w:tcPr>
            <w:tcW w:w="1567"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自评结果</w:t>
            </w:r>
          </w:p>
        </w:tc>
        <w:tc>
          <w:tcPr>
            <w:tcW w:w="1171"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总分</w:t>
            </w:r>
          </w:p>
        </w:tc>
        <w:tc>
          <w:tcPr>
            <w:tcW w:w="2589" w:type="dxa"/>
            <w:gridSpan w:val="4"/>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100</w:t>
            </w:r>
          </w:p>
        </w:tc>
        <w:tc>
          <w:tcPr>
            <w:tcW w:w="1965" w:type="dxa"/>
            <w:gridSpan w:val="3"/>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等级</w:t>
            </w:r>
          </w:p>
        </w:tc>
        <w:tc>
          <w:tcPr>
            <w:tcW w:w="6982" w:type="dxa"/>
            <w:gridSpan w:val="12"/>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jc w:val="center"/>
              <w:rPr>
                <w:rFonts w:hint="eastAsia" w:ascii="Dialog.plain" w:hAnsi="Times New Roman" w:eastAsia="Dialog.plain"/>
                <w:color w:val="auto"/>
                <w:sz w:val="28"/>
              </w:rPr>
            </w:pPr>
            <w:r>
              <w:rPr>
                <w:rFonts w:hint="eastAsia" w:ascii="Dialog.plain" w:hAnsi="Times New Roman" w:eastAsia="Dialog.plain"/>
                <w:color w:val="auto"/>
                <w:sz w:val="28"/>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 w:hRule="exact"/>
        </w:trPr>
        <w:tc>
          <w:tcPr>
            <w:tcW w:w="1567"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plain" w:hAnsi="Times New Roman" w:eastAsia="Dialog.plain"/>
                <w:color w:val="auto"/>
                <w:sz w:val="28"/>
              </w:rPr>
            </w:pPr>
          </w:p>
        </w:tc>
        <w:tc>
          <w:tcPr>
            <w:tcW w:w="1171"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plain" w:hAnsi="Times New Roman" w:eastAsia="Dialog.plain"/>
                <w:color w:val="auto"/>
                <w:sz w:val="28"/>
              </w:rPr>
            </w:pPr>
          </w:p>
        </w:tc>
        <w:tc>
          <w:tcPr>
            <w:tcW w:w="2589" w:type="dxa"/>
            <w:gridSpan w:val="4"/>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plain" w:hAnsi="Times New Roman" w:eastAsia="Dialog.plain"/>
                <w:color w:val="auto"/>
                <w:sz w:val="28"/>
              </w:rPr>
            </w:pPr>
          </w:p>
        </w:tc>
        <w:tc>
          <w:tcPr>
            <w:tcW w:w="1965" w:type="dxa"/>
            <w:gridSpan w:val="3"/>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plain" w:hAnsi="Times New Roman" w:eastAsia="Dialog.plain"/>
                <w:color w:val="auto"/>
                <w:sz w:val="28"/>
              </w:rPr>
            </w:pPr>
          </w:p>
        </w:tc>
        <w:tc>
          <w:tcPr>
            <w:tcW w:w="6982" w:type="dxa"/>
            <w:gridSpan w:val="12"/>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rPr>
                <w:rFonts w:hint="eastAsia" w:ascii="Dialog.plain" w:hAnsi="Times New Roman" w:eastAsia="Dialog.plain"/>
                <w:color w:val="auto"/>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jc w:val="center"/>
              <w:rPr>
                <w:rFonts w:hint="eastAsia" w:ascii="Dialog" w:hAnsi="Times New Roman"/>
                <w:color w:val="auto"/>
                <w:sz w:val="28"/>
              </w:rPr>
            </w:pPr>
            <w:r>
              <w:rPr>
                <w:rFonts w:hint="eastAsia" w:ascii="Dialog" w:hAnsi="Times New Roman"/>
                <w:color w:val="auto"/>
                <w:sz w:val="28"/>
              </w:rPr>
              <w:t>填报人:</w:t>
            </w:r>
          </w:p>
        </w:tc>
        <w:tc>
          <w:tcPr>
            <w:tcW w:w="3821" w:type="dxa"/>
            <w:gridSpan w:val="5"/>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eastAsia" w:ascii="Times New Roman"/>
                <w:color w:val="auto"/>
                <w:sz w:val="24"/>
              </w:rPr>
            </w:pPr>
            <w:r>
              <w:rPr>
                <w:rFonts w:hint="eastAsia" w:ascii="Times New Roman"/>
                <w:color w:val="auto"/>
                <w:sz w:val="24"/>
              </w:rPr>
              <w:t>翟家仪</w:t>
            </w: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545" w:type="dxa"/>
            <w:gridSpan w:val="2"/>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联系电话:</w:t>
            </w:r>
          </w:p>
        </w:tc>
        <w:tc>
          <w:tcPr>
            <w:tcW w:w="3140" w:type="dxa"/>
            <w:gridSpan w:val="5"/>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eastAsia" w:ascii="Times New Roman"/>
                <w:color w:val="auto"/>
                <w:sz w:val="24"/>
              </w:rPr>
            </w:pPr>
            <w:r>
              <w:rPr>
                <w:rFonts w:hint="default" w:ascii="Times New Roman" w:hAnsi="Times New Roman"/>
                <w:color w:val="auto"/>
                <w:sz w:val="24"/>
              </w:rPr>
              <w:t>15</w:t>
            </w:r>
            <w:r>
              <w:rPr>
                <w:rFonts w:hint="eastAsia" w:ascii="Times New Roman" w:hAnsi="Times New Roman"/>
                <w:color w:val="auto"/>
                <w:sz w:val="24"/>
              </w:rPr>
              <w:t>689061211</w:t>
            </w: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423" w:type="dxa"/>
            <w:gridSpan w:val="3"/>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line="336" w:lineRule="exact"/>
              <w:ind w:left="20"/>
              <w:rPr>
                <w:rFonts w:hint="eastAsia" w:ascii="Dialog" w:hAnsi="Times New Roman"/>
                <w:color w:val="auto"/>
                <w:sz w:val="28"/>
              </w:rPr>
            </w:pPr>
            <w:r>
              <w:rPr>
                <w:rFonts w:hint="eastAsia" w:ascii="Dialog" w:hAnsi="Times New Roman"/>
                <w:color w:val="auto"/>
                <w:sz w:val="28"/>
              </w:rPr>
              <w:t>填报日期:</w:t>
            </w:r>
          </w:p>
        </w:tc>
        <w:tc>
          <w:tcPr>
            <w:tcW w:w="1844" w:type="dxa"/>
            <w:gridSpan w:val="3"/>
            <w:vMerge w:val="restart"/>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lang w:val="en-US"/>
              </w:rPr>
            </w:pPr>
            <w:r>
              <w:rPr>
                <w:rFonts w:hint="default" w:ascii="Times New Roman" w:hAnsi="Times New Roman"/>
                <w:color w:val="auto"/>
                <w:sz w:val="24"/>
              </w:rPr>
              <w:t>20</w:t>
            </w:r>
            <w:r>
              <w:rPr>
                <w:rFonts w:hint="eastAsia" w:ascii="Times New Roman" w:hAnsi="Times New Roman"/>
                <w:color w:val="auto"/>
                <w:sz w:val="24"/>
                <w:lang w:val="en-US" w:eastAsia="zh-CN"/>
              </w:rPr>
              <w:t>22</w:t>
            </w:r>
            <w:r>
              <w:rPr>
                <w:rFonts w:hint="default" w:ascii="Times New Roman" w:hAnsi="Times New Roman"/>
                <w:color w:val="auto"/>
                <w:sz w:val="24"/>
              </w:rPr>
              <w:t>0</w:t>
            </w:r>
            <w:r>
              <w:rPr>
                <w:rFonts w:hint="eastAsia" w:ascii="Times New Roman" w:hAnsi="Times New Roman"/>
                <w:color w:val="auto"/>
                <w:sz w:val="24"/>
                <w:lang w:val="en-US" w:eastAsia="zh-CN"/>
              </w:rPr>
              <w:t>708</w:t>
            </w: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3821" w:type="dxa"/>
            <w:gridSpan w:val="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545" w:type="dxa"/>
            <w:gridSpan w:val="2"/>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3140" w:type="dxa"/>
            <w:gridSpan w:val="5"/>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423" w:type="dxa"/>
            <w:gridSpan w:val="3"/>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844" w:type="dxa"/>
            <w:gridSpan w:val="3"/>
            <w:vMerge w:val="continue"/>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17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171"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8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5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13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6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2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84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1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69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51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54"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6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735"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900"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2490" w:type="dxa"/>
            <w:gridSpan w:val="19"/>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widowControl/>
              <w:textAlignment w:val="center"/>
              <w:rPr>
                <w:rFonts w:hint="eastAsia" w:ascii="Dialog" w:hAnsi="Times New Roman"/>
                <w:color w:val="auto"/>
                <w:sz w:val="28"/>
              </w:rPr>
            </w:pPr>
            <w:r>
              <w:rPr>
                <w:rFonts w:hint="eastAsia" w:ascii="仿宋" w:hAnsi="仿宋" w:eastAsia="仿宋"/>
                <w:sz w:val="28"/>
              </w:rPr>
              <w:t xml:space="preserve">注：1.请对应自评项目和自评内容进行自评，并认真填写此表。   </w:t>
            </w:r>
          </w:p>
        </w:tc>
        <w:tc>
          <w:tcPr>
            <w:tcW w:w="90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bottom"/>
          </w:tcPr>
          <w:p>
            <w:pPr>
              <w:rPr>
                <w:rFonts w:hint="default" w:ascii="Times New Roman" w:eastAsia="Times New Roman"/>
                <w:color w:val="auto"/>
                <w:sz w:val="24"/>
              </w:rPr>
            </w:pPr>
          </w:p>
        </w:tc>
        <w:tc>
          <w:tcPr>
            <w:tcW w:w="20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rPr>
                <w:rFonts w:hint="default" w:ascii="Times New Roman" w:eastAsia="Times New Roman"/>
                <w:color w:val="auto"/>
                <w:sz w:val="24"/>
              </w:rPr>
            </w:pP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599" w:type="dxa"/>
            <w:gridSpan w:val="21"/>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widowControl/>
              <w:textAlignment w:val="center"/>
              <w:rPr>
                <w:rFonts w:hint="eastAsia" w:ascii="Dialog" w:hAnsi="Times New Roman"/>
                <w:color w:val="auto"/>
                <w:sz w:val="28"/>
              </w:rPr>
            </w:pPr>
            <w:r>
              <w:rPr>
                <w:rFonts w:hint="eastAsia" w:ascii="仿宋" w:hAnsi="仿宋" w:eastAsia="仿宋"/>
                <w:sz w:val="28"/>
              </w:rPr>
              <w:t xml:space="preserve">    2.艺术教师生师比、配备情况、缺额情况、培训情况均以艺术专任教师数量为基数填报。</w:t>
            </w: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599" w:type="dxa"/>
            <w:gridSpan w:val="21"/>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widowControl/>
              <w:textAlignment w:val="center"/>
              <w:rPr>
                <w:rFonts w:hint="eastAsia" w:ascii="Dialog" w:hAnsi="Times New Roman"/>
                <w:color w:val="auto"/>
                <w:sz w:val="28"/>
              </w:rPr>
            </w:pPr>
            <w:r>
              <w:rPr>
                <w:rFonts w:hint="eastAsia" w:ascii="仿宋" w:hAnsi="仿宋" w:eastAsia="仿宋"/>
                <w:sz w:val="28"/>
              </w:rPr>
              <w:t xml:space="preserve">    3.艺术教师配备标准：城镇小学教学班数与艺术教师配备的参考比例为音乐学科6:1，美术学科7:1；农村小学教学班数与艺术教师配备的参考比例为音乐学科7:1，美术学科8:1。初中教学班数与音乐、美术学科教师配备的参考比例均为10:1。普通高中、中等职业技术学校教师配备，参照初中配备。 </w:t>
            </w: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exact"/>
        </w:trPr>
        <w:tc>
          <w:tcPr>
            <w:tcW w:w="195"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c>
          <w:tcPr>
            <w:tcW w:w="13599" w:type="dxa"/>
            <w:gridSpan w:val="21"/>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widowControl/>
              <w:textAlignment w:val="center"/>
              <w:rPr>
                <w:rFonts w:hint="eastAsia" w:ascii="Dialog" w:hAnsi="Times New Roman"/>
                <w:color w:val="auto"/>
                <w:sz w:val="28"/>
              </w:rPr>
            </w:pPr>
            <w:r>
              <w:rPr>
                <w:rFonts w:hint="eastAsia" w:ascii="仿宋" w:hAnsi="仿宋" w:eastAsia="仿宋"/>
                <w:sz w:val="28"/>
              </w:rPr>
              <w:t xml:space="preserve">    4.90分以上为优秀，75—89分为良好，60—74分为合格，60分以下为不合格。</w:t>
            </w:r>
          </w:p>
        </w:tc>
        <w:tc>
          <w:tcPr>
            <w:tcW w:w="480" w:type="dxa"/>
            <w:tcBorders>
              <w:top w:val="single" w:color="FFFFFF" w:sz="8" w:space="0"/>
              <w:left w:val="single" w:color="FFFFFF" w:sz="8" w:space="0"/>
              <w:bottom w:val="single" w:color="FFFFFF" w:sz="8" w:space="0"/>
              <w:right w:val="single" w:color="FFFFFF" w:sz="8" w:space="0"/>
              <w:tl2br w:val="nil"/>
              <w:tr2bl w:val="nil"/>
            </w:tcBorders>
            <w:shd w:val="clear" w:color="auto" w:fill="FFFFFF"/>
            <w:noWrap w:val="0"/>
            <w:vAlign w:val="center"/>
          </w:tcPr>
          <w:p>
            <w:pPr>
              <w:rPr>
                <w:rFonts w:hint="default" w:ascii="Times New Roman" w:eastAsia="Times New Roman"/>
                <w:color w:val="auto"/>
                <w:sz w:val="24"/>
              </w:rPr>
            </w:pPr>
          </w:p>
        </w:tc>
      </w:tr>
    </w:tbl>
    <w:p>
      <w:pPr>
        <w:rPr>
          <w:rFonts w:hint="default"/>
          <w:color w:val="auto"/>
          <w:sz w:val="24"/>
        </w:rPr>
      </w:pPr>
    </w:p>
    <w:p/>
    <w:sectPr>
      <w:pgSz w:w="16837" w:h="11905" w:orient="landscape"/>
      <w:pgMar w:top="218" w:right="1080" w:bottom="218" w:left="10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ialog">
    <w:altName w:val="宋体"/>
    <w:panose1 w:val="00000000000000000000"/>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plain">
    <w:altName w:val="宋体"/>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NzA2OWQ0NmEyNzk4ZjJmMDIxNzIxNGY5NTM3MjAifQ=="/>
  </w:docVars>
  <w:rsids>
    <w:rsidRoot w:val="00000000"/>
    <w:rsid w:val="123D53CB"/>
    <w:rsid w:val="1AB50491"/>
    <w:rsid w:val="321A593A"/>
    <w:rsid w:val="5375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autoSpaceDE w:val="0"/>
      <w:autoSpaceDN w:val="0"/>
      <w:adjustRightInd w:val="0"/>
    </w:pPr>
    <w:rPr>
      <w:rFonts w:hint="eastAsia" w:ascii="Arial" w:hAnsi="Arial" w:eastAsia="宋体" w:cs="Times New Roman"/>
      <w:color w:val="000000"/>
      <w:sz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1866</Words>
  <Characters>1974</Characters>
  <Lines>0</Lines>
  <Paragraphs>0</Paragraphs>
  <TotalTime>109</TotalTime>
  <ScaleCrop>false</ScaleCrop>
  <LinksUpToDate>false</LinksUpToDate>
  <CharactersWithSpaces>2001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hjaa</dc:creator>
  <cp:lastModifiedBy>hjaa</cp:lastModifiedBy>
  <dcterms:modified xsi:type="dcterms:W3CDTF">2022-07-08T05:58:19Z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0BEAE5DB97314FADBFA6C5183506443F</vt:lpwstr>
  </property>
</Properties>
</file>