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8DE5A">
      <w:pPr>
        <w:spacing w:before="312" w:beforeLines="100" w:line="0" w:lineRule="atLeast"/>
        <w:jc w:val="center"/>
        <w:rPr>
          <w:rFonts w:hint="default" w:ascii="方正小标宋简体" w:hAnsi="Times New Roman" w:eastAsia="方正小标宋简体" w:cs="Times New Roman"/>
          <w:bCs/>
          <w:color w:val="FF0000"/>
          <w:sz w:val="72"/>
          <w:szCs w:val="72"/>
          <w:lang w:val="en-US"/>
        </w:rPr>
      </w:pPr>
      <w:r>
        <w:rPr>
          <w:rFonts w:hint="eastAsia" w:ascii="方正小标宋简体" w:hAnsi="Times New Roman" w:eastAsia="方正小标宋简体" w:cs="Times New Roman"/>
          <w:bCs/>
          <w:color w:val="FF0000"/>
          <w:sz w:val="72"/>
          <w:szCs w:val="72"/>
        </w:rPr>
        <w:t>淄博</w:t>
      </w:r>
      <w:r>
        <w:rPr>
          <w:rFonts w:hint="eastAsia" w:ascii="方正小标宋简体" w:hAnsi="Times New Roman" w:eastAsia="方正小标宋简体" w:cs="Times New Roman"/>
          <w:bCs/>
          <w:color w:val="FF0000"/>
          <w:sz w:val="72"/>
          <w:szCs w:val="72"/>
          <w:lang w:val="en-US" w:eastAsia="zh-CN"/>
        </w:rPr>
        <w:t>经济开发区考工路小学</w:t>
      </w:r>
    </w:p>
    <w:p w14:paraId="1D01062F">
      <w:r>
        <w:rPr>
          <w:sz w:val="52"/>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31750</wp:posOffset>
                </wp:positionV>
                <wp:extent cx="5658485" cy="43180"/>
                <wp:effectExtent l="0" t="7620" r="18415" b="25400"/>
                <wp:wrapNone/>
                <wp:docPr id="1" name="直接连接符 1"/>
                <wp:cNvGraphicFramePr/>
                <a:graphic xmlns:a="http://schemas.openxmlformats.org/drawingml/2006/main">
                  <a:graphicData uri="http://schemas.microsoft.com/office/word/2010/wordprocessingShape">
                    <wps:wsp>
                      <wps:cNvCnPr/>
                      <wps:spPr>
                        <a:xfrm flipV="1">
                          <a:off x="0" y="0"/>
                          <a:ext cx="5658485" cy="4318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85pt;margin-top:2.5pt;height:3.4pt;width:445.55pt;z-index:251659264;mso-width-relative:page;mso-height-relative:page;" filled="f" stroked="t" coordsize="21600,21600" o:gfxdata="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OcAQdQAAAAHAQAADwAAAAAAAAABACAAAAAiAAAAZHJz&#10;L2Rvd25yZXYueG1sUEsBAhQAFAAAAAgAh07iQI/MJfkIAgAAAQQAAA4AAAAAAAAAAQAgAAAAIwEA&#10;AGRycy9lMm9Eb2MueG1sUEsFBgAAAAAGAAYAWQEAAJ0FAAAAAA==&#10;">
                <v:fill on="f" focussize="0,0"/>
                <v:stroke weight="1.25pt" color="#FF0000" joinstyle="round"/>
                <v:imagedata o:title=""/>
                <o:lock v:ext="edit" aspectratio="f"/>
              </v:line>
            </w:pict>
          </mc:Fallback>
        </mc:AlternateContent>
      </w:r>
    </w:p>
    <w:p w14:paraId="05C8304C">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40" w:lineRule="auto"/>
        <w:jc w:val="center"/>
        <w:textAlignment w:val="auto"/>
        <w:rPr>
          <w:rFonts w:hint="eastAsia" w:ascii="方正小标宋简体" w:hAnsi="方正小标宋简体" w:eastAsia="方正小标宋简体" w:cs="方正小标宋简体"/>
          <w:b/>
          <w:bCs w:val="0"/>
          <w:kern w:val="0"/>
          <w:sz w:val="32"/>
          <w:szCs w:val="32"/>
        </w:rPr>
      </w:pPr>
      <w:r>
        <w:rPr>
          <w:rFonts w:hint="eastAsia" w:ascii="方正小标宋简体" w:hAnsi="方正小标宋简体" w:eastAsia="方正小标宋简体" w:cs="方正小标宋简体"/>
          <w:b/>
          <w:bCs w:val="0"/>
          <w:kern w:val="0"/>
          <w:sz w:val="32"/>
          <w:szCs w:val="32"/>
          <w:lang w:val="en-US" w:eastAsia="zh-CN"/>
        </w:rPr>
        <w:t>2025-2026学年第二学期</w:t>
      </w:r>
      <w:r>
        <w:rPr>
          <w:rFonts w:hint="eastAsia" w:ascii="方正小标宋简体" w:hAnsi="方正小标宋简体" w:eastAsia="方正小标宋简体" w:cs="方正小标宋简体"/>
          <w:b/>
          <w:bCs w:val="0"/>
          <w:kern w:val="0"/>
          <w:sz w:val="32"/>
          <w:szCs w:val="32"/>
        </w:rPr>
        <w:t>教学工作计划</w:t>
      </w:r>
    </w:p>
    <w:p w14:paraId="08505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一、指导思想</w:t>
      </w:r>
      <w:bookmarkStart w:id="1" w:name="_GoBack"/>
      <w:bookmarkEnd w:id="1"/>
    </w:p>
    <w:p w14:paraId="037F1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紧密围绕立德树人根本任务，把握教育发展新形势与新要求，牢牢把握“课堂提质、常规固本、素养培育、质量稳进”工作方向，坚持以提升课堂教学质量为中心，深耕课堂主阵地、创新教学模式，聚焦学生核心素养培育。以规范教学管理为保障，完善教学常规制度，细化各教学环节要求，强化过程监管，筑牢教学质量根基。以学生全面发展为目标，深度融合课程改革与课后服务提质，优化课程设置，推动教学工作由“抓落实”向“提品质”转变，凝心聚力打造良好教学局面，助力学生全面健康可持续发展。</w:t>
      </w:r>
    </w:p>
    <w:p w14:paraId="48FBAE12">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二、总目标：</w:t>
      </w:r>
    </w:p>
    <w:p w14:paraId="31A89B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学期教学工作以“本真好课”建设为主阵地，以课堂研究为驱动力，以质量为生命线，深化跨学段、跨学科教研改革，全面推行项目化学习和大单元学习，优化作业设计，实现减负增效。聚焦教学评一致性改革与命题研究，精准把握教学导向，强化科学教育、实验教学的开展力度，加强学生小课题指导，激发学生探究热情。以教科研为引擎，整合教研资源、创新教学方法，促进教师专业成长，规范教学过程管理，破解教学难点问题，全面提升课堂教学质量、教师教学能力与学生核心素养，实现育人实效的稳步提升。</w:t>
      </w:r>
    </w:p>
    <w:p w14:paraId="45C2C5D9">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三、具体措施：</w:t>
      </w:r>
    </w:p>
    <w:p w14:paraId="725DC54C">
      <w:pPr>
        <w:keepNext w:val="0"/>
        <w:keepLines w:val="0"/>
        <w:widowControl/>
        <w:suppressLineNumbers w:val="0"/>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（一）推进全流程管理，筑牢教学根基</w:t>
      </w:r>
    </w:p>
    <w:p w14:paraId="676AE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8"/>
          <w:szCs w:val="28"/>
          <w:lang w:val="en-US" w:eastAsia="zh-CN"/>
        </w:rPr>
      </w:pPr>
      <w:r>
        <w:rPr>
          <w:rFonts w:hint="eastAsia" w:ascii="宋体" w:hAnsi="宋体" w:eastAsia="宋体" w:cs="宋体"/>
          <w:kern w:val="0"/>
          <w:sz w:val="24"/>
          <w:szCs w:val="24"/>
          <w:lang w:val="en-US" w:eastAsia="zh-CN" w:bidi="ar"/>
        </w:rPr>
        <w:t xml:space="preserve">1. </w:t>
      </w:r>
      <w:r>
        <w:rPr>
          <w:rFonts w:hint="eastAsia" w:ascii="仿宋_GB2312" w:hAnsi="仿宋_GB2312" w:eastAsia="仿宋_GB2312" w:cs="仿宋_GB2312"/>
          <w:sz w:val="28"/>
          <w:szCs w:val="28"/>
          <w:lang w:val="en-US" w:eastAsia="zh-CN"/>
        </w:rPr>
        <w:t>进一步细化备课、上课、作业、辅导、检测、评价等环节要求，做到检查到位、反馈及时、整改见效，推动教学常规由 “合格” 向 “优质” 提升。</w:t>
      </w:r>
    </w:p>
    <w:p w14:paraId="029779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由课程部牵头、各年级组与学科组配合，建立常态化督查机制，通过推门听课、巡课、学生访谈、问卷调查等方式，全面掌握教师备课、候课、上课、作业批改、辅导等落实情况。对发现问题及时反馈、督促整改；对落实到位、表现优秀的教师予以表扬奖励，推广先进经验；对落实不到位的进行约谈指导、限期提升。严格课堂纪律，杜绝迟到、早退、旷课、上课接打手机等行为，严禁无教案上课、机械播放课件、脱离课堂等现象。</w:t>
      </w:r>
    </w:p>
    <w:p w14:paraId="6A95D3F1">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（二）深化</w:t>
      </w:r>
      <w:r>
        <w:rPr>
          <w:rFonts w:hint="default" w:ascii="仿宋_GB2312" w:hAnsi="仿宋_GB2312" w:eastAsia="仿宋_GB2312" w:cs="仿宋_GB2312"/>
          <w:b/>
          <w:sz w:val="28"/>
          <w:szCs w:val="28"/>
          <w:lang w:val="en-US" w:eastAsia="zh-CN"/>
        </w:rPr>
        <w:t>“</w:t>
      </w:r>
      <w:r>
        <w:rPr>
          <w:rFonts w:hint="eastAsia" w:ascii="仿宋_GB2312" w:hAnsi="仿宋_GB2312" w:eastAsia="仿宋_GB2312" w:cs="仿宋_GB2312"/>
          <w:b/>
          <w:sz w:val="28"/>
          <w:szCs w:val="28"/>
          <w:lang w:val="en-US" w:eastAsia="zh-CN"/>
        </w:rPr>
        <w:t>本真好课 ”，赋能提质增效</w:t>
      </w:r>
    </w:p>
    <w:p w14:paraId="0B03A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对照学校本学期 “本真好课” 建设任务清单，学校各部门认真解读、科学规划，加强部门协作与上下指导，强化过程落实与监督评价，凝聚工作合力。</w:t>
      </w:r>
    </w:p>
    <w:p w14:paraId="57657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围绕 “学为中心，素养导向” 教学理念、现代前沿学习理论、课程标准应用三个维度，制定教师培训计划，指导学科组、教研组开展常态化学习，纳入每周教研与日常学习，强化指导与监督，确保学习实效。</w:t>
      </w:r>
    </w:p>
    <w:p w14:paraId="7014D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坚持常态化推门听课，深入掌握课堂教学真实情况，倒逼备课、集体备课和教师学习提质增效，聚焦课堂落地不足问题，强化落实力度，及时整改提升。</w:t>
      </w:r>
    </w:p>
    <w:p w14:paraId="5F8D7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每周组织骨干教师、青年教师开展 “本真好课” 示范课、公开课、研讨课活动，课后开展评课议课，交流经验、研讨问题，促进教师互学共进。</w:t>
      </w:r>
    </w:p>
    <w:p w14:paraId="70E28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全体教师严格按照 “本真好课” 标准开展教学，突出学生主体，强化互动探究与合作展示，提升课堂实效；建立督查评价机制，由教务处、年级组定期督查，通过听课、评价、访谈等方式检查落实情况，及时反馈整改。</w:t>
      </w:r>
    </w:p>
    <w:p w14:paraId="31E65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 将 “本真好课” 实施情况纳入教师考核评优，表扬先进、督促后进；鼓励教师立足课堂问题开展课题研究，以科研促教学；定期总结交流，提炼推广典型经验与优秀做法，推动 “本真好课” 建设持续深化。</w:t>
      </w:r>
    </w:p>
    <w:p w14:paraId="52D87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 建立校本教学资源库，聚焦 “本真好课” 建设标准，分类整理优秀教案、课件、学案、课例视频、评价工具等教学资源，实现资源共建共享、迭代更新，为教师开好课、优备课提供支撑保障。</w:t>
      </w:r>
    </w:p>
    <w:p w14:paraId="0324DFDF">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sz w:val="28"/>
          <w:szCs w:val="28"/>
        </w:rPr>
      </w:pPr>
      <w:bookmarkStart w:id="0" w:name="heading_4"/>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）聚焦教研提质，以高效教研夯实教学基础</w:t>
      </w:r>
      <w:bookmarkEnd w:id="0"/>
    </w:p>
    <w:p w14:paraId="21FBA68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教研工作坚持问题导向、目标导向与结果导向，完善教研机制，强化校本教研，聚焦核心能力提升，推动“经开好课”建设标准化、模板化。</w:t>
      </w:r>
    </w:p>
    <w:p w14:paraId="7A470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持续推进命题研究与实践，以3-9年级文化课教师为核心，开展命题能力专项培训，组织优秀命题人评选活动，展示优秀命题思路与案例；强化“以终为始”的逆向教学逻辑，引导教师以命题指导教学设计，实现教学目标与评价目标的统一。</w:t>
      </w:r>
    </w:p>
    <w:p w14:paraId="22837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加强常态化教研管理，完善教研检查与反馈机制，规范教研流程、明确教研要求，确保教研活动有计划、有内容、有实效；重点加强对弱势学科的教研指导，安排骨干教师结对帮扶，定期开展弱势学科教研专项检查，针对性提出改进建议，促进各学科均衡发展。</w:t>
      </w:r>
    </w:p>
    <w:p w14:paraId="03A48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落地“经开好课”建设标准，各学科将好课标准学习融入日常教研活动，对市区级好课培训内容进行校本化拆解与落地，结合学科特点形成“经开好课”建设校本模板；开展经开好课系列理论学习，覆盖学科大概念、学习目标确定、学科实践活动、学科思维培育、多元评价、AI赋能等核心模块，提升教师对好课建设的理论认知与实践能力。</w:t>
      </w:r>
    </w:p>
    <w:p w14:paraId="6A263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0"/>
          <w:sz w:val="24"/>
          <w:szCs w:val="24"/>
          <w:lang w:val="en-US" w:eastAsia="zh-CN" w:bidi="ar"/>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开展学段衔接专项教研活动，重点推进五级部与初一级部在语文、数学、英语三大核心学科的课程领域衔接，组织跨学段教师开展集体备课、课例研讨、教学目标对接，梳理衔接知识点与教学方法，破解小初衔接教学难题，实现教学平稳过渡。</w:t>
      </w:r>
    </w:p>
    <w:p w14:paraId="7AE39CDF">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（四）优化作业设计，减量提质增效</w:t>
      </w:r>
    </w:p>
    <w:p w14:paraId="29E9D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严格落实“双减”要求，严控作业总量和时长，实行“年级统筹、总量控制、分层设计”原则，禁止学科间相互挤压。</w:t>
      </w:r>
    </w:p>
    <w:p w14:paraId="5D0F2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严格执行 “基础 + 提升 + 拓展” 三层弹性作业设计要求，面向全体学生实施分层作业，确保不同层次学生均能在练习中获得适度挑战、体验成功、实现进阶提升，真正实现作业从“布置了”到“有效了”</w:t>
      </w:r>
    </w:p>
    <w:p w14:paraId="24EAC3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作业“全批全改、及时反馈”，重点关注典型错误和共性问题，将批改中发现的学情信息及时带回教研组讨论，实现“以作业促教学”的正向循环。学科组、备课组加强作业设计的专题研讨，提高作业的针对性、典型性、趣味性和探究性，减少机械重复训练。</w:t>
      </w:r>
    </w:p>
    <w:p w14:paraId="7DAA4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定期作业复盘：每周组织全体教师开展学情调研，通过问卷调查精准梳理学生在课堂学习与作业中存在的共性问题和薄弱难点。教师依托调研结果及时反思教学、优化课堂；学生通过教师精讲、小组合作、互助讲解、集中梳理等方式查漏补缺，充分发挥学生主体作用，实现难点全覆盖、问题全清零。</w:t>
      </w:r>
    </w:p>
    <w:p w14:paraId="20CDC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以比赛促提升：组织“优秀作业设计”评选、“高质量作业讲评课”展示交流活动，引导教师精选作业内容、优化作业结构、改进讲评方式让作业真正发挥巩固与提升作用。同时通过作业设计大赛，以赛促教、以赛促提升，引导教师聚焦作业设计的科学性、针对性、层次性和创新性，同时强化典型引领，推广优秀案例，推动全体教师作业设计能力整体提升，切实减轻学生过重作业负担，助力教育教学质量稳步提高。</w:t>
      </w:r>
    </w:p>
    <w:p w14:paraId="44670E58">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（五）</w:t>
      </w:r>
      <w:r>
        <w:rPr>
          <w:rFonts w:hint="default" w:ascii="仿宋_GB2312" w:hAnsi="仿宋_GB2312" w:eastAsia="仿宋_GB2312" w:cs="仿宋_GB2312"/>
          <w:b/>
          <w:sz w:val="28"/>
          <w:szCs w:val="28"/>
          <w:lang w:val="en-US" w:eastAsia="zh-CN"/>
        </w:rPr>
        <w:t>精准帮扶提质，助力全员共进</w:t>
      </w:r>
    </w:p>
    <w:p w14:paraId="43C215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 </w:t>
      </w:r>
      <w:r>
        <w:rPr>
          <w:rFonts w:hint="default" w:ascii="仿宋_GB2312" w:hAnsi="仿宋_GB2312" w:eastAsia="仿宋_GB2312" w:cs="仿宋_GB2312"/>
          <w:sz w:val="28"/>
          <w:szCs w:val="28"/>
          <w:lang w:val="en-US" w:eastAsia="zh-CN"/>
        </w:rPr>
        <w:t>综合运用分层辅导、同伴互助、课后答疑、课后服务专项指导等方式，分层施策、精准发力：对潜力生、优等生强化学法指导、思维训练与素养拓展，激发学科特长；对学习有困难学生重点夯实基础、补齐短板、树立信心</w:t>
      </w:r>
      <w:r>
        <w:rPr>
          <w:rFonts w:hint="eastAsia" w:ascii="仿宋_GB2312" w:hAnsi="仿宋_GB2312" w:eastAsia="仿宋_GB2312" w:cs="仿宋_GB2312"/>
          <w:sz w:val="28"/>
          <w:szCs w:val="28"/>
          <w:lang w:val="en-US" w:eastAsia="zh-CN"/>
        </w:rPr>
        <w:t>，着力推动辅导模式从 “统一补” 向 “精准帮” 转变，实现分层施策、靶向发力。</w:t>
      </w:r>
    </w:p>
    <w:p w14:paraId="21B6E1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建立待提升学生个性化成长档案，全程跟踪学业状况、薄弱短板与进步表现，依托档案实施过程性、发展性评价，精准施策、助力稳步提升。</w:t>
      </w:r>
    </w:p>
    <w:p w14:paraId="69FBF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 </w:t>
      </w:r>
      <w:r>
        <w:rPr>
          <w:rFonts w:hint="default" w:ascii="仿宋_GB2312" w:hAnsi="仿宋_GB2312" w:eastAsia="仿宋_GB2312" w:cs="仿宋_GB2312"/>
          <w:sz w:val="28"/>
          <w:szCs w:val="28"/>
          <w:lang w:val="en-US" w:eastAsia="zh-CN"/>
        </w:rPr>
        <w:t>教师精准帮扶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教师建立结对帮扶档案，每周固定时段开展针对性辅导，提前明确辅导内容，做好过程记录与跟踪反馈，指导学生巩固落实。</w:t>
      </w:r>
    </w:p>
    <w:p w14:paraId="08077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 </w:t>
      </w:r>
      <w:r>
        <w:rPr>
          <w:rFonts w:hint="default" w:ascii="仿宋_GB2312" w:hAnsi="仿宋_GB2312" w:eastAsia="仿宋_GB2312" w:cs="仿宋_GB2312"/>
          <w:sz w:val="28"/>
          <w:szCs w:val="28"/>
          <w:lang w:val="en-US" w:eastAsia="zh-CN"/>
        </w:rPr>
        <w:t>学生互助帮扶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组建学习互助小组，发挥同伴互学互促作用，构建 “教师引领、学生带动、共同进步” 的良性学习氛围，以互助强信心、促提升。</w:t>
      </w:r>
    </w:p>
    <w:p w14:paraId="047C6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 </w:t>
      </w:r>
      <w:r>
        <w:rPr>
          <w:rFonts w:hint="default" w:ascii="仿宋_GB2312" w:hAnsi="仿宋_GB2312" w:eastAsia="仿宋_GB2312" w:cs="仿宋_GB2312"/>
          <w:sz w:val="28"/>
          <w:szCs w:val="28"/>
          <w:lang w:val="en-US" w:eastAsia="zh-CN"/>
        </w:rPr>
        <w:t>过程与结果评价</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实行</w:t>
      </w:r>
      <w:r>
        <w:rPr>
          <w:rFonts w:hint="eastAsia" w:ascii="仿宋_GB2312" w:hAnsi="仿宋_GB2312" w:eastAsia="仿宋_GB2312" w:cs="仿宋_GB2312"/>
          <w:sz w:val="28"/>
          <w:szCs w:val="28"/>
          <w:lang w:val="en-US" w:eastAsia="zh-CN"/>
        </w:rPr>
        <w:t>学</w:t>
      </w:r>
      <w:r>
        <w:rPr>
          <w:rFonts w:hint="default" w:ascii="仿宋_GB2312" w:hAnsi="仿宋_GB2312" w:eastAsia="仿宋_GB2312" w:cs="仿宋_GB2312"/>
          <w:sz w:val="28"/>
          <w:szCs w:val="28"/>
          <w:lang w:val="en-US" w:eastAsia="zh-CN"/>
        </w:rPr>
        <w:t>期中、</w:t>
      </w:r>
      <w:r>
        <w:rPr>
          <w:rFonts w:hint="eastAsia" w:ascii="仿宋_GB2312" w:hAnsi="仿宋_GB2312" w:eastAsia="仿宋_GB2312" w:cs="仿宋_GB2312"/>
          <w:sz w:val="28"/>
          <w:szCs w:val="28"/>
          <w:lang w:val="en-US" w:eastAsia="zh-CN"/>
        </w:rPr>
        <w:t>学</w:t>
      </w:r>
      <w:r>
        <w:rPr>
          <w:rFonts w:hint="default" w:ascii="仿宋_GB2312" w:hAnsi="仿宋_GB2312" w:eastAsia="仿宋_GB2312" w:cs="仿宋_GB2312"/>
          <w:sz w:val="28"/>
          <w:szCs w:val="28"/>
          <w:lang w:val="en-US" w:eastAsia="zh-CN"/>
        </w:rPr>
        <w:t>期</w:t>
      </w:r>
      <w:r>
        <w:rPr>
          <w:rFonts w:hint="eastAsia" w:ascii="仿宋_GB2312" w:hAnsi="仿宋_GB2312" w:eastAsia="仿宋_GB2312" w:cs="仿宋_GB2312"/>
          <w:sz w:val="28"/>
          <w:szCs w:val="28"/>
          <w:lang w:val="en-US" w:eastAsia="zh-CN"/>
        </w:rPr>
        <w:t>末综合</w:t>
      </w:r>
      <w:r>
        <w:rPr>
          <w:rFonts w:hint="default" w:ascii="仿宋_GB2312" w:hAnsi="仿宋_GB2312" w:eastAsia="仿宋_GB2312" w:cs="仿宋_GB2312"/>
          <w:sz w:val="28"/>
          <w:szCs w:val="28"/>
          <w:lang w:val="en-US" w:eastAsia="zh-CN"/>
        </w:rPr>
        <w:t>评价，对帮扶成效显著、学业明显进步的帮扶</w:t>
      </w:r>
      <w:r>
        <w:rPr>
          <w:rFonts w:hint="eastAsia" w:ascii="仿宋_GB2312" w:hAnsi="仿宋_GB2312" w:eastAsia="仿宋_GB2312" w:cs="仿宋_GB2312"/>
          <w:sz w:val="28"/>
          <w:szCs w:val="28"/>
          <w:lang w:val="en-US" w:eastAsia="zh-CN"/>
        </w:rPr>
        <w:t>学生</w:t>
      </w:r>
      <w:r>
        <w:rPr>
          <w:rFonts w:hint="default" w:ascii="仿宋_GB2312" w:hAnsi="仿宋_GB2312" w:eastAsia="仿宋_GB2312" w:cs="仿宋_GB2312"/>
          <w:sz w:val="28"/>
          <w:szCs w:val="28"/>
          <w:lang w:val="en-US" w:eastAsia="zh-CN"/>
        </w:rPr>
        <w:t>与受助学生，由级部统一表彰奖励，以评价促坚持、以激励促成长。</w:t>
      </w:r>
    </w:p>
    <w:p w14:paraId="54EEF7CF">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（六）丰富课后服务，护航多远发展</w:t>
      </w:r>
    </w:p>
    <w:p w14:paraId="164EB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构建“基础服务+特色拓展”的课后服务体系。</w:t>
      </w:r>
    </w:p>
    <w:p w14:paraId="12E43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化课程设置与师资配置，保障服务时间。基础服务聚焦专项辅导、作业辅导与答疑，帮助学生完成书面作业、整理错题，</w:t>
      </w:r>
      <w:r>
        <w:rPr>
          <w:rFonts w:hint="default" w:ascii="仿宋_GB2312" w:hAnsi="仿宋_GB2312" w:eastAsia="仿宋_GB2312" w:cs="仿宋_GB2312"/>
          <w:sz w:val="28"/>
          <w:szCs w:val="28"/>
          <w:lang w:val="en-US" w:eastAsia="zh-CN"/>
        </w:rPr>
        <w:t>补齐基础、养成习惯</w:t>
      </w:r>
      <w:r>
        <w:rPr>
          <w:rFonts w:hint="eastAsia" w:ascii="仿宋_GB2312" w:hAnsi="仿宋_GB2312" w:eastAsia="仿宋_GB2312" w:cs="仿宋_GB2312"/>
          <w:sz w:val="28"/>
          <w:szCs w:val="28"/>
          <w:lang w:val="en-US" w:eastAsia="zh-CN"/>
        </w:rPr>
        <w:t>。特色拓展课程主要是特色课程为主，涵盖学科拓展、文体活动、艺术素养等，满足学生多样化需求。</w:t>
      </w:r>
    </w:p>
    <w:p w14:paraId="0A64FD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2.强化过程监管，保障服务质效</w:t>
      </w:r>
    </w:p>
    <w:p w14:paraId="4C11D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立课后服务全过程督导检查机制，严格落实学生签到、教师考勤及服务台账管理制度。常态化开展服务质量与纪律执行巡查，重点核查专项辅导的针对性与实效性，关注学生参与状态与课堂秩序，同步排查安全、卫生等隐患，确保课后服务规范运行、安全有序、落地见效。</w:t>
      </w:r>
    </w:p>
    <w:p w14:paraId="29207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落实评价激励，激发内生动力</w:t>
      </w:r>
    </w:p>
    <w:p w14:paraId="514C8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严格落实课后服务评价激励制度，强化制度执行与日常巡查，对照标准细化考核、规范扣分，确保评价机制落地见效、刚性运行。</w:t>
      </w:r>
    </w:p>
    <w:p w14:paraId="3A9AD835">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（七）丰富活动育人，赋能素养提升</w:t>
      </w:r>
    </w:p>
    <w:p w14:paraId="0FE16F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以学科节为载体，落实立德树人根本任务，对标 2026 年国家教育部1号文件要求，融入科技前沿动态、浸润人文教育元素，创新开展项目式、探究式真实情境问题实践活动。通过跨学科主题展示、科创体验、探究实践、成果展演等形式，让学生在真实问题中探究、在合作实践中创新、在人文浸润中成长，着力提升关键能力、思维品质与学科素养，实现以活动强基、以实践赋能，全面促进学生核心素养落地生根。同时固定语文节、数学节、英语节和科学节时间。</w:t>
      </w:r>
    </w:p>
    <w:p w14:paraId="46D8F0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设立项目化学习与大单元学习周。为适应考试改革中加强项目式、探究式真实情境问题设计的新导向，本学期专项设立项目化学习与大单元整合学习周。以大单元整体教学为基础，聚焦学科核心素养，整合知识结构与学习任务；围绕真实问题开展跨学科项目探究，引导学生以小组合作进行实践、展示与评价。强化方案策划、过程指导与成果评价，推动大单元教学与项目化学习深度融合，有机衔接课堂教学与考试备考，全面提升学生知识迁移、综合运用与解决实际问题的能力。</w:t>
      </w:r>
    </w:p>
    <w:p w14:paraId="20ABA8FC">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（八）深化课程改革，夯实育人质量</w:t>
      </w:r>
    </w:p>
    <w:p w14:paraId="2F10F76D">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 由“开足开齐”到“开好开优”</w:t>
      </w:r>
      <w:r>
        <w:rPr>
          <w:rFonts w:hint="eastAsia" w:ascii="仿宋_GB2312" w:hAnsi="仿宋_GB2312" w:eastAsia="仿宋_GB2312" w:cs="仿宋_GB2312"/>
          <w:b/>
          <w:sz w:val="28"/>
          <w:szCs w:val="28"/>
          <w:lang w:val="en-US" w:eastAsia="zh-CN"/>
        </w:rPr>
        <w:tab/>
      </w:r>
    </w:p>
    <w:p w14:paraId="668F29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（1）推动课程实施由 “开足开齐” 向 “开好开优” 转变，严格落实课程方案，坚决杜绝 “隐性缺课”，保障课程育人实效。通过校级领导和中层领导的巡课、推门听课等方式，监督课程开设的完整性。</w:t>
      </w:r>
    </w:p>
    <w:p w14:paraId="043E83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（2）深化国家课程校本化实施，立足校情与学情，对国家课程进行整体设计、内容整合与路径优化，提升课程实施质量。</w:t>
      </w:r>
    </w:p>
    <w:p w14:paraId="4A4E8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（3）持续开展课程纲要编制、命题设计、教学评价等专题培训，强化教师课程规划能力与评价素养，以科学评价引领教学改进。</w:t>
      </w:r>
    </w:p>
    <w:p w14:paraId="4586C6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（4）深入推进跨学科与跨学段教研，积极发掘跨学科教学典型案例，组织开展成果展示交流活动，提升教师融合教学能力；每学期至少开展 1 次跨学段教研活动，强化小初衔接研究，做好学段过渡与教学衔接准备。本学期各学科务必开展1-2次跨学科教研，着力为跨学科学习提供基础与依据。</w:t>
      </w:r>
    </w:p>
    <w:p w14:paraId="579AAC5B">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2. 对标命题改革，优化课程供给</w:t>
      </w:r>
    </w:p>
    <w:p w14:paraId="258FB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应对教育部命题改革要求，我校本学期将课程体系中融入科技前沿动态、浸润人文教育元素。本学期将新增科技类、人文类特色类课程和阅读课程，强化项目式、探究式真实情境学习，推动课程内容从知识传授向素养培育转变，更好地培养学生关键能力与思维品质。</w:t>
      </w:r>
    </w:p>
    <w:p w14:paraId="0790A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低年级：在初一、初二特色课程体系中，增设科技前沿类（人工智能、航天工程、两字信息、生物技术等国家科技领域的最新进展）与阅读素养类课程模块，完善课程目标、内容框架与实施路径。此措施不为传授专业知识，而是“扫盲”与“激趣”，消除学生对前沿领域的陌生感与为畏惧感。</w:t>
      </w:r>
    </w:p>
    <w:p w14:paraId="22F28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（2）高年级：针对初三、初四学业紧张的实际情况，统筹安排固定时段，每周组织学生观看精选科技前沿类视频，以短平快的方式拓宽视野、激发创新思维，实现学业提升与素养培育的有机融合。</w:t>
      </w:r>
    </w:p>
    <w:p w14:paraId="100E5827">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3. 强化科学教育与实验教学，提升学生探究与创新能力</w:t>
      </w:r>
    </w:p>
    <w:p w14:paraId="738DA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（1）严格落实实验教学计划，确保实验课开足、开齐、开好，规范实验操作流程，提升实验课堂实效。</w:t>
      </w:r>
    </w:p>
    <w:p w14:paraId="60CF5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（2）大力开展学生小课题研究，鼓励学生围绕生活现象、科学问题开展探究性学习，培养观察、实践、创新与解决问题的能力。</w:t>
      </w:r>
    </w:p>
    <w:p w14:paraId="5ADA9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（3）完善实验教学条件与管理，加强实验过程指导，以实验教学和小课题研究为抓手，全面提升学生科学素养。</w:t>
      </w:r>
    </w:p>
    <w:p w14:paraId="4767D915">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outlineLvl w:val="2"/>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（九）锚定毕业质量，筑牢育人根基</w:t>
      </w:r>
    </w:p>
    <w:p w14:paraId="4FB14E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毕业班坚持“基础为先、分层推进、精准指导、稳步提升”的原则,强化复习节奏管理与质量监测，确保复习有序、训练有效、转化有力，整体成绩稳中有升。</w:t>
      </w:r>
    </w:p>
    <w:p w14:paraId="0DEAC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制定详细的复习进度安排，明确基础复习、专题复习、模拟冲刺等阶段的目标与重点内容，做到复习有序推进，避免节奏忽快忽慢。定期召开毕业班教师研讨会，调整优化复习计划。</w:t>
      </w:r>
    </w:p>
    <w:p w14:paraId="4FF807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以学情诊断指导教学，通过阶段检测、课堂反馈、作业表现与个性化访谈，精准掌握学生薄弱点，建立学生学情档案，突出共性问题集中突破、个性问题分层指导。</w:t>
      </w:r>
    </w:p>
    <w:p w14:paraId="2558E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停止盲目刷题，转向“精坐精炼+思考总结”，注意：停止盲目刷题不等于不做题，而是每做一道题，都要思考“这道题考察什么能力？为什么这么考？还有其他阶梯思路吗？”重点段落学生的思维能力，而不是单纯记答案，记套路。训练安排讲求质量，强调训练精选、讲评到位、订正确实，避免盲目刷题。引导学生归纳解题方法、总结答题规律, 提升审题能力、表达能力与规范作答能力。加强对中考命题趋势的研究，优化复习资料与训练题目。</w:t>
      </w:r>
    </w:p>
    <w:p w14:paraId="33BED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重视心理与状态调适，联合德育处、班主任，通过班会谈心交流、目标激励、减压活动等方式，帮助学生保持稳定心态与良好作息，增强备考韧性。加强与家长的沟通，引导家长科学陪伴，缓解学生备考压力。</w:t>
      </w:r>
    </w:p>
    <w:p w14:paraId="7FB4C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的学期，新的起点。我校将始终坚守教育初心，聚焦“本真好课”主阵地，抓实教学管理全流程，以研促教、以评促改、以质立校，不断夯实教学基础、提升育人水平，努力推动学校教学工作再上新台阶、再创新佳绩！</w:t>
      </w:r>
    </w:p>
    <w:p w14:paraId="1F4A2D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val="en-US" w:eastAsia="zh-CN"/>
        </w:rPr>
      </w:pPr>
    </w:p>
    <w:p w14:paraId="22CA4C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Autospacing="0" w:line="240" w:lineRule="auto"/>
        <w:ind w:firstLine="480" w:firstLineChars="200"/>
        <w:jc w:val="left"/>
        <w:textAlignment w:val="auto"/>
        <w:rPr>
          <w:rFonts w:hint="default" w:ascii="宋体" w:hAnsi="宋体" w:eastAsia="宋体" w:cs="宋体"/>
          <w:kern w:val="0"/>
          <w:sz w:val="24"/>
          <w:szCs w:val="24"/>
          <w:lang w:val="en-US" w:eastAsia="zh-CN" w:bidi="ar"/>
        </w:rPr>
      </w:pPr>
    </w:p>
    <w:sectPr>
      <w:footerReference r:id="rId3" w:type="default"/>
      <w:pgSz w:w="11906" w:h="16838"/>
      <w:pgMar w:top="1440" w:right="1463"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B7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54F0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054F0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FA968"/>
    <w:rsid w:val="13BC1582"/>
    <w:rsid w:val="17F9DA78"/>
    <w:rsid w:val="2FB795C2"/>
    <w:rsid w:val="35EFA968"/>
    <w:rsid w:val="3806343A"/>
    <w:rsid w:val="3F6D658D"/>
    <w:rsid w:val="3F7D6912"/>
    <w:rsid w:val="3FF662BF"/>
    <w:rsid w:val="4FECE95E"/>
    <w:rsid w:val="5BD7E491"/>
    <w:rsid w:val="5FA749F8"/>
    <w:rsid w:val="69D40A21"/>
    <w:rsid w:val="73FBD791"/>
    <w:rsid w:val="7B7AD8A8"/>
    <w:rsid w:val="877984B1"/>
    <w:rsid w:val="CBFF0FFC"/>
    <w:rsid w:val="E8BF80F7"/>
    <w:rsid w:val="F7EF947D"/>
    <w:rsid w:val="F7FF87B5"/>
    <w:rsid w:val="FFD7D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5225</Words>
  <Characters>5277</Characters>
  <Lines>0</Lines>
  <Paragraphs>0</Paragraphs>
  <TotalTime>0</TotalTime>
  <ScaleCrop>false</ScaleCrop>
  <LinksUpToDate>false</LinksUpToDate>
  <CharactersWithSpaces>5350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2026-02-17T17:36:00Z</dcterms:created>
  <dc:creator>心是菩提树！</dc:creator>
  <cp:lastModifiedBy>Vera</cp:lastModifiedBy>
  <dcterms:modified xsi:type="dcterms:W3CDTF">2026-03-10T02:13:36Z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9E6E680F3A3F3A87D0049D6923479003_43</vt:lpwstr>
  </property>
  <property fmtid="{D5CDD505-2E9C-101B-9397-08002B2CF9AE}" pid="4" name="KSOTemplateDocerSaveRecord">
    <vt:lpwstr>eyJoZGlkIjoiMDJmMDgxMjhhZDg0OGE0ZjAyZDJkNjE4Zjg3ZWJmY2UiLCJ1c2VySWQiOiIyMzI4ODcyODcifQ==</vt:lpwstr>
  </property>
</Properties>
</file>