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jc w:val="center"/>
        <w:textAlignment w:val="auto"/>
        <w:rPr>
          <w:sz w:val="24"/>
          <w:szCs w:val="24"/>
        </w:rPr>
      </w:pPr>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淄博经济开发区管理委员会办公室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jc w:val="center"/>
        <w:textAlignment w:val="auto"/>
        <w:rPr>
          <w:sz w:val="24"/>
          <w:szCs w:val="2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2020年政府信息公开工作年度报告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jc w:val="center"/>
        <w:textAlignment w:val="auto"/>
        <w:rPr>
          <w:sz w:val="24"/>
          <w:szCs w:val="2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val="0"/>
        <w:topLinePunct w:val="0"/>
        <w:autoSpaceDE/>
        <w:autoSpaceDN/>
        <w:bidi w:val="0"/>
        <w:adjustRightInd/>
        <w:snapToGrid w:val="0"/>
        <w:spacing w:before="0" w:beforeAutospacing="0" w:after="0" w:afterAutospacing="0" w:line="600" w:lineRule="exact"/>
        <w:ind w:left="0" w:right="0" w:firstLine="641"/>
        <w:jc w:val="left"/>
        <w:textAlignment w:val="auto"/>
        <w:rPr>
          <w:rFonts w:hint="default" w:ascii="Times New Roman" w:hAnsi="Times New Roman" w:eastAsia="仿宋_GB2312" w:cs="Times New Roman"/>
          <w:sz w:val="32"/>
          <w:szCs w:val="32"/>
        </w:rPr>
      </w:pPr>
      <w:r>
        <w:rPr>
          <w:rFonts w:ascii="仿宋_GB2312" w:hAnsi="微软雅黑" w:eastAsia="仿宋_GB2312" w:cs="仿宋_GB2312"/>
          <w:i w:val="0"/>
          <w:iCs w:val="0"/>
          <w:caps w:val="0"/>
          <w:color w:val="000000"/>
          <w:spacing w:val="0"/>
          <w:sz w:val="32"/>
          <w:szCs w:val="32"/>
          <w:bdr w:val="none" w:color="auto" w:sz="0" w:space="0"/>
          <w:shd w:val="clear" w:fill="FFFFFF"/>
        </w:rPr>
        <w:t>本报告是根据新修订的《中华人民共和国政府信息公开条例》、《国务院办公厅政府信息与政务公开办公室关于政府信息公开工作年度报告有关事项的通知》（国办公开办函〔</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2019</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60</w:t>
      </w:r>
      <w:r>
        <w:rPr>
          <w:rFonts w:hint="eastAsia" w:ascii="仿宋_GB2312" w:hAnsi="微软雅黑" w:eastAsia="仿宋_GB2312" w:cs="仿宋_GB2312"/>
          <w:i w:val="0"/>
          <w:iCs w:val="0"/>
          <w:caps w:val="0"/>
          <w:color w:val="000000"/>
          <w:spacing w:val="0"/>
          <w:sz w:val="32"/>
          <w:szCs w:val="32"/>
          <w:bdr w:val="none" w:color="auto" w:sz="0" w:space="0"/>
          <w:shd w:val="clear" w:fill="FFFFFF"/>
        </w:rPr>
        <w:t>号）和省、市有关工作要求，编制并向社会公开。本报告全文包括</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2020</w:t>
      </w:r>
      <w:r>
        <w:rPr>
          <w:rFonts w:hint="eastAsia" w:ascii="仿宋_GB2312" w:hAnsi="微软雅黑" w:eastAsia="仿宋_GB2312" w:cs="仿宋_GB2312"/>
          <w:i w:val="0"/>
          <w:iCs w:val="0"/>
          <w:caps w:val="0"/>
          <w:color w:val="000000"/>
          <w:spacing w:val="0"/>
          <w:sz w:val="32"/>
          <w:szCs w:val="32"/>
          <w:bdr w:val="none" w:color="auto" w:sz="0" w:space="0"/>
          <w:shd w:val="clear" w:fill="FFFFFF"/>
        </w:rPr>
        <w:t>年政府信息公开工作要点落实情况，主动公开政府信息情况及相关统计数据，依申请公开情况，政府信息公开行政复议、行政诉讼和投诉情况，以及上年度政府信息公开工作中存在的主要问题及改进措施等。本报告所列</w:t>
      </w:r>
      <w:r>
        <w:rPr>
          <w:rFonts w:hint="eastAsia" w:ascii="仿宋_GB2312" w:hAnsi="微软雅黑" w:eastAsia="仿宋_GB2312" w:cs="仿宋_GB2312"/>
          <w:i w:val="0"/>
          <w:iCs w:val="0"/>
          <w:caps w:val="0"/>
          <w:color w:val="000000"/>
          <w:spacing w:val="0"/>
          <w:sz w:val="32"/>
          <w:szCs w:val="32"/>
          <w:shd w:val="clear" w:fill="FFFFFF"/>
        </w:rPr>
        <w:t>数据的统计时限自</w:t>
      </w:r>
      <w:r>
        <w:rPr>
          <w:rFonts w:hint="default" w:ascii="仿宋_GB2312" w:hAnsi="微软雅黑" w:eastAsia="仿宋_GB2312" w:cs="仿宋_GB2312"/>
          <w:i w:val="0"/>
          <w:iCs w:val="0"/>
          <w:caps w:val="0"/>
          <w:color w:val="000000"/>
          <w:spacing w:val="0"/>
          <w:sz w:val="32"/>
          <w:szCs w:val="32"/>
          <w:shd w:val="clear" w:fill="FFFFFF"/>
        </w:rPr>
        <w:t>2020</w:t>
      </w:r>
      <w:r>
        <w:rPr>
          <w:rFonts w:hint="eastAsia" w:ascii="仿宋_GB2312" w:hAnsi="微软雅黑" w:eastAsia="仿宋_GB2312" w:cs="仿宋_GB2312"/>
          <w:i w:val="0"/>
          <w:iCs w:val="0"/>
          <w:caps w:val="0"/>
          <w:color w:val="000000"/>
          <w:spacing w:val="0"/>
          <w:sz w:val="32"/>
          <w:szCs w:val="32"/>
          <w:shd w:val="clear" w:fill="FFFFFF"/>
        </w:rPr>
        <w:t>年</w:t>
      </w:r>
      <w:r>
        <w:rPr>
          <w:rFonts w:hint="default" w:ascii="仿宋_GB2312" w:hAnsi="微软雅黑" w:eastAsia="仿宋_GB2312" w:cs="仿宋_GB2312"/>
          <w:i w:val="0"/>
          <w:iCs w:val="0"/>
          <w:caps w:val="0"/>
          <w:color w:val="000000"/>
          <w:spacing w:val="0"/>
          <w:sz w:val="32"/>
          <w:szCs w:val="32"/>
          <w:shd w:val="clear" w:fill="FFFFFF"/>
        </w:rPr>
        <w:t>1</w:t>
      </w:r>
      <w:r>
        <w:rPr>
          <w:rFonts w:hint="eastAsia" w:ascii="仿宋_GB2312" w:hAnsi="微软雅黑" w:eastAsia="仿宋_GB2312" w:cs="仿宋_GB2312"/>
          <w:i w:val="0"/>
          <w:iCs w:val="0"/>
          <w:caps w:val="0"/>
          <w:color w:val="000000"/>
          <w:spacing w:val="0"/>
          <w:sz w:val="32"/>
          <w:szCs w:val="32"/>
          <w:shd w:val="clear" w:fill="FFFFFF"/>
        </w:rPr>
        <w:t>月</w:t>
      </w:r>
      <w:r>
        <w:rPr>
          <w:rFonts w:hint="default" w:ascii="仿宋_GB2312" w:hAnsi="微软雅黑" w:eastAsia="仿宋_GB2312" w:cs="仿宋_GB2312"/>
          <w:i w:val="0"/>
          <w:iCs w:val="0"/>
          <w:caps w:val="0"/>
          <w:color w:val="000000"/>
          <w:spacing w:val="0"/>
          <w:sz w:val="32"/>
          <w:szCs w:val="32"/>
          <w:shd w:val="clear" w:fill="FFFFFF"/>
        </w:rPr>
        <w:t>1</w:t>
      </w:r>
      <w:r>
        <w:rPr>
          <w:rFonts w:hint="eastAsia" w:ascii="仿宋_GB2312" w:hAnsi="微软雅黑" w:eastAsia="仿宋_GB2312" w:cs="仿宋_GB2312"/>
          <w:i w:val="0"/>
          <w:iCs w:val="0"/>
          <w:caps w:val="0"/>
          <w:color w:val="000000"/>
          <w:spacing w:val="0"/>
          <w:sz w:val="32"/>
          <w:szCs w:val="32"/>
          <w:shd w:val="clear" w:fill="FFFFFF"/>
        </w:rPr>
        <w:t>日至</w:t>
      </w:r>
      <w:r>
        <w:rPr>
          <w:rFonts w:hint="default" w:ascii="仿宋_GB2312" w:hAnsi="微软雅黑" w:eastAsia="仿宋_GB2312" w:cs="仿宋_GB2312"/>
          <w:i w:val="0"/>
          <w:iCs w:val="0"/>
          <w:caps w:val="0"/>
          <w:color w:val="000000"/>
          <w:spacing w:val="0"/>
          <w:sz w:val="32"/>
          <w:szCs w:val="32"/>
          <w:shd w:val="clear" w:fill="FFFFFF"/>
        </w:rPr>
        <w:t>2020</w:t>
      </w:r>
      <w:r>
        <w:rPr>
          <w:rFonts w:hint="eastAsia" w:ascii="仿宋_GB2312" w:hAnsi="微软雅黑" w:eastAsia="仿宋_GB2312" w:cs="仿宋_GB2312"/>
          <w:i w:val="0"/>
          <w:iCs w:val="0"/>
          <w:caps w:val="0"/>
          <w:color w:val="000000"/>
          <w:spacing w:val="0"/>
          <w:sz w:val="32"/>
          <w:szCs w:val="32"/>
          <w:shd w:val="clear" w:fill="FFFFFF"/>
        </w:rPr>
        <w:t>年</w:t>
      </w:r>
      <w:r>
        <w:rPr>
          <w:rFonts w:hint="default" w:ascii="仿宋_GB2312" w:hAnsi="微软雅黑" w:eastAsia="仿宋_GB2312" w:cs="仿宋_GB2312"/>
          <w:i w:val="0"/>
          <w:iCs w:val="0"/>
          <w:caps w:val="0"/>
          <w:color w:val="000000"/>
          <w:spacing w:val="0"/>
          <w:sz w:val="32"/>
          <w:szCs w:val="32"/>
          <w:shd w:val="clear" w:fill="FFFFFF"/>
        </w:rPr>
        <w:t>12</w:t>
      </w:r>
      <w:r>
        <w:rPr>
          <w:rFonts w:hint="eastAsia" w:ascii="仿宋_GB2312" w:hAnsi="微软雅黑" w:eastAsia="仿宋_GB2312" w:cs="仿宋_GB2312"/>
          <w:i w:val="0"/>
          <w:iCs w:val="0"/>
          <w:caps w:val="0"/>
          <w:color w:val="000000"/>
          <w:spacing w:val="0"/>
          <w:sz w:val="32"/>
          <w:szCs w:val="32"/>
          <w:shd w:val="clear" w:fill="FFFFFF"/>
        </w:rPr>
        <w:t>月</w:t>
      </w:r>
      <w:r>
        <w:rPr>
          <w:rFonts w:hint="default" w:ascii="仿宋_GB2312" w:hAnsi="微软雅黑" w:eastAsia="仿宋_GB2312" w:cs="仿宋_GB2312"/>
          <w:i w:val="0"/>
          <w:iCs w:val="0"/>
          <w:caps w:val="0"/>
          <w:color w:val="000000"/>
          <w:spacing w:val="0"/>
          <w:sz w:val="32"/>
          <w:szCs w:val="32"/>
          <w:shd w:val="clear" w:fill="FFFFFF"/>
        </w:rPr>
        <w:t>31</w:t>
      </w:r>
      <w:r>
        <w:rPr>
          <w:rFonts w:hint="eastAsia" w:ascii="仿宋_GB2312" w:hAnsi="微软雅黑" w:eastAsia="仿宋_GB2312" w:cs="仿宋_GB2312"/>
          <w:i w:val="0"/>
          <w:iCs w:val="0"/>
          <w:caps w:val="0"/>
          <w:color w:val="000000"/>
          <w:spacing w:val="0"/>
          <w:sz w:val="32"/>
          <w:szCs w:val="32"/>
          <w:shd w:val="clear" w:fill="FFFFFF"/>
        </w:rPr>
        <w:t>日。本报告可在淄博经济开发区门户网站(</w:t>
      </w:r>
      <w:r>
        <w:rPr>
          <w:rFonts w:hint="default" w:ascii="仿宋_GB2312" w:hAnsi="微软雅黑" w:eastAsia="仿宋_GB2312" w:cs="仿宋_GB2312"/>
          <w:i w:val="0"/>
          <w:iCs w:val="0"/>
          <w:caps w:val="0"/>
          <w:color w:val="000000"/>
          <w:spacing w:val="0"/>
          <w:sz w:val="32"/>
          <w:szCs w:val="32"/>
          <w:shd w:val="clear" w:fill="FFFFFF"/>
        </w:rPr>
        <w:t>http://www.zbjkq.gov.cn)</w:t>
      </w:r>
      <w:r>
        <w:rPr>
          <w:rFonts w:hint="eastAsia" w:ascii="仿宋_GB2312" w:hAnsi="微软雅黑" w:eastAsia="仿宋_GB2312" w:cs="仿宋_GB2312"/>
          <w:i w:val="0"/>
          <w:iCs w:val="0"/>
          <w:caps w:val="0"/>
          <w:color w:val="000000"/>
          <w:spacing w:val="0"/>
          <w:sz w:val="32"/>
          <w:szCs w:val="32"/>
          <w:shd w:val="clear" w:fill="FFFFFF"/>
        </w:rPr>
        <w:t>下载。</w:t>
      </w:r>
      <w:r>
        <w:rPr>
          <w:rFonts w:hint="default" w:ascii="Times New Roman" w:hAnsi="Times New Roman" w:eastAsia="仿宋_GB2312" w:cs="Times New Roman"/>
          <w:i w:val="0"/>
          <w:iCs w:val="0"/>
          <w:caps w:val="0"/>
          <w:color w:val="000000"/>
          <w:spacing w:val="0"/>
          <w:sz w:val="32"/>
          <w:szCs w:val="32"/>
          <w:shd w:val="clear" w:fill="FFFFFF"/>
        </w:rPr>
        <w:t>如对本报告有任何疑问，请与</w:t>
      </w:r>
      <w:r>
        <w:rPr>
          <w:rFonts w:hint="default" w:ascii="Times New Roman" w:hAnsi="Times New Roman" w:eastAsia="仿宋_GB2312" w:cs="Times New Roman"/>
          <w:i w:val="0"/>
          <w:iCs w:val="0"/>
          <w:caps w:val="0"/>
          <w:color w:val="000000"/>
          <w:spacing w:val="0"/>
          <w:sz w:val="32"/>
          <w:szCs w:val="32"/>
          <w:shd w:val="clear" w:fill="FFFFFF"/>
          <w:lang w:val="en-US" w:eastAsia="zh-CN"/>
        </w:rPr>
        <w:t>淄博经济开发区管理委员会办公室</w:t>
      </w:r>
      <w:r>
        <w:rPr>
          <w:rFonts w:hint="default" w:ascii="Times New Roman" w:hAnsi="Times New Roman" w:eastAsia="仿宋_GB2312" w:cs="Times New Roman"/>
          <w:i w:val="0"/>
          <w:iCs w:val="0"/>
          <w:caps w:val="0"/>
          <w:color w:val="000000"/>
          <w:spacing w:val="0"/>
          <w:sz w:val="32"/>
          <w:szCs w:val="32"/>
          <w:shd w:val="clear" w:fill="FFFFFF"/>
        </w:rPr>
        <w:t>联系（地址：</w:t>
      </w:r>
      <w:r>
        <w:rPr>
          <w:rFonts w:hint="default" w:ascii="Times New Roman" w:hAnsi="Times New Roman" w:eastAsia="仿宋_GB2312" w:cs="Times New Roman"/>
          <w:i w:val="0"/>
          <w:iCs w:val="0"/>
          <w:caps w:val="0"/>
          <w:color w:val="000000"/>
          <w:spacing w:val="0"/>
          <w:sz w:val="32"/>
          <w:szCs w:val="32"/>
          <w:bdr w:val="none" w:color="auto" w:sz="0" w:space="0"/>
        </w:rPr>
        <w:t>淄博市张店区北京路和复兴路路口东200米路北</w:t>
      </w:r>
      <w:r>
        <w:rPr>
          <w:rFonts w:hint="default" w:ascii="Times New Roman" w:hAnsi="Times New Roman" w:eastAsia="仿宋_GB2312" w:cs="Times New Roman"/>
          <w:i w:val="0"/>
          <w:iCs w:val="0"/>
          <w:caps w:val="0"/>
          <w:color w:val="000000"/>
          <w:spacing w:val="0"/>
          <w:sz w:val="32"/>
          <w:szCs w:val="32"/>
          <w:shd w:val="clear" w:fill="FFFFFF"/>
        </w:rPr>
        <w:t>；邮编：</w:t>
      </w:r>
      <w:r>
        <w:rPr>
          <w:rFonts w:hint="default" w:ascii="Times New Roman" w:hAnsi="Times New Roman" w:eastAsia="仿宋_GB2312" w:cs="Times New Roman"/>
          <w:i w:val="0"/>
          <w:iCs w:val="0"/>
          <w:caps w:val="0"/>
          <w:color w:val="000000"/>
          <w:spacing w:val="0"/>
          <w:sz w:val="32"/>
          <w:szCs w:val="32"/>
          <w:shd w:val="clear" w:fill="FFFFFF"/>
          <w:lang w:val="en-US" w:eastAsia="zh-CN"/>
        </w:rPr>
        <w:t>255000</w:t>
      </w:r>
      <w:r>
        <w:rPr>
          <w:rFonts w:hint="default" w:ascii="Times New Roman" w:hAnsi="Times New Roman" w:eastAsia="仿宋_GB2312" w:cs="Times New Roman"/>
          <w:i w:val="0"/>
          <w:iCs w:val="0"/>
          <w:caps w:val="0"/>
          <w:color w:val="000000"/>
          <w:spacing w:val="0"/>
          <w:sz w:val="32"/>
          <w:szCs w:val="32"/>
          <w:shd w:val="clear" w:fill="FFFFFF"/>
        </w:rPr>
        <w:t>；联系电话：</w:t>
      </w:r>
      <w:r>
        <w:rPr>
          <w:rFonts w:hint="default" w:ascii="Times New Roman" w:hAnsi="Times New Roman" w:eastAsia="仿宋_GB2312" w:cs="Times New Roman"/>
          <w:i w:val="0"/>
          <w:iCs w:val="0"/>
          <w:caps w:val="0"/>
          <w:color w:val="000000"/>
          <w:spacing w:val="0"/>
          <w:sz w:val="32"/>
          <w:szCs w:val="32"/>
          <w:shd w:val="clear" w:fill="FFFFFF"/>
          <w:lang w:val="en-US" w:eastAsia="zh-CN"/>
        </w:rPr>
        <w:t>02533-7878118</w:t>
      </w:r>
      <w:r>
        <w:rPr>
          <w:rFonts w:hint="default" w:ascii="Times New Roman" w:hAnsi="Times New Roman" w:eastAsia="仿宋_GB2312" w:cs="Times New Roman"/>
          <w:i w:val="0"/>
          <w:iCs w:val="0"/>
          <w:caps w:val="0"/>
          <w:color w:val="000000"/>
          <w:spacing w:val="0"/>
          <w:sz w:val="32"/>
          <w:szCs w:val="32"/>
          <w:shd w:val="clear" w:fill="FFFFFF"/>
        </w:rPr>
        <w:t>；传真：</w:t>
      </w:r>
      <w:r>
        <w:rPr>
          <w:rFonts w:hint="default" w:ascii="Times New Roman" w:hAnsi="Times New Roman" w:eastAsia="仿宋_GB2312" w:cs="Times New Roman"/>
          <w:i w:val="0"/>
          <w:iCs w:val="0"/>
          <w:caps w:val="0"/>
          <w:color w:val="3D3D3D"/>
          <w:spacing w:val="0"/>
          <w:sz w:val="32"/>
          <w:szCs w:val="32"/>
          <w:shd w:val="clear" w:fill="FFFFFF"/>
        </w:rPr>
        <w:t>0533-7870179</w:t>
      </w:r>
      <w:r>
        <w:rPr>
          <w:rFonts w:hint="default" w:ascii="Times New Roman" w:hAnsi="Times New Roman" w:eastAsia="仿宋_GB2312" w:cs="Times New Roman"/>
          <w:i w:val="0"/>
          <w:iCs w:val="0"/>
          <w:caps w:val="0"/>
          <w:color w:val="000000"/>
          <w:spacing w:val="0"/>
          <w:sz w:val="32"/>
          <w:szCs w:val="32"/>
          <w:shd w:val="clear" w:fill="FFFFFF"/>
        </w:rPr>
        <w:t>；电子信箱</w:t>
      </w:r>
      <w:r>
        <w:rPr>
          <w:rFonts w:hint="default" w:ascii="Times New Roman" w:hAnsi="Times New Roman" w:eastAsia="仿宋_GB2312" w:cs="Times New Roman"/>
          <w:i w:val="0"/>
          <w:iCs w:val="0"/>
          <w:caps w:val="0"/>
          <w:color w:val="3D3D3D"/>
          <w:spacing w:val="0"/>
          <w:sz w:val="32"/>
          <w:szCs w:val="32"/>
          <w:shd w:val="clear" w:fill="FFFFFF"/>
        </w:rPr>
        <w:t>zibojingkaiqubangongshi@zb.shandong.cn</w:t>
      </w:r>
      <w:r>
        <w:rPr>
          <w:rFonts w:hint="default" w:ascii="Times New Roman" w:hAnsi="Times New Roman" w:eastAsia="仿宋_GB2312" w:cs="Times New Roman"/>
          <w:i w:val="0"/>
          <w:iCs w:val="0"/>
          <w:caps w:val="0"/>
          <w:color w:val="000000"/>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jc w:val="left"/>
        <w:textAlignment w:val="auto"/>
        <w:rPr>
          <w:sz w:val="24"/>
          <w:szCs w:val="24"/>
        </w:rPr>
      </w:pPr>
      <w:r>
        <w:rPr>
          <w:rFonts w:ascii="黑体" w:hAnsi="宋体" w:eastAsia="黑体" w:cs="黑体"/>
          <w:i w:val="0"/>
          <w:iCs w:val="0"/>
          <w:caps w:val="0"/>
          <w:color w:val="000000"/>
          <w:spacing w:val="0"/>
          <w:sz w:val="32"/>
          <w:szCs w:val="32"/>
          <w:bdr w:val="none" w:color="auto" w:sz="0" w:space="0"/>
          <w:shd w:val="clear" w:fill="FFFFFF"/>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jc w:val="left"/>
        <w:textAlignment w:val="auto"/>
        <w:rPr>
          <w:sz w:val="24"/>
          <w:szCs w:val="24"/>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2020年，管委会办公室在做好自身政府信息公开工作的同时，切实担负起推进、指导、协调监督全管委会信息公开工作的责任，通过建章立制、调研督查、开展培训等方式，努力保障公民、法人和其他组织依法获取政府信息，提高政府工作透明度，促进依法行政，充分发挥政府信息对人民群众生产、生活和经济社会活动的服务作用，全面推进决策、执行、管理、服务、结果“五公开”，全区政务公开制度化、标准化、信息化水平明显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jc w:val="left"/>
        <w:textAlignment w:val="auto"/>
        <w:rPr>
          <w:sz w:val="24"/>
          <w:szCs w:val="24"/>
        </w:rPr>
      </w:pPr>
      <w:r>
        <w:rPr>
          <w:rFonts w:ascii="楷体_GB2312" w:hAnsi="微软雅黑" w:eastAsia="楷体_GB2312" w:cs="楷体_GB2312"/>
          <w:i w:val="0"/>
          <w:iCs w:val="0"/>
          <w:caps w:val="0"/>
          <w:color w:val="000000"/>
          <w:spacing w:val="0"/>
          <w:sz w:val="32"/>
          <w:szCs w:val="32"/>
          <w:bdr w:val="none" w:color="auto" w:sz="0" w:space="0"/>
          <w:shd w:val="clear" w:fill="FFFFFF"/>
        </w:rPr>
        <w:t>1.主动公开政府信息以及公开平台建设情况</w:t>
      </w:r>
      <w:r>
        <w:rPr>
          <w:rFonts w:ascii="楷体" w:hAnsi="楷体" w:eastAsia="楷体" w:cs="楷体"/>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2020</w:t>
      </w:r>
      <w:r>
        <w:rPr>
          <w:rFonts w:hint="eastAsia" w:ascii="仿宋_GB2312" w:hAnsi="微软雅黑"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微软雅黑" w:eastAsia="仿宋_GB2312" w:cs="仿宋_GB2312"/>
          <w:i w:val="0"/>
          <w:iCs w:val="0"/>
          <w:caps w:val="0"/>
          <w:color w:val="000000"/>
          <w:spacing w:val="0"/>
          <w:sz w:val="32"/>
          <w:szCs w:val="32"/>
          <w:bdr w:val="none" w:color="auto" w:sz="0" w:space="0"/>
          <w:shd w:val="clear" w:fill="FFFFFF"/>
        </w:rPr>
        <w:t>月，经开区功能区域调整完成以后，经开区于张店区完成工作交接，整合南定、傅家和沣水镇的政务公开工作，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11</w:t>
      </w:r>
      <w:r>
        <w:rPr>
          <w:rFonts w:hint="eastAsia" w:ascii="仿宋_GB2312" w:hAnsi="微软雅黑" w:eastAsia="仿宋_GB2312" w:cs="仿宋_GB2312"/>
          <w:i w:val="0"/>
          <w:iCs w:val="0"/>
          <w:caps w:val="0"/>
          <w:color w:val="000000"/>
          <w:spacing w:val="0"/>
          <w:sz w:val="32"/>
          <w:szCs w:val="32"/>
          <w:bdr w:val="none" w:color="auto" w:sz="0" w:space="0"/>
          <w:shd w:val="clear" w:fill="FFFFFF"/>
        </w:rPr>
        <w:t>月，完成新老平台交接工作，新的政务公开平台准时上线。在管委会门户网站政府信息公开专栏公开信息</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94</w:t>
      </w:r>
      <w:r>
        <w:rPr>
          <w:rFonts w:hint="eastAsia" w:ascii="仿宋_GB2312" w:hAnsi="微软雅黑" w:eastAsia="仿宋_GB2312" w:cs="仿宋_GB2312"/>
          <w:i w:val="0"/>
          <w:iCs w:val="0"/>
          <w:caps w:val="0"/>
          <w:color w:val="000000"/>
          <w:spacing w:val="0"/>
          <w:sz w:val="32"/>
          <w:szCs w:val="32"/>
          <w:bdr w:val="none" w:color="auto" w:sz="0" w:space="0"/>
          <w:shd w:val="clear" w:fill="FFFFFF"/>
        </w:rPr>
        <w:t>条。通过“淄博经济开发区”微信公众平台，以数字化、图像、视频等形式，及时发布我区出台的重大政策和相关政策解读，积极回应社会关切，得到了关注群众的广泛认可，</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2020</w:t>
      </w:r>
      <w:r>
        <w:rPr>
          <w:rFonts w:hint="eastAsia" w:ascii="仿宋_GB2312" w:hAnsi="微软雅黑" w:eastAsia="仿宋_GB2312" w:cs="仿宋_GB2312"/>
          <w:i w:val="0"/>
          <w:iCs w:val="0"/>
          <w:caps w:val="0"/>
          <w:color w:val="000000"/>
          <w:spacing w:val="0"/>
          <w:sz w:val="32"/>
          <w:szCs w:val="32"/>
          <w:bdr w:val="none" w:color="auto" w:sz="0" w:space="0"/>
          <w:shd w:val="clear" w:fill="FFFFFF"/>
        </w:rPr>
        <w:t>年共发布信息</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152</w:t>
      </w:r>
      <w:r>
        <w:rPr>
          <w:rFonts w:hint="eastAsia" w:ascii="仿宋_GB2312" w:hAnsi="微软雅黑" w:eastAsia="仿宋_GB2312" w:cs="仿宋_GB2312"/>
          <w:i w:val="0"/>
          <w:iCs w:val="0"/>
          <w:caps w:val="0"/>
          <w:color w:val="000000"/>
          <w:spacing w:val="0"/>
          <w:sz w:val="32"/>
          <w:szCs w:val="32"/>
          <w:bdr w:val="none" w:color="auto" w:sz="0" w:space="0"/>
          <w:shd w:val="clear" w:fill="FFFFFF"/>
        </w:rPr>
        <w:t>条。无人大代表建议和政协委员提案办理情况。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jc w:val="left"/>
        <w:textAlignment w:val="auto"/>
        <w:rPr>
          <w:sz w:val="24"/>
          <w:szCs w:val="24"/>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2.依申请公开情况</w:t>
      </w:r>
      <w:r>
        <w:rPr>
          <w:rFonts w:hint="eastAsia" w:ascii="楷体" w:hAnsi="楷体" w:eastAsia="楷体" w:cs="楷体"/>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2020</w:t>
      </w:r>
      <w:r>
        <w:rPr>
          <w:rFonts w:hint="eastAsia" w:ascii="仿宋_GB2312" w:hAnsi="微软雅黑" w:eastAsia="仿宋_GB2312" w:cs="仿宋_GB2312"/>
          <w:i w:val="0"/>
          <w:iCs w:val="0"/>
          <w:caps w:val="0"/>
          <w:color w:val="000000"/>
          <w:spacing w:val="0"/>
          <w:sz w:val="32"/>
          <w:szCs w:val="32"/>
          <w:bdr w:val="none" w:color="auto" w:sz="0" w:space="0"/>
          <w:shd w:val="clear" w:fill="FFFFFF"/>
        </w:rPr>
        <w:t>年，受理管委会办公室依申请公开信息</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微软雅黑" w:eastAsia="仿宋_GB2312" w:cs="仿宋_GB2312"/>
          <w:i w:val="0"/>
          <w:iCs w:val="0"/>
          <w:caps w:val="0"/>
          <w:color w:val="000000"/>
          <w:spacing w:val="0"/>
          <w:sz w:val="32"/>
          <w:szCs w:val="32"/>
          <w:bdr w:val="none" w:color="auto" w:sz="0" w:space="0"/>
          <w:shd w:val="clear" w:fill="FFFFFF"/>
        </w:rPr>
        <w:t>件，其中当面申请</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0</w:t>
      </w:r>
      <w:r>
        <w:rPr>
          <w:rFonts w:hint="eastAsia" w:ascii="仿宋_GB2312" w:hAnsi="微软雅黑" w:eastAsia="仿宋_GB2312" w:cs="仿宋_GB2312"/>
          <w:i w:val="0"/>
          <w:iCs w:val="0"/>
          <w:caps w:val="0"/>
          <w:color w:val="000000"/>
          <w:spacing w:val="0"/>
          <w:sz w:val="32"/>
          <w:szCs w:val="32"/>
          <w:bdr w:val="none" w:color="auto" w:sz="0" w:space="0"/>
          <w:shd w:val="clear" w:fill="FFFFFF"/>
        </w:rPr>
        <w:t>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jc w:val="left"/>
        <w:textAlignment w:val="auto"/>
        <w:rPr>
          <w:sz w:val="24"/>
          <w:szCs w:val="24"/>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3.政府信息公开队伍建设情况。</w:t>
      </w:r>
      <w:r>
        <w:rPr>
          <w:rFonts w:hint="eastAsia" w:ascii="仿宋_GB2312" w:hAnsi="微软雅黑" w:eastAsia="仿宋_GB2312" w:cs="仿宋_GB2312"/>
          <w:i w:val="0"/>
          <w:iCs w:val="0"/>
          <w:caps w:val="0"/>
          <w:color w:val="000000"/>
          <w:spacing w:val="0"/>
          <w:sz w:val="32"/>
          <w:szCs w:val="32"/>
          <w:bdr w:val="none" w:color="auto" w:sz="0" w:space="0"/>
          <w:shd w:val="clear" w:fill="FFFFFF"/>
        </w:rPr>
        <w:t>要求各级各部门要将政务公开工作纳入重要议事日程，明确一位负责同志分管政务公开工作，并安排专人从事政务公开具体工作。为便于掌握、调度部门政务公开工作进展情况，及时更新我区政务公开工作网络联系表，加强与各级各部门的联系沟通。为加强对我区政务公开工作人员的专业化培训,</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12</w:t>
      </w:r>
      <w:r>
        <w:rPr>
          <w:rFonts w:hint="eastAsia" w:ascii="仿宋_GB2312" w:hAnsi="微软雅黑" w:eastAsia="仿宋_GB2312" w:cs="仿宋_GB2312"/>
          <w:i w:val="0"/>
          <w:iCs w:val="0"/>
          <w:caps w:val="0"/>
          <w:color w:val="000000"/>
          <w:spacing w:val="0"/>
          <w:sz w:val="32"/>
          <w:szCs w:val="32"/>
          <w:bdr w:val="none" w:color="auto" w:sz="0" w:space="0"/>
          <w:shd w:val="clear" w:fill="FFFFFF"/>
        </w:rPr>
        <w:t>月初，组织全区各镇及部分部门单位政务公开工作人员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29</w:t>
      </w:r>
      <w:r>
        <w:rPr>
          <w:rFonts w:hint="eastAsia" w:ascii="仿宋_GB2312" w:hAnsi="微软雅黑" w:eastAsia="仿宋_GB2312" w:cs="仿宋_GB2312"/>
          <w:i w:val="0"/>
          <w:iCs w:val="0"/>
          <w:caps w:val="0"/>
          <w:color w:val="000000"/>
          <w:spacing w:val="0"/>
          <w:sz w:val="32"/>
          <w:szCs w:val="32"/>
          <w:bdr w:val="none" w:color="auto" w:sz="0" w:space="0"/>
          <w:shd w:val="clear" w:fill="FFFFFF"/>
        </w:rPr>
        <w:t>人开展政务公开专题培训班，为下一步我区政务公开工作的顺利开展打下良好基础。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jc w:val="left"/>
        <w:textAlignment w:val="auto"/>
        <w:rPr>
          <w:sz w:val="24"/>
          <w:szCs w:val="24"/>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5.回应社会关切及互动交流情况</w:t>
      </w:r>
      <w:r>
        <w:rPr>
          <w:rFonts w:hint="eastAsia" w:ascii="楷体" w:hAnsi="楷体" w:eastAsia="楷体" w:cs="楷体"/>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在管委会门户网站设立了政民互动栏目，放大民生热线服务品牌效应，强化疑难问题督办力度，不断拓宽热线服务功能。回应事件数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27</w:t>
      </w:r>
      <w:r>
        <w:rPr>
          <w:rFonts w:hint="eastAsia" w:ascii="仿宋_GB2312" w:hAnsi="微软雅黑" w:eastAsia="仿宋_GB2312" w:cs="仿宋_GB2312"/>
          <w:i w:val="0"/>
          <w:iCs w:val="0"/>
          <w:caps w:val="0"/>
          <w:color w:val="000000"/>
          <w:spacing w:val="0"/>
          <w:sz w:val="32"/>
          <w:szCs w:val="32"/>
          <w:bdr w:val="none" w:color="auto" w:sz="0" w:space="0"/>
          <w:shd w:val="clear" w:fill="FFFFFF"/>
        </w:rPr>
        <w:t>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jc w:val="left"/>
        <w:textAlignment w:val="auto"/>
        <w:rPr>
          <w:sz w:val="24"/>
          <w:szCs w:val="24"/>
        </w:rPr>
      </w:pPr>
      <w:r>
        <w:rPr>
          <w:rFonts w:hint="eastAsia" w:ascii="楷体" w:hAnsi="楷体" w:eastAsia="楷体" w:cs="楷体"/>
          <w:i w:val="0"/>
          <w:iCs w:val="0"/>
          <w:caps w:val="0"/>
          <w:color w:val="000000"/>
          <w:spacing w:val="0"/>
          <w:sz w:val="32"/>
          <w:szCs w:val="32"/>
          <w:bdr w:val="none" w:color="auto" w:sz="0" w:space="0"/>
          <w:shd w:val="clear" w:fill="FFFFFF"/>
        </w:rPr>
        <w:t>6</w:t>
      </w:r>
      <w:r>
        <w:rPr>
          <w:rFonts w:hint="eastAsia" w:ascii="楷体_GB2312" w:hAnsi="微软雅黑" w:eastAsia="楷体_GB2312" w:cs="楷体_GB2312"/>
          <w:i w:val="0"/>
          <w:iCs w:val="0"/>
          <w:caps w:val="0"/>
          <w:color w:val="000000"/>
          <w:spacing w:val="0"/>
          <w:sz w:val="32"/>
          <w:szCs w:val="32"/>
          <w:bdr w:val="none" w:color="auto" w:sz="0" w:space="0"/>
          <w:shd w:val="clear" w:fill="FFFFFF"/>
        </w:rPr>
        <w:t>.经开区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2020</w:t>
      </w:r>
      <w:r>
        <w:rPr>
          <w:rFonts w:hint="eastAsia" w:ascii="楷体_GB2312" w:hAnsi="微软雅黑" w:eastAsia="楷体_GB2312" w:cs="楷体_GB2312"/>
          <w:i w:val="0"/>
          <w:iCs w:val="0"/>
          <w:caps w:val="0"/>
          <w:color w:val="000000"/>
          <w:spacing w:val="0"/>
          <w:sz w:val="32"/>
          <w:szCs w:val="32"/>
          <w:bdr w:val="none" w:color="auto" w:sz="0" w:space="0"/>
          <w:shd w:val="clear" w:fill="FFFFFF"/>
        </w:rPr>
        <w:t>年政务公开工作方案落实情况</w:t>
      </w:r>
      <w:r>
        <w:rPr>
          <w:rFonts w:hint="eastAsia" w:ascii="楷体" w:hAnsi="楷体" w:eastAsia="楷体" w:cs="楷体"/>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按照区办公室工作方案任务分工，抓好各项工作落实。将政务公开工作作为定量考核指标纳入</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2020</w:t>
      </w:r>
      <w:r>
        <w:rPr>
          <w:rFonts w:hint="eastAsia" w:ascii="仿宋_GB2312" w:hAnsi="微软雅黑" w:eastAsia="仿宋_GB2312" w:cs="仿宋_GB2312"/>
          <w:i w:val="0"/>
          <w:iCs w:val="0"/>
          <w:caps w:val="0"/>
          <w:color w:val="000000"/>
          <w:spacing w:val="0"/>
          <w:sz w:val="32"/>
          <w:szCs w:val="32"/>
          <w:bdr w:val="none" w:color="auto" w:sz="0" w:space="0"/>
          <w:shd w:val="clear" w:fill="FFFFFF"/>
        </w:rPr>
        <w:t>年度全区经济社会综合考核指标，权重提高到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微软雅黑" w:eastAsia="仿宋_GB2312" w:cs="仿宋_GB2312"/>
          <w:i w:val="0"/>
          <w:iCs w:val="0"/>
          <w:caps w:val="0"/>
          <w:color w:val="000000"/>
          <w:spacing w:val="0"/>
          <w:sz w:val="32"/>
          <w:szCs w:val="32"/>
          <w:bdr w:val="none" w:color="auto" w:sz="0" w:space="0"/>
          <w:shd w:val="clear" w:fill="FFFFFF"/>
        </w:rPr>
        <w:t>%。考核实行月督查，季通报，提高了各部门单位对政务公开工作的重视程度，有效推动了我区政务公开工作进一步制度化、规范化。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jc w:val="left"/>
        <w:textAlignment w:val="auto"/>
        <w:rPr>
          <w:sz w:val="24"/>
          <w:szCs w:val="24"/>
        </w:rPr>
      </w:pPr>
      <w:r>
        <w:rPr>
          <w:rFonts w:hint="eastAsia" w:ascii="黑体" w:hAnsi="宋体" w:eastAsia="黑体" w:cs="黑体"/>
          <w:i w:val="0"/>
          <w:iCs w:val="0"/>
          <w:caps w:val="0"/>
          <w:color w:val="000000"/>
          <w:spacing w:val="0"/>
          <w:sz w:val="32"/>
          <w:szCs w:val="32"/>
          <w:bdr w:val="none" w:color="auto" w:sz="0" w:space="0"/>
          <w:shd w:val="clear" w:fill="FFFFFF"/>
        </w:rPr>
        <w:t>二、主动公开政府信息情况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jc w:val="left"/>
        <w:textAlignment w:val="auto"/>
        <w:rPr>
          <w:rFonts w:hint="eastAsia" w:ascii="微软雅黑" w:hAnsi="微软雅黑" w:eastAsia="微软雅黑" w:cs="微软雅黑"/>
          <w:i w:val="0"/>
          <w:iCs w:val="0"/>
          <w:caps w:val="0"/>
          <w:color w:val="000000"/>
          <w:spacing w:val="0"/>
          <w:sz w:val="27"/>
          <w:szCs w:val="27"/>
          <w:bdr w:val="none" w:color="auto" w:sz="0" w:space="0"/>
          <w:shd w:val="clear" w:fill="FFFFFF"/>
        </w:rPr>
      </w:pPr>
      <w:r>
        <w:rPr>
          <w:rFonts w:ascii="微软雅黑" w:hAnsi="微软雅黑" w:eastAsia="微软雅黑" w:cs="微软雅黑"/>
          <w:i w:val="0"/>
          <w:iCs w:val="0"/>
          <w:caps w:val="0"/>
          <w:color w:val="000000"/>
          <w:spacing w:val="0"/>
          <w:sz w:val="27"/>
          <w:szCs w:val="27"/>
          <w:bdr w:val="none" w:color="auto" w:sz="0" w:space="0"/>
          <w:shd w:val="clear" w:fill="FFFFFF"/>
        </w:rPr>
        <w:t> </w:t>
      </w:r>
    </w:p>
    <w:tbl>
      <w:tblPr>
        <w:tblStyle w:val="3"/>
        <w:tblW w:w="9957" w:type="dxa"/>
        <w:jc w:val="center"/>
        <w:tblLayout w:type="autofit"/>
        <w:tblCellMar>
          <w:top w:w="0" w:type="dxa"/>
          <w:left w:w="0" w:type="dxa"/>
          <w:bottom w:w="0" w:type="dxa"/>
          <w:right w:w="0" w:type="dxa"/>
        </w:tblCellMar>
      </w:tblPr>
      <w:tblGrid>
        <w:gridCol w:w="3207"/>
        <w:gridCol w:w="2649"/>
        <w:gridCol w:w="2709"/>
        <w:gridCol w:w="1392"/>
      </w:tblGrid>
      <w:tr>
        <w:tblPrEx>
          <w:tblCellMar>
            <w:top w:w="0" w:type="dxa"/>
            <w:left w:w="0" w:type="dxa"/>
            <w:bottom w:w="0" w:type="dxa"/>
            <w:right w:w="0" w:type="dxa"/>
          </w:tblCellMar>
        </w:tblPrEx>
        <w:trPr>
          <w:trHeight w:val="473" w:hRule="atLeast"/>
          <w:jc w:val="center"/>
        </w:trPr>
        <w:tc>
          <w:tcPr>
            <w:tcW w:w="9957"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第二十条第（一）项</w:t>
            </w:r>
          </w:p>
        </w:tc>
      </w:tr>
      <w:tr>
        <w:tblPrEx>
          <w:tblCellMar>
            <w:top w:w="0" w:type="dxa"/>
            <w:left w:w="0" w:type="dxa"/>
            <w:bottom w:w="0" w:type="dxa"/>
            <w:right w:w="0" w:type="dxa"/>
          </w:tblCellMar>
        </w:tblPrEx>
        <w:trPr>
          <w:trHeight w:val="550"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本年新制作数量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本年新</w:t>
            </w:r>
          </w:p>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公开数量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对外公开</w:t>
            </w:r>
          </w:p>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总数量</w:t>
            </w:r>
          </w:p>
        </w:tc>
      </w:tr>
      <w:tr>
        <w:tblPrEx>
          <w:tblCellMar>
            <w:top w:w="0" w:type="dxa"/>
            <w:left w:w="0" w:type="dxa"/>
            <w:bottom w:w="0" w:type="dxa"/>
            <w:right w:w="0" w:type="dxa"/>
          </w:tblCellMar>
        </w:tblPrEx>
        <w:trPr>
          <w:trHeight w:val="55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规章</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553"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规范性文件</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1</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1</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1</w:t>
            </w:r>
          </w:p>
        </w:tc>
      </w:tr>
      <w:tr>
        <w:tblPrEx>
          <w:tblCellMar>
            <w:top w:w="0" w:type="dxa"/>
            <w:left w:w="0" w:type="dxa"/>
            <w:bottom w:w="0" w:type="dxa"/>
            <w:right w:w="0" w:type="dxa"/>
          </w:tblCellMar>
        </w:tblPrEx>
        <w:trPr>
          <w:trHeight w:val="539"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第二十条第（五）项</w:t>
            </w:r>
          </w:p>
        </w:tc>
      </w:tr>
      <w:tr>
        <w:tblPrEx>
          <w:tblCellMar>
            <w:top w:w="0" w:type="dxa"/>
            <w:left w:w="0" w:type="dxa"/>
            <w:bottom w:w="0" w:type="dxa"/>
            <w:right w:w="0" w:type="dxa"/>
          </w:tblCellMar>
        </w:tblPrEx>
        <w:trPr>
          <w:trHeight w:val="623"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处理决定数量</w:t>
            </w:r>
          </w:p>
        </w:tc>
      </w:tr>
      <w:tr>
        <w:tblPrEx>
          <w:tblCellMar>
            <w:top w:w="0" w:type="dxa"/>
            <w:left w:w="0" w:type="dxa"/>
            <w:bottom w:w="0" w:type="dxa"/>
            <w:right w:w="0" w:type="dxa"/>
          </w:tblCellMar>
        </w:tblPrEx>
        <w:trPr>
          <w:trHeight w:val="544"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行政许可</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536"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其他对外管理服务事项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08"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第二十条第（六）项</w:t>
            </w:r>
          </w:p>
        </w:tc>
      </w:tr>
      <w:tr>
        <w:tblPrEx>
          <w:tblCellMar>
            <w:top w:w="0" w:type="dxa"/>
            <w:left w:w="0" w:type="dxa"/>
            <w:bottom w:w="0" w:type="dxa"/>
            <w:right w:w="0" w:type="dxa"/>
          </w:tblCellMar>
        </w:tblPrEx>
        <w:trPr>
          <w:trHeight w:val="481"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处理决定数量</w:t>
            </w:r>
          </w:p>
        </w:tc>
      </w:tr>
      <w:tr>
        <w:tblPrEx>
          <w:tblCellMar>
            <w:top w:w="0" w:type="dxa"/>
            <w:left w:w="0" w:type="dxa"/>
            <w:bottom w:w="0" w:type="dxa"/>
            <w:right w:w="0"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行政处罚</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行政强制</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71"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第二十条第（八）项</w:t>
            </w:r>
          </w:p>
        </w:tc>
      </w:tr>
      <w:tr>
        <w:tblPrEx>
          <w:tblCellMar>
            <w:top w:w="0" w:type="dxa"/>
            <w:left w:w="0" w:type="dxa"/>
            <w:bottom w:w="0" w:type="dxa"/>
            <w:right w:w="0"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r>
      <w:tr>
        <w:tblPrEx>
          <w:tblCellMar>
            <w:top w:w="0" w:type="dxa"/>
            <w:left w:w="0" w:type="dxa"/>
            <w:bottom w:w="0" w:type="dxa"/>
            <w:right w:w="0"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行政事业性收费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87"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第二十条第（九）项</w:t>
            </w:r>
          </w:p>
        </w:tc>
      </w:tr>
      <w:tr>
        <w:tblPrEx>
          <w:tblCellMar>
            <w:top w:w="0" w:type="dxa"/>
            <w:left w:w="0" w:type="dxa"/>
            <w:bottom w:w="0" w:type="dxa"/>
            <w:right w:w="0" w:type="dxa"/>
          </w:tblCellMar>
        </w:tblPrEx>
        <w:trPr>
          <w:trHeight w:val="40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采购项目数量</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采购总金额</w:t>
            </w:r>
          </w:p>
        </w:tc>
      </w:tr>
      <w:tr>
        <w:tblPrEx>
          <w:tblCellMar>
            <w:top w:w="0" w:type="dxa"/>
            <w:left w:w="0" w:type="dxa"/>
            <w:bottom w:w="0" w:type="dxa"/>
            <w:right w:w="0" w:type="dxa"/>
          </w:tblCellMar>
        </w:tblPrEx>
        <w:trPr>
          <w:trHeight w:val="42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政府集中采购</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rPr>
              <w:t>万</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jc w:val="left"/>
        <w:textAlignment w:val="auto"/>
        <w:rPr>
          <w:sz w:val="24"/>
          <w:szCs w:val="24"/>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804" w:leftChars="0" w:right="0" w:firstLine="0" w:firstLineChars="0"/>
        <w:textAlignment w:val="auto"/>
        <w:rPr>
          <w:rFonts w:hint="eastAsia" w:ascii="黑体" w:hAnsi="宋体" w:eastAsia="黑体" w:cs="黑体"/>
          <w:i w:val="0"/>
          <w:iCs w:val="0"/>
          <w:caps w:val="0"/>
          <w:color w:val="000000"/>
          <w:spacing w:val="0"/>
          <w:sz w:val="32"/>
          <w:szCs w:val="32"/>
          <w:bdr w:val="none" w:color="auto" w:sz="0" w:space="0"/>
          <w:shd w:val="clear" w:fill="FFFFFF"/>
        </w:rPr>
      </w:pPr>
      <w:r>
        <w:rPr>
          <w:rFonts w:hint="eastAsia" w:ascii="黑体" w:hAnsi="宋体" w:eastAsia="黑体" w:cs="黑体"/>
          <w:i w:val="0"/>
          <w:iCs w:val="0"/>
          <w:caps w:val="0"/>
          <w:color w:val="000000"/>
          <w:spacing w:val="0"/>
          <w:sz w:val="32"/>
          <w:szCs w:val="32"/>
          <w:bdr w:val="none" w:color="auto" w:sz="0" w:space="0"/>
          <w:shd w:val="clear" w:fill="FFFFFF"/>
        </w:rPr>
        <w:t>收到和处理政府信息公开申请情况</w:t>
      </w:r>
    </w:p>
    <w:tbl>
      <w:tblPr>
        <w:tblStyle w:val="4"/>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（本列数据的勾稽关系为：第一项加第二项之和，等于第三项加第四项之和）</w:t>
            </w:r>
          </w:p>
        </w:tc>
        <w:tc>
          <w:tcPr>
            <w:tcW w:w="4961" w:type="dxa"/>
            <w:gridSpan w:val="7"/>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rFonts w:ascii="Times New Roman" w:hAnsi="Times New Roman" w:eastAsia="宋体" w:cs="Times New Roman"/>
                <w:kern w:val="0"/>
                <w:sz w:val="20"/>
                <w:szCs w:val="20"/>
              </w:rPr>
            </w:pPr>
          </w:p>
        </w:tc>
        <w:tc>
          <w:tcPr>
            <w:tcW w:w="567" w:type="dxa"/>
            <w:vMerge w:val="restart"/>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20"/>
                <w:szCs w:val="21"/>
              </w:rPr>
              <w:t>自然人</w:t>
            </w:r>
          </w:p>
        </w:tc>
        <w:tc>
          <w:tcPr>
            <w:tcW w:w="3544"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法人或其他组织</w:t>
            </w:r>
          </w:p>
        </w:tc>
        <w:tc>
          <w:tcPr>
            <w:tcW w:w="850" w:type="dxa"/>
            <w:vMerge w:val="restart"/>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rFonts w:ascii="Times New Roman" w:hAnsi="Times New Roman" w:eastAsia="宋体" w:cs="Times New Roman"/>
                <w:kern w:val="0"/>
                <w:sz w:val="20"/>
                <w:szCs w:val="20"/>
              </w:rPr>
            </w:pPr>
          </w:p>
        </w:tc>
        <w:tc>
          <w:tcPr>
            <w:tcW w:w="567" w:type="dxa"/>
            <w:vMerge w:val="continue"/>
          </w:tcPr>
          <w:p>
            <w:pPr>
              <w:rPr>
                <w:rFonts w:ascii="Times New Roman" w:hAnsi="Times New Roman" w:eastAsia="宋体" w:cs="Times New Roman"/>
                <w:kern w:val="0"/>
                <w:sz w:val="18"/>
                <w:szCs w:val="18"/>
              </w:rPr>
            </w:pP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商业企业</w:t>
            </w:r>
          </w:p>
        </w:tc>
        <w:tc>
          <w:tcPr>
            <w:tcW w:w="708"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科研机构</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社会公益组织</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法律服务机构</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w:t>
            </w:r>
          </w:p>
        </w:tc>
        <w:tc>
          <w:tcPr>
            <w:tcW w:w="850" w:type="dxa"/>
            <w:vMerge w:val="continue"/>
            <w:vAlign w:val="center"/>
          </w:tcPr>
          <w:p>
            <w:pP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rFonts w:ascii="Times New Roman" w:hAnsi="Times New Roman" w:eastAsia="宋体" w:cs="Times New Roman"/>
                <w:kern w:val="0"/>
                <w:sz w:val="20"/>
                <w:szCs w:val="20"/>
              </w:rPr>
            </w:pPr>
            <w:bookmarkStart w:id="0" w:name="_GoBack" w:colFirst="4" w:colLast="8"/>
            <w:r>
              <w:rPr>
                <w:rFonts w:hint="eastAsia" w:ascii="Times New Roman" w:hAnsi="Times New Roman" w:eastAsia="宋体" w:cs="Times New Roman"/>
                <w:kern w:val="0"/>
                <w:sz w:val="20"/>
                <w:szCs w:val="20"/>
              </w:rPr>
              <w:t>一、本年新收政府信息公开申请数量</w:t>
            </w:r>
          </w:p>
        </w:tc>
        <w:tc>
          <w:tcPr>
            <w:tcW w:w="567"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4</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4</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二、上年结转政府信息公开申请数量</w:t>
            </w:r>
          </w:p>
        </w:tc>
        <w:tc>
          <w:tcPr>
            <w:tcW w:w="567"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c>
          <w:tcPr>
            <w:tcW w:w="709" w:type="dxa"/>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w:t>
            </w:r>
          </w:p>
        </w:tc>
        <w:tc>
          <w:tcPr>
            <w:tcW w:w="708" w:type="dxa"/>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w:t>
            </w:r>
          </w:p>
        </w:tc>
        <w:tc>
          <w:tcPr>
            <w:tcW w:w="709" w:type="dxa"/>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w:t>
            </w:r>
          </w:p>
        </w:tc>
        <w:tc>
          <w:tcPr>
            <w:tcW w:w="709" w:type="dxa"/>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w:t>
            </w:r>
          </w:p>
        </w:tc>
        <w:tc>
          <w:tcPr>
            <w:tcW w:w="709" w:type="dxa"/>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w:t>
            </w: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三、本年度办理结果</w:t>
            </w:r>
          </w:p>
        </w:tc>
        <w:tc>
          <w:tcPr>
            <w:tcW w:w="4253" w:type="dxa"/>
            <w:gridSpan w:val="2"/>
          </w:tcPr>
          <w:p>
            <w:pPr>
              <w:rPr>
                <w:rFonts w:ascii="宋体" w:hAnsi="宋体" w:eastAsia="宋体" w:cs="Times New Roman"/>
                <w:kern w:val="0"/>
                <w:sz w:val="18"/>
                <w:szCs w:val="18"/>
              </w:rPr>
            </w:pPr>
            <w:r>
              <w:rPr>
                <w:rFonts w:hint="eastAsia" w:ascii="宋体" w:hAnsi="宋体" w:eastAsia="宋体" w:cs="Times New Roman"/>
                <w:kern w:val="0"/>
                <w:sz w:val="18"/>
                <w:szCs w:val="18"/>
              </w:rPr>
              <w:t>（一）予以公开</w:t>
            </w:r>
          </w:p>
        </w:tc>
        <w:tc>
          <w:tcPr>
            <w:tcW w:w="567"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4</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4253" w:type="dxa"/>
            <w:gridSpan w:val="2"/>
          </w:tcPr>
          <w:p>
            <w:pPr>
              <w:rPr>
                <w:rFonts w:ascii="宋体" w:hAnsi="宋体" w:eastAsia="宋体" w:cs="Times New Roman"/>
                <w:kern w:val="0"/>
                <w:sz w:val="18"/>
                <w:szCs w:val="18"/>
              </w:rPr>
            </w:pPr>
            <w:r>
              <w:rPr>
                <w:rFonts w:hint="eastAsia" w:ascii="宋体" w:hAnsi="宋体" w:eastAsia="宋体" w:cs="Times New Roman"/>
                <w:kern w:val="0"/>
                <w:sz w:val="18"/>
                <w:szCs w:val="18"/>
              </w:rPr>
              <w:t>（二）部分公开（区分处理的，只计这一情形，不计其他情形）</w:t>
            </w:r>
          </w:p>
        </w:tc>
        <w:tc>
          <w:tcPr>
            <w:tcW w:w="567"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宋体" w:hAnsi="宋体" w:eastAsia="宋体" w:cs="Times New Roman"/>
                <w:kern w:val="0"/>
                <w:sz w:val="18"/>
                <w:szCs w:val="18"/>
              </w:rPr>
            </w:pPr>
            <w:r>
              <w:rPr>
                <w:rFonts w:hint="eastAsia" w:ascii="宋体" w:hAnsi="宋体" w:eastAsia="宋体" w:cs="Times New Roman"/>
                <w:kern w:val="0"/>
                <w:sz w:val="18"/>
                <w:szCs w:val="18"/>
              </w:rPr>
              <w:t>（三）不予公开</w:t>
            </w:r>
          </w:p>
        </w:tc>
        <w:tc>
          <w:tcPr>
            <w:tcW w:w="2693" w:type="dxa"/>
          </w:tcPr>
          <w:p>
            <w:pPr>
              <w:rPr>
                <w:rFonts w:ascii="宋体" w:hAnsi="宋体" w:eastAsia="宋体" w:cs="Times New Roman"/>
                <w:kern w:val="0"/>
                <w:sz w:val="18"/>
                <w:szCs w:val="18"/>
              </w:rPr>
            </w:pPr>
            <w:r>
              <w:rPr>
                <w:rFonts w:ascii="宋体" w:hAnsi="宋体" w:eastAsia="宋体" w:cs="Times New Roman"/>
                <w:kern w:val="0"/>
                <w:sz w:val="18"/>
                <w:szCs w:val="18"/>
              </w:rPr>
              <w:t>1</w:t>
            </w:r>
            <w:r>
              <w:rPr>
                <w:rFonts w:hint="eastAsia" w:ascii="宋体" w:hAnsi="宋体" w:eastAsia="宋体" w:cs="Times New Roman"/>
                <w:kern w:val="0"/>
                <w:sz w:val="18"/>
                <w:szCs w:val="18"/>
              </w:rPr>
              <w:t>．属于国家秘密</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宋体" w:hAnsi="宋体"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2．其他法律行政法规禁止公开</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3．危及“三安全一稳定”</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4．保护第三方合法权益</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5．属于三类内部事务信息</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6．属于四类过程性信息</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7．属于行政执法案卷</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8．属于行政查询事项</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（四）无法提供</w:t>
            </w: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1．本机关不掌握相关政府信息</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2．没有现成信息需要另行制作</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3．补正后申请内容仍不明确</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（五）</w:t>
            </w:r>
            <w:r>
              <w:rPr>
                <w:rFonts w:hint="eastAsia" w:ascii="宋体" w:hAnsi="宋体" w:eastAsia="宋体" w:cs="Times New Roman"/>
                <w:kern w:val="0"/>
                <w:sz w:val="18"/>
                <w:szCs w:val="18"/>
              </w:rPr>
              <w:t>不予处理</w:t>
            </w: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1．信访举报投诉类申请</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2．重复申请</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ascii="宋体" w:hAnsi="宋体" w:eastAsia="宋体" w:cs="Times New Roman"/>
                <w:kern w:val="0"/>
                <w:sz w:val="18"/>
                <w:szCs w:val="18"/>
              </w:rPr>
              <w:t>3</w:t>
            </w:r>
            <w:r>
              <w:rPr>
                <w:rFonts w:hint="eastAsia" w:ascii="宋体" w:hAnsi="宋体" w:eastAsia="宋体" w:cs="Times New Roman"/>
                <w:kern w:val="0"/>
                <w:sz w:val="18"/>
                <w:szCs w:val="18"/>
              </w:rPr>
              <w:t>．要求提供公开出版物</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4．无正当理由大量反复申请</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ind w:left="180" w:hanging="180" w:hangingChars="100"/>
              <w:rPr>
                <w:rFonts w:ascii="宋体" w:hAnsi="宋体" w:eastAsia="宋体" w:cs="Times New Roman"/>
                <w:kern w:val="0"/>
                <w:sz w:val="18"/>
                <w:szCs w:val="18"/>
              </w:rPr>
            </w:pPr>
            <w:r>
              <w:rPr>
                <w:rFonts w:hint="eastAsia" w:ascii="宋体" w:hAnsi="宋体" w:eastAsia="宋体" w:cs="Times New Roman"/>
                <w:kern w:val="0"/>
                <w:sz w:val="18"/>
                <w:szCs w:val="18"/>
              </w:rPr>
              <w:t>5．要求行政机关确认或重新出具已获取信息</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rPr>
                <w:rFonts w:ascii="Times New Roman" w:hAnsi="Times New Roman" w:eastAsia="宋体" w:cs="Times New Roman"/>
                <w:kern w:val="0"/>
                <w:sz w:val="20"/>
                <w:szCs w:val="20"/>
              </w:rPr>
            </w:pPr>
          </w:p>
        </w:tc>
        <w:tc>
          <w:tcPr>
            <w:tcW w:w="4253" w:type="dxa"/>
            <w:gridSpan w:val="2"/>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（六）其他处理</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rPr>
                <w:rFonts w:ascii="Times New Roman" w:hAnsi="Times New Roman" w:eastAsia="宋体" w:cs="Times New Roman"/>
                <w:kern w:val="0"/>
                <w:sz w:val="20"/>
                <w:szCs w:val="20"/>
              </w:rPr>
            </w:pPr>
          </w:p>
        </w:tc>
        <w:tc>
          <w:tcPr>
            <w:tcW w:w="4253" w:type="dxa"/>
            <w:gridSpan w:val="2"/>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（七）总计</w:t>
            </w:r>
          </w:p>
        </w:tc>
        <w:tc>
          <w:tcPr>
            <w:tcW w:w="567" w:type="dxa"/>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四、结转下年度继续办理</w:t>
            </w:r>
          </w:p>
        </w:tc>
        <w:tc>
          <w:tcPr>
            <w:tcW w:w="567"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8"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709"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rPr>
              <w:t>0</w:t>
            </w:r>
          </w:p>
        </w:tc>
        <w:tc>
          <w:tcPr>
            <w:tcW w:w="850" w:type="dxa"/>
            <w:vAlign w:val="top"/>
          </w:tcPr>
          <w:p>
            <w:pPr>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0</w:t>
            </w:r>
          </w:p>
        </w:tc>
      </w:tr>
    </w:tbl>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rightChars="0"/>
        <w:textAlignment w:val="auto"/>
        <w:rPr>
          <w:rFonts w:hint="eastAsia" w:ascii="黑体" w:hAnsi="宋体" w:eastAsia="黑体" w:cs="黑体"/>
          <w:i w:val="0"/>
          <w:iCs w:val="0"/>
          <w:caps w:val="0"/>
          <w:color w:val="000000"/>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jc w:val="center"/>
        <w:textAlignment w:val="auto"/>
        <w:rPr>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jc w:val="left"/>
        <w:textAlignment w:val="auto"/>
        <w:rPr>
          <w:sz w:val="24"/>
          <w:szCs w:val="24"/>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2"/>
          <w:szCs w:val="32"/>
          <w:bdr w:val="none" w:color="auto" w:sz="0" w:space="0"/>
          <w:shd w:val="clear" w:fill="FFFFFF"/>
        </w:rPr>
        <w:t>四．政府信息公开行政复议、行政诉讼情况</w:t>
      </w:r>
    </w:p>
    <w:tbl>
      <w:tblPr>
        <w:tblStyle w:val="4"/>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680"/>
        <w:gridCol w:w="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行政复议</w:t>
            </w:r>
          </w:p>
        </w:tc>
        <w:tc>
          <w:tcPr>
            <w:tcW w:w="6804" w:type="dxa"/>
            <w:gridSpan w:val="10"/>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708"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09"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682"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594"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未经复议直接起诉</w:t>
            </w:r>
          </w:p>
        </w:tc>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rFonts w:ascii="Times New Roman" w:hAnsi="Times New Roman" w:eastAsia="宋体" w:cs="Times New Roman"/>
                <w:kern w:val="0"/>
                <w:sz w:val="18"/>
                <w:szCs w:val="18"/>
              </w:rPr>
            </w:pPr>
          </w:p>
        </w:tc>
        <w:tc>
          <w:tcPr>
            <w:tcW w:w="708" w:type="dxa"/>
            <w:vMerge w:val="continue"/>
            <w:vAlign w:val="center"/>
          </w:tcPr>
          <w:p>
            <w:pPr>
              <w:jc w:val="center"/>
              <w:rPr>
                <w:rFonts w:ascii="Times New Roman" w:hAnsi="Times New Roman" w:eastAsia="宋体" w:cs="Times New Roman"/>
                <w:kern w:val="0"/>
                <w:sz w:val="18"/>
                <w:szCs w:val="18"/>
              </w:rPr>
            </w:pPr>
          </w:p>
        </w:tc>
        <w:tc>
          <w:tcPr>
            <w:tcW w:w="709" w:type="dxa"/>
            <w:vMerge w:val="continue"/>
            <w:vAlign w:val="center"/>
          </w:tcPr>
          <w:p>
            <w:pPr>
              <w:jc w:val="center"/>
              <w:rPr>
                <w:rFonts w:ascii="Times New Roman" w:hAnsi="Times New Roman" w:eastAsia="宋体" w:cs="Times New Roman"/>
                <w:kern w:val="0"/>
                <w:sz w:val="18"/>
                <w:szCs w:val="18"/>
              </w:rPr>
            </w:pPr>
          </w:p>
        </w:tc>
        <w:tc>
          <w:tcPr>
            <w:tcW w:w="682" w:type="dxa"/>
            <w:vMerge w:val="continue"/>
            <w:vAlign w:val="center"/>
          </w:tcPr>
          <w:p>
            <w:pPr>
              <w:jc w:val="center"/>
              <w:rPr>
                <w:rFonts w:ascii="Times New Roman" w:hAnsi="Times New Roman" w:eastAsia="宋体" w:cs="Times New Roman"/>
                <w:kern w:val="0"/>
                <w:sz w:val="20"/>
                <w:szCs w:val="21"/>
              </w:rPr>
            </w:pPr>
          </w:p>
        </w:tc>
        <w:tc>
          <w:tcPr>
            <w:tcW w:w="594" w:type="dxa"/>
            <w:vMerge w:val="continue"/>
            <w:vAlign w:val="center"/>
          </w:tcPr>
          <w:p>
            <w:pPr>
              <w:jc w:val="center"/>
              <w:rPr>
                <w:rFonts w:ascii="Times New Roman" w:hAnsi="Times New Roman" w:eastAsia="宋体" w:cs="Times New Roman"/>
                <w:kern w:val="0"/>
                <w:sz w:val="20"/>
                <w:szCs w:val="21"/>
              </w:rPr>
            </w:pP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70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56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c>
          <w:tcPr>
            <w:tcW w:w="851"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65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6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68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454"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708"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709"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682"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594"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9"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8"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567"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c>
          <w:tcPr>
            <w:tcW w:w="851"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650"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67"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680"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454"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jc w:val="center"/>
        <w:textAlignment w:val="auto"/>
        <w:rPr>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jc w:val="left"/>
        <w:textAlignment w:val="auto"/>
        <w:rPr>
          <w:sz w:val="24"/>
          <w:szCs w:val="24"/>
        </w:rPr>
      </w:pPr>
      <w:r>
        <w:rPr>
          <w:rFonts w:hint="eastAsia" w:ascii="黑体" w:hAnsi="宋体" w:eastAsia="黑体" w:cs="黑体"/>
          <w:i w:val="0"/>
          <w:iCs w:val="0"/>
          <w:caps w:val="0"/>
          <w:color w:val="000000"/>
          <w:spacing w:val="0"/>
          <w:sz w:val="32"/>
          <w:szCs w:val="32"/>
          <w:bdr w:val="none" w:color="auto" w:sz="0" w:space="0"/>
          <w:shd w:val="clear" w:fill="FFFFFF"/>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jc w:val="left"/>
        <w:textAlignment w:val="auto"/>
        <w:rPr>
          <w:sz w:val="24"/>
          <w:szCs w:val="24"/>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2020</w:t>
      </w:r>
      <w:r>
        <w:rPr>
          <w:rFonts w:hint="eastAsia" w:ascii="仿宋_GB2312" w:hAnsi="微软雅黑" w:eastAsia="仿宋_GB2312" w:cs="仿宋_GB2312"/>
          <w:i w:val="0"/>
          <w:iCs w:val="0"/>
          <w:caps w:val="0"/>
          <w:color w:val="000000"/>
          <w:spacing w:val="0"/>
          <w:sz w:val="32"/>
          <w:szCs w:val="32"/>
          <w:bdr w:val="none" w:color="auto" w:sz="0" w:space="0"/>
          <w:shd w:val="clear" w:fill="FFFFFF"/>
        </w:rPr>
        <w:t>年，管委会办公室政务公开工作虽然取得了一定成效，但与社会公众对政府信息公开需求还存在一定的差距,主要表现在：主要是职能部门信息公开的主动性有待进一步提升，依法答复社会公众信息公开申请的能力有待进一步提高，对公开信息的解读和回应有待进一步加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1"/>
        <w:jc w:val="left"/>
        <w:textAlignment w:val="auto"/>
        <w:rPr>
          <w:rFonts w:hint="eastAsia" w:ascii="仿宋_GB2312" w:hAnsi="微软雅黑" w:eastAsia="仿宋_GB2312" w:cs="仿宋_GB2312"/>
          <w:i w:val="0"/>
          <w:iCs w:val="0"/>
          <w:caps w:val="0"/>
          <w:color w:val="000000"/>
          <w:spacing w:val="0"/>
          <w:sz w:val="32"/>
          <w:szCs w:val="32"/>
          <w:bdr w:val="none" w:color="auto" w:sz="0" w:space="0"/>
          <w:shd w:val="clear" w:fill="FFFFFF"/>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采取措施：一是切实增强公开意识与信息解读力度。对于主动公开范围的事项清单要及时主动公开 ，并加强培训指导，提升依法答复社会公众信息公开申请的能力。进一步强化政策信息的发布、解读与回应，回应群众关切的问题。二是持续推进信息公开信息化平台建设。在现有公开渠道的基础上，结合新的信息传播规律和特点，进一步加强信息公开的信息化平台建设。三是加强对“互联网+”、微博、微信等新技术、新媒体的学习和应用。推进互联网和政府信息公开工作的深度融合，运用网络客户端、微博、微信主动及时向社会群众公开热点信息，推动本单位政府信息公开工作科学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1"/>
        <w:jc w:val="left"/>
        <w:textAlignment w:val="auto"/>
        <w:rPr>
          <w:sz w:val="24"/>
          <w:szCs w:val="24"/>
        </w:rPr>
      </w:pPr>
      <w:r>
        <w:rPr>
          <w:rFonts w:hint="eastAsia" w:ascii="黑体" w:hAnsi="宋体" w:eastAsia="黑体" w:cs="黑体"/>
          <w:i w:val="0"/>
          <w:iCs w:val="0"/>
          <w:caps w:val="0"/>
          <w:color w:val="000000"/>
          <w:spacing w:val="0"/>
          <w:sz w:val="32"/>
          <w:szCs w:val="32"/>
          <w:bdr w:val="none" w:color="auto" w:sz="0" w:space="0"/>
          <w:shd w:val="clear" w:fill="FFFFFF"/>
        </w:rPr>
        <w:t>六、需要报告的其他事项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1"/>
        <w:jc w:val="left"/>
        <w:textAlignment w:val="auto"/>
        <w:rPr>
          <w:sz w:val="24"/>
          <w:szCs w:val="24"/>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7D0F5"/>
    <w:multiLevelType w:val="singleLevel"/>
    <w:tmpl w:val="EB77D0F5"/>
    <w:lvl w:ilvl="0" w:tentative="0">
      <w:start w:val="3"/>
      <w:numFmt w:val="chineseCounting"/>
      <w:suff w:val="nothing"/>
      <w:lvlText w:val="%1、"/>
      <w:lvlJc w:val="left"/>
      <w:pPr>
        <w:ind w:left="804"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C2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2021-05-18T09:39:18Z</dcterms:created>
  <dc:creator>Lenovo0001</dc:creator>
  <cp:lastModifiedBy>MrBai</cp:lastModifiedBy>
  <dcterms:modified xsi:type="dcterms:W3CDTF">2021-05-18T09:48:41Z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9201F68FB0E4437B92AB54D893DFBF3D</vt:lpwstr>
  </property>
</Properties>
</file>