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20" w:beforeAutospacing="0" w:after="390" w:afterAutospacing="0"/>
        <w:ind w:left="0" w:right="0" w:firstLine="0"/>
        <w:jc w:val="center"/>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t>淄博经济开发区产业发展局2021年政府信息公开工作年度报告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报告是根据新修订的《中华人民共和国政府信息公开条例》、《国务院办公厅政府信息与政务公开办公室关于政府信息公开工作年度报告有关事项的通知》（国办公开办函〔</w:t>
      </w:r>
      <w:r>
        <w:rPr>
          <w:rFonts w:hint="default" w:ascii="Times New Roman" w:hAnsi="Times New Roman" w:eastAsia="仿宋_GB2312" w:cs="Times New Roman"/>
          <w:i w:val="0"/>
          <w:iCs w:val="0"/>
          <w:caps w:val="0"/>
          <w:color w:val="000000"/>
          <w:spacing w:val="0"/>
          <w:sz w:val="32"/>
          <w:szCs w:val="32"/>
        </w:rPr>
        <w:t>2019</w:t>
      </w:r>
      <w:r>
        <w:rPr>
          <w:rFonts w:hint="eastAsia" w:ascii="仿宋_GB2312" w:hAnsi="微软雅黑" w:eastAsia="仿宋_GB2312" w:cs="仿宋_GB2312"/>
          <w:i w:val="0"/>
          <w:iCs w:val="0"/>
          <w:caps w:val="0"/>
          <w:color w:val="000000"/>
          <w:spacing w:val="0"/>
          <w:sz w:val="32"/>
          <w:szCs w:val="32"/>
        </w:rPr>
        <w:t>〕</w:t>
      </w:r>
      <w:r>
        <w:rPr>
          <w:rFonts w:hint="default" w:ascii="Times New Roman" w:hAnsi="Times New Roman" w:eastAsia="仿宋_GB2312" w:cs="Times New Roman"/>
          <w:i w:val="0"/>
          <w:iCs w:val="0"/>
          <w:caps w:val="0"/>
          <w:color w:val="000000"/>
          <w:spacing w:val="0"/>
          <w:sz w:val="32"/>
          <w:szCs w:val="32"/>
        </w:rPr>
        <w:t>60</w:t>
      </w:r>
      <w:r>
        <w:rPr>
          <w:rFonts w:hint="eastAsia" w:ascii="仿宋_GB2312" w:hAnsi="微软雅黑" w:eastAsia="仿宋_GB2312" w:cs="仿宋_GB2312"/>
          <w:i w:val="0"/>
          <w:iCs w:val="0"/>
          <w:caps w:val="0"/>
          <w:color w:val="000000"/>
          <w:spacing w:val="0"/>
          <w:sz w:val="32"/>
          <w:szCs w:val="32"/>
        </w:rPr>
        <w:t>号）和省、市有关工作要求，编制并向社会公开。本报告所列数据的统计时限自</w:t>
      </w:r>
      <w:r>
        <w:rPr>
          <w:rFonts w:hint="default" w:ascii="Times New Roman" w:hAnsi="Times New Roman" w:eastAsia="仿宋_GB2312" w:cs="Times New Roman"/>
          <w:i w:val="0"/>
          <w:iCs w:val="0"/>
          <w:caps w:val="0"/>
          <w:color w:val="000000"/>
          <w:spacing w:val="0"/>
          <w:sz w:val="32"/>
          <w:szCs w:val="32"/>
        </w:rPr>
        <w:t>2021</w:t>
      </w:r>
      <w:r>
        <w:rPr>
          <w:rFonts w:hint="eastAsia" w:ascii="仿宋_GB2312" w:hAnsi="微软雅黑" w:eastAsia="仿宋_GB2312" w:cs="仿宋_GB2312"/>
          <w:i w:val="0"/>
          <w:iCs w:val="0"/>
          <w:caps w:val="0"/>
          <w:color w:val="000000"/>
          <w:spacing w:val="0"/>
          <w:sz w:val="32"/>
          <w:szCs w:val="32"/>
        </w:rPr>
        <w:t>年</w:t>
      </w:r>
      <w:r>
        <w:rPr>
          <w:rFonts w:hint="eastAsia" w:ascii="Times New Roman" w:hAnsi="Times New Roman" w:eastAsia="仿宋_GB2312" w:cs="Times New Roman"/>
          <w:i w:val="0"/>
          <w:iCs w:val="0"/>
          <w:caps w:val="0"/>
          <w:color w:val="000000"/>
          <w:spacing w:val="0"/>
          <w:sz w:val="32"/>
          <w:szCs w:val="32"/>
        </w:rPr>
        <w:t>1</w:t>
      </w:r>
      <w:r>
        <w:rPr>
          <w:rFonts w:hint="eastAsia" w:ascii="仿宋_GB2312" w:hAnsi="微软雅黑" w:eastAsia="仿宋_GB2312" w:cs="仿宋_GB2312"/>
          <w:i w:val="0"/>
          <w:iCs w:val="0"/>
          <w:caps w:val="0"/>
          <w:color w:val="000000"/>
          <w:spacing w:val="0"/>
          <w:sz w:val="32"/>
          <w:szCs w:val="32"/>
        </w:rPr>
        <w:t>月</w:t>
      </w:r>
      <w:r>
        <w:rPr>
          <w:rFonts w:hint="eastAsia" w:ascii="Times New Roman" w:hAnsi="Times New Roman" w:eastAsia="仿宋_GB2312" w:cs="Times New Roman"/>
          <w:i w:val="0"/>
          <w:iCs w:val="0"/>
          <w:caps w:val="0"/>
          <w:color w:val="000000"/>
          <w:spacing w:val="0"/>
          <w:sz w:val="32"/>
          <w:szCs w:val="32"/>
        </w:rPr>
        <w:t>1</w:t>
      </w:r>
      <w:r>
        <w:rPr>
          <w:rFonts w:hint="eastAsia" w:ascii="仿宋_GB2312" w:hAnsi="微软雅黑" w:eastAsia="仿宋_GB2312" w:cs="仿宋_GB2312"/>
          <w:i w:val="0"/>
          <w:iCs w:val="0"/>
          <w:caps w:val="0"/>
          <w:color w:val="000000"/>
          <w:spacing w:val="0"/>
          <w:sz w:val="32"/>
          <w:szCs w:val="32"/>
        </w:rPr>
        <w:t>日至</w:t>
      </w:r>
      <w:r>
        <w:rPr>
          <w:rFonts w:hint="eastAsia" w:ascii="Times New Roman" w:hAnsi="Times New Roman" w:eastAsia="仿宋_GB2312" w:cs="Times New Roman"/>
          <w:i w:val="0"/>
          <w:iCs w:val="0"/>
          <w:caps w:val="0"/>
          <w:color w:val="000000"/>
          <w:spacing w:val="0"/>
          <w:sz w:val="32"/>
          <w:szCs w:val="32"/>
        </w:rPr>
        <w:t>2021</w:t>
      </w:r>
      <w:r>
        <w:rPr>
          <w:rFonts w:hint="eastAsia" w:ascii="仿宋_GB2312" w:hAnsi="微软雅黑" w:eastAsia="仿宋_GB2312" w:cs="仿宋_GB2312"/>
          <w:i w:val="0"/>
          <w:iCs w:val="0"/>
          <w:caps w:val="0"/>
          <w:color w:val="000000"/>
          <w:spacing w:val="0"/>
          <w:sz w:val="32"/>
          <w:szCs w:val="32"/>
        </w:rPr>
        <w:t>年</w:t>
      </w:r>
      <w:r>
        <w:rPr>
          <w:rFonts w:hint="eastAsia" w:ascii="Times New Roman" w:hAnsi="Times New Roman" w:eastAsia="仿宋_GB2312" w:cs="Times New Roman"/>
          <w:i w:val="0"/>
          <w:iCs w:val="0"/>
          <w:caps w:val="0"/>
          <w:color w:val="000000"/>
          <w:spacing w:val="0"/>
          <w:sz w:val="32"/>
          <w:szCs w:val="32"/>
        </w:rPr>
        <w:t>12</w:t>
      </w:r>
      <w:r>
        <w:rPr>
          <w:rFonts w:hint="eastAsia" w:ascii="仿宋_GB2312" w:hAnsi="微软雅黑" w:eastAsia="仿宋_GB2312" w:cs="仿宋_GB2312"/>
          <w:i w:val="0"/>
          <w:iCs w:val="0"/>
          <w:caps w:val="0"/>
          <w:color w:val="000000"/>
          <w:spacing w:val="0"/>
          <w:sz w:val="32"/>
          <w:szCs w:val="32"/>
        </w:rPr>
        <w:t>月</w:t>
      </w:r>
      <w:r>
        <w:rPr>
          <w:rFonts w:hint="eastAsia" w:ascii="Times New Roman" w:hAnsi="Times New Roman" w:eastAsia="仿宋_GB2312" w:cs="Times New Roman"/>
          <w:i w:val="0"/>
          <w:iCs w:val="0"/>
          <w:caps w:val="0"/>
          <w:color w:val="000000"/>
          <w:spacing w:val="0"/>
          <w:sz w:val="32"/>
          <w:szCs w:val="32"/>
        </w:rPr>
        <w:t>31</w:t>
      </w:r>
      <w:r>
        <w:rPr>
          <w:rFonts w:hint="eastAsia" w:ascii="仿宋_GB2312" w:hAnsi="微软雅黑" w:eastAsia="仿宋_GB2312" w:cs="仿宋_GB2312"/>
          <w:i w:val="0"/>
          <w:iCs w:val="0"/>
          <w:caps w:val="0"/>
          <w:color w:val="000000"/>
          <w:spacing w:val="0"/>
          <w:sz w:val="32"/>
          <w:szCs w:val="32"/>
        </w:rPr>
        <w:t>日。本报告可在淄博经济开发区门户网站(</w:t>
      </w:r>
      <w:r>
        <w:rPr>
          <w:rFonts w:hint="eastAsia" w:ascii="Times New Roman" w:hAnsi="Times New Roman" w:eastAsia="仿宋_GB2312" w:cs="Times New Roman"/>
          <w:i w:val="0"/>
          <w:iCs w:val="0"/>
          <w:caps w:val="0"/>
          <w:color w:val="000000"/>
          <w:spacing w:val="0"/>
          <w:sz w:val="32"/>
          <w:szCs w:val="32"/>
        </w:rPr>
        <w:t>http://www.zbjkq.gov.cn</w:t>
      </w:r>
      <w:r>
        <w:rPr>
          <w:rFonts w:hint="eastAsia" w:ascii="仿宋_GB2312" w:hAnsi="微软雅黑" w:eastAsia="仿宋_GB2312" w:cs="仿宋_GB2312"/>
          <w:i w:val="0"/>
          <w:iCs w:val="0"/>
          <w:caps w:val="0"/>
          <w:color w:val="000000"/>
          <w:spacing w:val="0"/>
          <w:sz w:val="32"/>
          <w:szCs w:val="32"/>
        </w:rPr>
        <w:t>)下载。如对本报告有任何疑问，请与淄博经济开发区经济发展局联系（地址：淄博市张店区北京路与复兴路交叉口东</w:t>
      </w:r>
      <w:r>
        <w:rPr>
          <w:rFonts w:hint="eastAsia" w:ascii="Times New Roman" w:hAnsi="Times New Roman" w:eastAsia="仿宋_GB2312" w:cs="Times New Roman"/>
          <w:i w:val="0"/>
          <w:iCs w:val="0"/>
          <w:caps w:val="0"/>
          <w:color w:val="000000"/>
          <w:spacing w:val="0"/>
          <w:sz w:val="32"/>
          <w:szCs w:val="32"/>
        </w:rPr>
        <w:t>200</w:t>
      </w:r>
      <w:r>
        <w:rPr>
          <w:rFonts w:hint="eastAsia" w:ascii="仿宋_GB2312" w:hAnsi="微软雅黑" w:eastAsia="仿宋_GB2312" w:cs="仿宋_GB2312"/>
          <w:i w:val="0"/>
          <w:iCs w:val="0"/>
          <w:caps w:val="0"/>
          <w:color w:val="000000"/>
          <w:spacing w:val="0"/>
          <w:sz w:val="32"/>
          <w:szCs w:val="32"/>
        </w:rPr>
        <w:t>米路北淄博经济开发区管理委员会办公楼</w:t>
      </w:r>
      <w:r>
        <w:rPr>
          <w:rFonts w:hint="eastAsia" w:ascii="Times New Roman" w:hAnsi="Times New Roman" w:eastAsia="仿宋_GB2312" w:cs="Times New Roman"/>
          <w:i w:val="0"/>
          <w:iCs w:val="0"/>
          <w:caps w:val="0"/>
          <w:color w:val="000000"/>
          <w:spacing w:val="0"/>
          <w:sz w:val="32"/>
          <w:szCs w:val="32"/>
        </w:rPr>
        <w:t>409</w:t>
      </w:r>
      <w:r>
        <w:rPr>
          <w:rFonts w:hint="eastAsia" w:ascii="仿宋_GB2312" w:hAnsi="微软雅黑" w:eastAsia="仿宋_GB2312" w:cs="仿宋_GB2312"/>
          <w:i w:val="0"/>
          <w:iCs w:val="0"/>
          <w:caps w:val="0"/>
          <w:color w:val="000000"/>
          <w:spacing w:val="0"/>
          <w:sz w:val="32"/>
          <w:szCs w:val="32"/>
        </w:rPr>
        <w:t>；邮编：</w:t>
      </w:r>
      <w:r>
        <w:rPr>
          <w:rFonts w:hint="eastAsia" w:ascii="Times New Roman" w:hAnsi="Times New Roman" w:eastAsia="仿宋_GB2312" w:cs="Times New Roman"/>
          <w:i w:val="0"/>
          <w:iCs w:val="0"/>
          <w:caps w:val="0"/>
          <w:color w:val="000000"/>
          <w:spacing w:val="0"/>
          <w:sz w:val="32"/>
          <w:szCs w:val="32"/>
        </w:rPr>
        <w:t>255000</w:t>
      </w:r>
      <w:r>
        <w:rPr>
          <w:rFonts w:hint="eastAsia" w:ascii="仿宋_GB2312" w:hAnsi="微软雅黑" w:eastAsia="仿宋_GB2312" w:cs="仿宋_GB2312"/>
          <w:i w:val="0"/>
          <w:iCs w:val="0"/>
          <w:caps w:val="0"/>
          <w:color w:val="000000"/>
          <w:spacing w:val="0"/>
          <w:sz w:val="32"/>
          <w:szCs w:val="32"/>
        </w:rPr>
        <w:t>；联系电话：</w:t>
      </w:r>
      <w:r>
        <w:rPr>
          <w:rFonts w:hint="eastAsia" w:ascii="Times New Roman" w:hAnsi="Times New Roman" w:eastAsia="仿宋_GB2312" w:cs="Times New Roman"/>
          <w:i w:val="0"/>
          <w:iCs w:val="0"/>
          <w:caps w:val="0"/>
          <w:color w:val="000000"/>
          <w:spacing w:val="0"/>
          <w:sz w:val="32"/>
          <w:szCs w:val="32"/>
        </w:rPr>
        <w:t>0533</w:t>
      </w:r>
      <w:r>
        <w:rPr>
          <w:rFonts w:hint="eastAsia" w:ascii="仿宋_GB2312" w:hAnsi="微软雅黑" w:eastAsia="仿宋_GB2312" w:cs="仿宋_GB2312"/>
          <w:i w:val="0"/>
          <w:iCs w:val="0"/>
          <w:caps w:val="0"/>
          <w:color w:val="000000"/>
          <w:spacing w:val="0"/>
          <w:sz w:val="32"/>
          <w:szCs w:val="32"/>
        </w:rPr>
        <w:t>-</w:t>
      </w:r>
      <w:r>
        <w:rPr>
          <w:rFonts w:hint="eastAsia" w:ascii="Times New Roman" w:hAnsi="Times New Roman" w:eastAsia="仿宋_GB2312" w:cs="Times New Roman"/>
          <w:i w:val="0"/>
          <w:iCs w:val="0"/>
          <w:caps w:val="0"/>
          <w:color w:val="000000"/>
          <w:spacing w:val="0"/>
          <w:sz w:val="32"/>
          <w:szCs w:val="32"/>
        </w:rPr>
        <w:t>7876115</w:t>
      </w:r>
      <w:r>
        <w:rPr>
          <w:rFonts w:hint="eastAsia" w:ascii="仿宋_GB2312" w:hAnsi="微软雅黑" w:eastAsia="仿宋_GB2312" w:cs="仿宋_GB2312"/>
          <w:i w:val="0"/>
          <w:iCs w:val="0"/>
          <w:caps w:val="0"/>
          <w:color w:val="000000"/>
          <w:spacing w:val="0"/>
          <w:sz w:val="32"/>
          <w:szCs w:val="32"/>
        </w:rPr>
        <w:t>；传真：</w:t>
      </w:r>
      <w:r>
        <w:rPr>
          <w:rFonts w:hint="eastAsia" w:ascii="Times New Roman" w:hAnsi="Times New Roman" w:eastAsia="仿宋_GB2312" w:cs="Times New Roman"/>
          <w:i w:val="0"/>
          <w:iCs w:val="0"/>
          <w:caps w:val="0"/>
          <w:color w:val="000000"/>
          <w:spacing w:val="0"/>
          <w:sz w:val="32"/>
          <w:szCs w:val="32"/>
        </w:rPr>
        <w:t>0533</w:t>
      </w:r>
      <w:r>
        <w:rPr>
          <w:rFonts w:hint="eastAsia" w:ascii="仿宋_GB2312" w:hAnsi="微软雅黑" w:eastAsia="仿宋_GB2312" w:cs="仿宋_GB2312"/>
          <w:i w:val="0"/>
          <w:iCs w:val="0"/>
          <w:caps w:val="0"/>
          <w:color w:val="000000"/>
          <w:spacing w:val="0"/>
          <w:sz w:val="32"/>
          <w:szCs w:val="32"/>
        </w:rPr>
        <w:t>-</w:t>
      </w:r>
      <w:r>
        <w:rPr>
          <w:rFonts w:hint="eastAsia" w:ascii="Times New Roman" w:hAnsi="Times New Roman" w:eastAsia="仿宋_GB2312" w:cs="Times New Roman"/>
          <w:i w:val="0"/>
          <w:iCs w:val="0"/>
          <w:caps w:val="0"/>
          <w:color w:val="000000"/>
          <w:spacing w:val="0"/>
          <w:sz w:val="32"/>
          <w:szCs w:val="32"/>
        </w:rPr>
        <w:t>7876115</w:t>
      </w:r>
      <w:r>
        <w:rPr>
          <w:rFonts w:hint="eastAsia" w:ascii="仿宋_GB2312" w:hAnsi="微软雅黑" w:eastAsia="仿宋_GB2312" w:cs="仿宋_GB2312"/>
          <w:i w:val="0"/>
          <w:iCs w:val="0"/>
          <w:caps w:val="0"/>
          <w:color w:val="000000"/>
          <w:spacing w:val="0"/>
          <w:sz w:val="32"/>
          <w:szCs w:val="32"/>
        </w:rPr>
        <w:t>；电子信箱</w:t>
      </w:r>
      <w:r>
        <w:rPr>
          <w:rFonts w:hint="eastAsia" w:ascii="Times New Roman" w:hAnsi="Times New Roman" w:eastAsia="仿宋_GB2312" w:cs="Times New Roman"/>
          <w:i w:val="0"/>
          <w:iCs w:val="0"/>
          <w:caps w:val="0"/>
          <w:color w:val="000000"/>
          <w:spacing w:val="0"/>
          <w:sz w:val="32"/>
          <w:szCs w:val="32"/>
        </w:rPr>
        <w:t>：zbjkqjfj@zb.shandong.cn</w:t>
      </w:r>
      <w:r>
        <w:rPr>
          <w:rFonts w:hint="eastAsia" w:ascii="仿宋_GB2312" w:hAnsi="微软雅黑" w:eastAsia="仿宋_GB2312" w:cs="仿宋_GB2312"/>
          <w:i w:val="0"/>
          <w:iCs w:val="0"/>
          <w:caps w:val="0"/>
          <w:color w:val="000000"/>
          <w:spacing w:val="0"/>
          <w:sz w:val="32"/>
          <w:szCs w:val="32"/>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一、总体情况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1</w:t>
      </w:r>
      <w:r>
        <w:rPr>
          <w:rFonts w:hint="eastAsia" w:ascii="仿宋_GB2312" w:hAnsi="微软雅黑" w:eastAsia="仿宋_GB2312" w:cs="仿宋_GB2312"/>
          <w:i w:val="0"/>
          <w:iCs w:val="0"/>
          <w:caps w:val="0"/>
          <w:color w:val="000000"/>
          <w:spacing w:val="0"/>
          <w:sz w:val="32"/>
          <w:szCs w:val="32"/>
        </w:rPr>
        <w:t>年，我局以习近平新时代中国特色社会主义思想为指导, 按照《关于政府信息公开工作年度报告有关事项的通知》要求，以完善制度机制、推进重点领域信息公开为工作重点，进一步加大政务公开工作推进力度，各项工作取得了较为明显的成果。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淄博经济开发区经济发展局高度重视政务公开工作，明确人员负责推进、指导、协调、监督部门政府信息公开工作，保障政务公开工作规范有序开展。年内依法依规主动公开政府信息</w:t>
      </w:r>
      <w:r>
        <w:rPr>
          <w:rFonts w:hint="eastAsia" w:ascii="Times New Roman" w:hAnsi="Times New Roman" w:eastAsia="仿宋_GB2312" w:cs="Times New Roman"/>
          <w:i w:val="0"/>
          <w:iCs w:val="0"/>
          <w:caps w:val="0"/>
          <w:color w:val="000000"/>
          <w:spacing w:val="0"/>
          <w:sz w:val="32"/>
          <w:szCs w:val="32"/>
        </w:rPr>
        <w:t>30</w:t>
      </w:r>
      <w:r>
        <w:rPr>
          <w:rFonts w:hint="eastAsia" w:ascii="仿宋_GB2312" w:hAnsi="微软雅黑" w:eastAsia="仿宋_GB2312" w:cs="仿宋_GB2312"/>
          <w:i w:val="0"/>
          <w:iCs w:val="0"/>
          <w:caps w:val="0"/>
          <w:color w:val="000000"/>
          <w:spacing w:val="0"/>
          <w:sz w:val="32"/>
          <w:szCs w:val="32"/>
        </w:rPr>
        <w:t>余条，其中包括政策法规、通知公告、项目信息、优化营商环境等内容。通过淄博经开区微信公众号及官方媒体发布工作动态、政策法规等其他公文信息近百条。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微软雅黑" w:hAnsi="微软雅黑" w:eastAsia="微软雅黑" w:cs="微软雅黑"/>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1</w:t>
      </w:r>
      <w:r>
        <w:rPr>
          <w:rStyle w:val="7"/>
          <w:rFonts w:ascii="楷体" w:hAnsi="楷体" w:eastAsia="楷体" w:cs="楷体"/>
          <w:b/>
          <w:bCs/>
          <w:i w:val="0"/>
          <w:iCs w:val="0"/>
          <w:caps w:val="0"/>
          <w:color w:val="000000"/>
          <w:spacing w:val="0"/>
          <w:sz w:val="32"/>
          <w:szCs w:val="32"/>
        </w:rPr>
        <w:t>.</w:t>
      </w:r>
      <w:r>
        <w:rPr>
          <w:rStyle w:val="7"/>
          <w:rFonts w:hint="eastAsia" w:ascii="楷体" w:hAnsi="楷体" w:eastAsia="楷体" w:cs="楷体"/>
          <w:b/>
          <w:bCs/>
          <w:i w:val="0"/>
          <w:iCs w:val="0"/>
          <w:caps w:val="0"/>
          <w:color w:val="000000"/>
          <w:spacing w:val="0"/>
          <w:sz w:val="32"/>
          <w:szCs w:val="32"/>
        </w:rPr>
        <w:t>主动公开工作情况</w:t>
      </w:r>
      <w:r>
        <w:rPr>
          <w:rStyle w:val="7"/>
          <w:rFonts w:hint="eastAsia" w:ascii="仿宋_GB2312" w:hAnsi="微软雅黑" w:eastAsia="仿宋_GB2312" w:cs="仿宋_GB2312"/>
          <w:b/>
          <w:bCs/>
          <w:i w:val="0"/>
          <w:iCs w:val="0"/>
          <w:caps w:val="0"/>
          <w:color w:val="000000"/>
          <w:spacing w:val="0"/>
          <w:sz w:val="32"/>
          <w:szCs w:val="32"/>
        </w:rPr>
        <w:t>。</w:t>
      </w:r>
      <w:r>
        <w:rPr>
          <w:rFonts w:hint="default" w:ascii="Times New Roman" w:hAnsi="Times New Roman" w:eastAsia="仿宋_GB2312" w:cs="Times New Roman"/>
          <w:i w:val="0"/>
          <w:iCs w:val="0"/>
          <w:caps w:val="0"/>
          <w:color w:val="000000"/>
          <w:spacing w:val="0"/>
          <w:sz w:val="32"/>
          <w:szCs w:val="32"/>
        </w:rPr>
        <w:t>2021</w:t>
      </w:r>
      <w:r>
        <w:rPr>
          <w:rFonts w:hint="eastAsia" w:ascii="仿宋_GB2312" w:hAnsi="微软雅黑" w:eastAsia="仿宋_GB2312" w:cs="仿宋_GB2312"/>
          <w:i w:val="0"/>
          <w:iCs w:val="0"/>
          <w:caps w:val="0"/>
          <w:color w:val="000000"/>
          <w:spacing w:val="0"/>
          <w:sz w:val="32"/>
          <w:szCs w:val="32"/>
        </w:rPr>
        <w:t>年淄博经开区经济发展局通过淄博经开区政府网站政务公开平台主动公开政府信息</w:t>
      </w:r>
      <w:r>
        <w:rPr>
          <w:rFonts w:hint="eastAsia" w:ascii="Times New Roman" w:hAnsi="Times New Roman" w:eastAsia="仿宋_GB2312" w:cs="Times New Roman"/>
          <w:i w:val="0"/>
          <w:iCs w:val="0"/>
          <w:caps w:val="0"/>
          <w:color w:val="000000"/>
          <w:spacing w:val="0"/>
          <w:sz w:val="32"/>
          <w:szCs w:val="32"/>
        </w:rPr>
        <w:t>52</w:t>
      </w:r>
      <w:r>
        <w:rPr>
          <w:rFonts w:hint="eastAsia" w:ascii="仿宋_GB2312" w:hAnsi="微软雅黑" w:eastAsia="仿宋_GB2312" w:cs="仿宋_GB2312"/>
          <w:i w:val="0"/>
          <w:iCs w:val="0"/>
          <w:caps w:val="0"/>
          <w:color w:val="000000"/>
          <w:spacing w:val="0"/>
          <w:sz w:val="32"/>
          <w:szCs w:val="32"/>
        </w:rPr>
        <w:t>条，公开信息包括会议信息、项目管理、机构职能、优化营商环境等内容。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微软雅黑" w:hAnsi="微软雅黑" w:eastAsia="微软雅黑" w:cs="微软雅黑"/>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rPr>
        <w:t>2</w:t>
      </w:r>
      <w:r>
        <w:rPr>
          <w:rStyle w:val="7"/>
          <w:rFonts w:hint="eastAsia" w:ascii="楷体" w:hAnsi="楷体" w:eastAsia="楷体" w:cs="楷体"/>
          <w:b/>
          <w:bCs/>
          <w:i w:val="0"/>
          <w:iCs w:val="0"/>
          <w:caps w:val="0"/>
          <w:color w:val="000000"/>
          <w:spacing w:val="0"/>
          <w:sz w:val="32"/>
          <w:szCs w:val="32"/>
        </w:rPr>
        <w:t>.依申请公开情况。</w:t>
      </w:r>
      <w:r>
        <w:rPr>
          <w:rFonts w:hint="eastAsia" w:ascii="仿宋_GB2312" w:hAnsi="微软雅黑" w:eastAsia="仿宋_GB2312" w:cs="仿宋_GB2312"/>
          <w:i w:val="0"/>
          <w:iCs w:val="0"/>
          <w:caps w:val="0"/>
          <w:color w:val="000000"/>
          <w:spacing w:val="0"/>
          <w:sz w:val="32"/>
          <w:szCs w:val="32"/>
        </w:rPr>
        <w:t>严格按照《中华人民共和国政府信息公开条例》和国务院办公厅《关于做好政府信息依申请公开工作的意见》要求，规范做好依申请公开工作，全面公开接受政府信息公开申请的地址、邮箱及联系电话等信息。未收到政府信息公开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微软雅黑" w:hAnsi="微软雅黑" w:eastAsia="微软雅黑" w:cs="微软雅黑"/>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rPr>
        <w:t>3</w:t>
      </w:r>
      <w:r>
        <w:rPr>
          <w:rStyle w:val="7"/>
          <w:rFonts w:hint="eastAsia" w:ascii="楷体" w:hAnsi="楷体" w:eastAsia="楷体" w:cs="楷体"/>
          <w:b/>
          <w:bCs/>
          <w:i w:val="0"/>
          <w:iCs w:val="0"/>
          <w:caps w:val="0"/>
          <w:color w:val="000000"/>
          <w:spacing w:val="0"/>
          <w:sz w:val="32"/>
          <w:szCs w:val="32"/>
        </w:rPr>
        <w:t>.政府信息管理工作情况</w:t>
      </w:r>
      <w:r>
        <w:rPr>
          <w:rStyle w:val="7"/>
          <w:rFonts w:hint="eastAsia" w:ascii="仿宋_GB2312" w:hAnsi="微软雅黑" w:eastAsia="仿宋_GB2312" w:cs="仿宋_GB2312"/>
          <w:b/>
          <w:bCs/>
          <w:i w:val="0"/>
          <w:iCs w:val="0"/>
          <w:caps w:val="0"/>
          <w:color w:val="000000"/>
          <w:spacing w:val="0"/>
          <w:sz w:val="32"/>
          <w:szCs w:val="32"/>
        </w:rPr>
        <w:t>。</w:t>
      </w:r>
      <w:r>
        <w:rPr>
          <w:rFonts w:hint="eastAsia" w:ascii="仿宋_GB2312" w:hAnsi="微软雅黑" w:eastAsia="仿宋_GB2312" w:cs="仿宋_GB2312"/>
          <w:i w:val="0"/>
          <w:iCs w:val="0"/>
          <w:caps w:val="0"/>
          <w:color w:val="000000"/>
          <w:spacing w:val="0"/>
          <w:sz w:val="32"/>
          <w:szCs w:val="32"/>
        </w:rPr>
        <w:t>不断完善公开制度，确定政务公开工作牵头科室，并安排专人负责，严格执行政府信息公开审批制度，按照公开流程，及时在区政府网站公开。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微软雅黑" w:hAnsi="微软雅黑" w:eastAsia="微软雅黑" w:cs="微软雅黑"/>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rPr>
        <w:t>4</w:t>
      </w:r>
      <w:r>
        <w:rPr>
          <w:rStyle w:val="7"/>
          <w:rFonts w:hint="eastAsia" w:ascii="楷体" w:hAnsi="楷体" w:eastAsia="楷体" w:cs="楷体"/>
          <w:b/>
          <w:bCs/>
          <w:i w:val="0"/>
          <w:iCs w:val="0"/>
          <w:caps w:val="0"/>
          <w:color w:val="000000"/>
          <w:spacing w:val="0"/>
          <w:sz w:val="32"/>
          <w:szCs w:val="32"/>
        </w:rPr>
        <w:t>.政府信息公开平台建设情况</w:t>
      </w:r>
      <w:r>
        <w:rPr>
          <w:rStyle w:val="7"/>
          <w:rFonts w:hint="eastAsia" w:ascii="仿宋_GB2312" w:hAnsi="微软雅黑" w:eastAsia="仿宋_GB2312" w:cs="仿宋_GB2312"/>
          <w:b/>
          <w:bCs/>
          <w:i w:val="0"/>
          <w:iCs w:val="0"/>
          <w:caps w:val="0"/>
          <w:color w:val="000000"/>
          <w:spacing w:val="0"/>
          <w:sz w:val="32"/>
          <w:szCs w:val="32"/>
        </w:rPr>
        <w:t>。</w:t>
      </w:r>
      <w:r>
        <w:rPr>
          <w:rFonts w:hint="eastAsia" w:ascii="仿宋_GB2312" w:hAnsi="微软雅黑" w:eastAsia="仿宋_GB2312" w:cs="仿宋_GB2312"/>
          <w:i w:val="0"/>
          <w:iCs w:val="0"/>
          <w:caps w:val="0"/>
          <w:color w:val="000000"/>
          <w:spacing w:val="0"/>
          <w:sz w:val="32"/>
          <w:szCs w:val="32"/>
        </w:rPr>
        <w:t>强化管委会门户网站政务公开第一平台作用，制定政务公开标准目录，加强公开栏目的内容更新，确保在法定时限内及时公开各类信息。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仿宋_GB2312" w:hAnsi="微软雅黑" w:eastAsia="仿宋_GB2312" w:cs="仿宋_GB2312"/>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rPr>
        <w:t>5</w:t>
      </w:r>
      <w:r>
        <w:rPr>
          <w:rStyle w:val="7"/>
          <w:rFonts w:hint="eastAsia" w:ascii="楷体" w:hAnsi="楷体" w:eastAsia="楷体" w:cs="楷体"/>
          <w:b/>
          <w:bCs/>
          <w:i w:val="0"/>
          <w:iCs w:val="0"/>
          <w:caps w:val="0"/>
          <w:color w:val="000000"/>
          <w:spacing w:val="0"/>
          <w:sz w:val="32"/>
          <w:szCs w:val="32"/>
        </w:rPr>
        <w:t>.监督保障情况</w:t>
      </w:r>
      <w:r>
        <w:rPr>
          <w:rStyle w:val="7"/>
          <w:rFonts w:hint="eastAsia" w:ascii="仿宋_GB2312" w:hAnsi="微软雅黑" w:eastAsia="仿宋_GB2312" w:cs="仿宋_GB2312"/>
          <w:b/>
          <w:bCs/>
          <w:i w:val="0"/>
          <w:iCs w:val="0"/>
          <w:caps w:val="0"/>
          <w:color w:val="000000"/>
          <w:spacing w:val="0"/>
          <w:sz w:val="32"/>
          <w:szCs w:val="32"/>
        </w:rPr>
        <w:t>。</w:t>
      </w:r>
      <w:r>
        <w:rPr>
          <w:rFonts w:hint="eastAsia" w:ascii="仿宋_GB2312" w:hAnsi="微软雅黑" w:eastAsia="仿宋_GB2312" w:cs="仿宋_GB2312"/>
          <w:i w:val="0"/>
          <w:iCs w:val="0"/>
          <w:caps w:val="0"/>
          <w:color w:val="000000"/>
          <w:spacing w:val="0"/>
          <w:sz w:val="32"/>
          <w:szCs w:val="32"/>
        </w:rPr>
        <w:t>根据政务公开年度工作目标和工作要求，积极安排工作人员参加业务培训，同时将政务公开工作纳入对各科室（单位）年度考核，加强监督考核。</w:t>
      </w:r>
    </w:p>
    <w:p>
      <w:pPr>
        <w:numPr>
          <w:ilvl w:val="0"/>
          <w:numId w:val="0"/>
        </w:numPr>
        <w:ind w:leftChars="0" w:firstLine="640" w:firstLineChars="200"/>
        <w:jc w:val="left"/>
        <w:rPr>
          <w:rFonts w:hint="eastAsia" w:ascii="Times New Roman" w:hAnsi="Times New Roman" w:eastAsia="仿宋_GB2312" w:cs="Times New Roman"/>
          <w:color w:val="000000"/>
          <w:kern w:val="0"/>
          <w:sz w:val="31"/>
          <w:szCs w:val="31"/>
          <w:lang w:val="en-US" w:eastAsia="zh-CN" w:bidi="ar"/>
        </w:rPr>
      </w:pPr>
      <w:r>
        <w:rPr>
          <w:rFonts w:hint="eastAsia" w:ascii="黑体" w:hAnsi="黑体" w:eastAsia="黑体" w:cs="黑体"/>
          <w:b w:val="0"/>
          <w:bCs w:val="0"/>
          <w:sz w:val="32"/>
          <w:szCs w:val="32"/>
          <w:lang w:val="en-US" w:eastAsia="zh-CN"/>
        </w:rPr>
        <w:t>二、主动公开政府信息情况</w:t>
      </w:r>
    </w:p>
    <w:tbl>
      <w:tblPr>
        <w:tblStyle w:val="5"/>
        <w:tblW w:w="916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160"/>
        <w:gridCol w:w="2406"/>
        <w:gridCol w:w="2130"/>
        <w:gridCol w:w="2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7" w:hRule="atLeast"/>
        </w:trPr>
        <w:tc>
          <w:tcPr>
            <w:tcW w:w="9165" w:type="dxa"/>
            <w:gridSpan w:val="4"/>
            <w:shd w:val="clear" w:color="auto" w:fill="auto"/>
            <w:vAlign w:val="center"/>
          </w:tcPr>
          <w:p>
            <w:pPr>
              <w:numPr>
                <w:ilvl w:val="0"/>
                <w:numId w:val="0"/>
              </w:numPr>
              <w:jc w:val="center"/>
              <w:rPr>
                <w:rFonts w:hint="default" w:ascii="黑体" w:hAnsi="黑体" w:eastAsia="黑体" w:cs="黑体"/>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2" w:hRule="atLeast"/>
        </w:trPr>
        <w:tc>
          <w:tcPr>
            <w:tcW w:w="2160" w:type="dxa"/>
            <w:shd w:val="clear" w:color="auto" w:fill="auto"/>
            <w:vAlign w:val="top"/>
          </w:tcPr>
          <w:p>
            <w:pPr>
              <w:numPr>
                <w:ilvl w:val="0"/>
                <w:numId w:val="0"/>
              </w:numPr>
              <w:jc w:val="both"/>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信息内容</w:t>
            </w:r>
          </w:p>
        </w:tc>
        <w:tc>
          <w:tcPr>
            <w:tcW w:w="2406" w:type="dxa"/>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本年制发件数</w:t>
            </w:r>
          </w:p>
        </w:tc>
        <w:tc>
          <w:tcPr>
            <w:tcW w:w="213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本年废止件数</w:t>
            </w:r>
          </w:p>
        </w:tc>
        <w:tc>
          <w:tcPr>
            <w:tcW w:w="2469"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规章</w:t>
            </w:r>
          </w:p>
        </w:tc>
        <w:tc>
          <w:tcPr>
            <w:tcW w:w="2406" w:type="dxa"/>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行政规范性文件</w:t>
            </w:r>
          </w:p>
        </w:tc>
        <w:tc>
          <w:tcPr>
            <w:tcW w:w="2406" w:type="dxa"/>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2"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7"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行政许可</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7"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left"/>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行政处罚</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行政强制</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9165" w:type="dxa"/>
            <w:gridSpan w:val="4"/>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行政事业性收费</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bl>
    <w:p/>
    <w:p/>
    <w:p/>
    <w:p>
      <w:pPr>
        <w:numPr>
          <w:ilvl w:val="0"/>
          <w:numId w:val="0"/>
        </w:numPr>
        <w:ind w:leftChars="0" w:firstLine="640" w:firstLineChars="200"/>
        <w:jc w:val="left"/>
      </w:pPr>
      <w:r>
        <w:rPr>
          <w:rFonts w:hint="eastAsia" w:ascii="黑体" w:hAnsi="黑体" w:eastAsia="黑体" w:cs="黑体"/>
          <w:b w:val="0"/>
          <w:bCs w:val="0"/>
          <w:sz w:val="32"/>
          <w:szCs w:val="32"/>
          <w:lang w:val="en-US" w:eastAsia="zh-CN"/>
        </w:rPr>
        <w:t>三、收到和处理政府信息公开申请情况</w:t>
      </w:r>
    </w:p>
    <w:p/>
    <w:tbl>
      <w:tblPr>
        <w:tblStyle w:val="5"/>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425"/>
        <w:gridCol w:w="2580"/>
        <w:gridCol w:w="825"/>
        <w:gridCol w:w="705"/>
        <w:gridCol w:w="680"/>
        <w:gridCol w:w="711"/>
        <w:gridCol w:w="644"/>
        <w:gridCol w:w="749"/>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328" w:type="dxa"/>
            <w:gridSpan w:val="3"/>
            <w:vMerge w:val="restart"/>
            <w:vAlign w:val="center"/>
          </w:tcPr>
          <w:p>
            <w:pPr>
              <w:numPr>
                <w:ilvl w:val="0"/>
                <w:numId w:val="0"/>
              </w:numPr>
              <w:ind w:leftChars="0"/>
              <w:jc w:val="center"/>
              <w:rPr>
                <w:rFonts w:hint="default" w:ascii="黑体" w:hAnsi="黑体" w:eastAsia="黑体" w:cs="黑体"/>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w:t>
            </w:r>
            <w:r>
              <w:rPr>
                <w:rFonts w:hint="eastAsia" w:ascii="楷体" w:hAnsi="楷体" w:eastAsia="楷体" w:cs="楷体"/>
                <w:b w:val="0"/>
                <w:bCs w:val="0"/>
                <w:sz w:val="21"/>
                <w:szCs w:val="21"/>
                <w:lang w:val="en-US" w:eastAsia="zh-CN"/>
              </w:rPr>
              <w:t>本列数据的勾稽关系为：第一项加第二项之和，等于第三项加第四项之和</w:t>
            </w:r>
            <w:r>
              <w:rPr>
                <w:rFonts w:hint="eastAsia" w:asciiTheme="minorEastAsia" w:hAnsiTheme="minorEastAsia" w:eastAsiaTheme="minorEastAsia" w:cstheme="minorEastAsia"/>
                <w:b w:val="0"/>
                <w:bCs w:val="0"/>
                <w:sz w:val="18"/>
                <w:szCs w:val="18"/>
                <w:vertAlign w:val="baseline"/>
                <w:lang w:val="en-US" w:eastAsia="zh-CN"/>
              </w:rPr>
              <w:t>）</w:t>
            </w:r>
          </w:p>
        </w:tc>
        <w:tc>
          <w:tcPr>
            <w:tcW w:w="5091" w:type="dxa"/>
            <w:gridSpan w:val="7"/>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28" w:type="dxa"/>
            <w:gridSpan w:val="3"/>
            <w:vMerge w:val="continue"/>
            <w:vAlign w:val="center"/>
          </w:tcPr>
          <w:p>
            <w:pPr>
              <w:jc w:val="center"/>
              <w:rPr>
                <w:sz w:val="18"/>
                <w:szCs w:val="18"/>
              </w:rPr>
            </w:pPr>
          </w:p>
        </w:tc>
        <w:tc>
          <w:tcPr>
            <w:tcW w:w="825"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自然人</w:t>
            </w:r>
          </w:p>
        </w:tc>
        <w:tc>
          <w:tcPr>
            <w:tcW w:w="3489" w:type="dxa"/>
            <w:gridSpan w:val="5"/>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法人或其他组织</w:t>
            </w:r>
          </w:p>
        </w:tc>
        <w:tc>
          <w:tcPr>
            <w:tcW w:w="777"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328" w:type="dxa"/>
            <w:gridSpan w:val="3"/>
            <w:vMerge w:val="continue"/>
            <w:vAlign w:val="center"/>
          </w:tcPr>
          <w:p>
            <w:pPr>
              <w:jc w:val="center"/>
              <w:rPr>
                <w:sz w:val="18"/>
                <w:szCs w:val="18"/>
              </w:rPr>
            </w:pPr>
          </w:p>
        </w:tc>
        <w:tc>
          <w:tcPr>
            <w:tcW w:w="825" w:type="dxa"/>
            <w:vMerge w:val="continue"/>
            <w:vAlign w:val="center"/>
          </w:tcPr>
          <w:p>
            <w:pPr>
              <w:jc w:val="center"/>
              <w:rPr>
                <w:sz w:val="18"/>
                <w:szCs w:val="18"/>
              </w:rPr>
            </w:pPr>
          </w:p>
        </w:tc>
        <w:tc>
          <w:tcPr>
            <w:tcW w:w="705"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商业企业</w:t>
            </w:r>
          </w:p>
        </w:tc>
        <w:tc>
          <w:tcPr>
            <w:tcW w:w="680"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科研机构</w:t>
            </w:r>
          </w:p>
        </w:tc>
        <w:tc>
          <w:tcPr>
            <w:tcW w:w="711"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社会公益组织</w:t>
            </w:r>
          </w:p>
        </w:tc>
        <w:tc>
          <w:tcPr>
            <w:tcW w:w="644"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法律服务机构</w:t>
            </w:r>
          </w:p>
        </w:tc>
        <w:tc>
          <w:tcPr>
            <w:tcW w:w="749"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w:t>
            </w:r>
          </w:p>
        </w:tc>
        <w:tc>
          <w:tcPr>
            <w:tcW w:w="777" w:type="dxa"/>
            <w:vMerge w:val="continue"/>
            <w:vAlign w:val="center"/>
          </w:tcPr>
          <w:p>
            <w:pPr>
              <w:jc w:val="center"/>
              <w:rPr>
                <w:rFonts w:hint="eastAsia" w:asciiTheme="minorEastAsia" w:hAnsiTheme="minorEastAsia" w:eastAsiaTheme="minorEastAsia" w:cstheme="minorEastAsia"/>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28" w:type="dxa"/>
            <w:gridSpan w:val="3"/>
            <w:vAlign w:val="top"/>
          </w:tcPr>
          <w:p>
            <w:pPr>
              <w:jc w:val="both"/>
              <w:rPr>
                <w:rFonts w:hint="default" w:eastAsiaTheme="minorEastAsia"/>
                <w:sz w:val="18"/>
                <w:szCs w:val="18"/>
                <w:lang w:val="en-US" w:eastAsia="zh-CN"/>
              </w:rPr>
            </w:pPr>
            <w:r>
              <w:rPr>
                <w:rFonts w:hint="eastAsia"/>
                <w:sz w:val="18"/>
                <w:szCs w:val="18"/>
                <w:lang w:val="en-US" w:eastAsia="zh-CN"/>
              </w:rPr>
              <w:t>一、本年新收政府信息公开申请数量</w:t>
            </w:r>
          </w:p>
        </w:tc>
        <w:tc>
          <w:tcPr>
            <w:tcW w:w="825" w:type="dxa"/>
            <w:vAlign w:val="center"/>
          </w:tcPr>
          <w:p>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28" w:type="dxa"/>
            <w:gridSpan w:val="3"/>
            <w:vAlign w:val="top"/>
          </w:tcPr>
          <w:p>
            <w:pPr>
              <w:jc w:val="both"/>
              <w:rPr>
                <w:rFonts w:hint="default"/>
                <w:sz w:val="18"/>
                <w:szCs w:val="18"/>
                <w:lang w:val="en-US" w:eastAsia="zh-CN"/>
              </w:rPr>
            </w:pPr>
            <w:r>
              <w:rPr>
                <w:rFonts w:hint="eastAsia"/>
                <w:sz w:val="18"/>
                <w:szCs w:val="18"/>
                <w:lang w:val="en-US" w:eastAsia="zh-CN"/>
              </w:rPr>
              <w:t>二、上年结转政府信息公开申请数量</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3" w:type="dxa"/>
            <w:vMerge w:val="restart"/>
            <w:vAlign w:val="center"/>
          </w:tcPr>
          <w:p>
            <w:pPr>
              <w:jc w:val="center"/>
              <w:rPr>
                <w:rFonts w:hint="default"/>
                <w:sz w:val="18"/>
                <w:szCs w:val="18"/>
                <w:lang w:val="en-US" w:eastAsia="zh-CN"/>
              </w:rPr>
            </w:pPr>
            <w:r>
              <w:rPr>
                <w:rFonts w:hint="eastAsia"/>
                <w:sz w:val="18"/>
                <w:szCs w:val="18"/>
                <w:lang w:val="en-US" w:eastAsia="zh-CN"/>
              </w:rPr>
              <w:t>三、本年度办理结果</w:t>
            </w:r>
          </w:p>
        </w:tc>
        <w:tc>
          <w:tcPr>
            <w:tcW w:w="4005" w:type="dxa"/>
            <w:gridSpan w:val="2"/>
            <w:vAlign w:val="top"/>
          </w:tcPr>
          <w:p>
            <w:pPr>
              <w:jc w:val="both"/>
              <w:rPr>
                <w:rFonts w:hint="default"/>
                <w:sz w:val="18"/>
                <w:szCs w:val="18"/>
                <w:lang w:val="en-US" w:eastAsia="zh-CN"/>
              </w:rPr>
            </w:pPr>
            <w:r>
              <w:rPr>
                <w:rFonts w:hint="eastAsia"/>
                <w:sz w:val="18"/>
                <w:szCs w:val="18"/>
                <w:lang w:val="en-US" w:eastAsia="zh-CN"/>
              </w:rPr>
              <w:t>（一）予以公开</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23" w:type="dxa"/>
            <w:vMerge w:val="continue"/>
            <w:vAlign w:val="center"/>
          </w:tcPr>
          <w:p>
            <w:pPr>
              <w:jc w:val="center"/>
              <w:rPr>
                <w:sz w:val="18"/>
                <w:szCs w:val="18"/>
              </w:rPr>
            </w:pPr>
          </w:p>
        </w:tc>
        <w:tc>
          <w:tcPr>
            <w:tcW w:w="4005" w:type="dxa"/>
            <w:gridSpan w:val="2"/>
            <w:vAlign w:val="top"/>
          </w:tcPr>
          <w:p>
            <w:pPr>
              <w:jc w:val="both"/>
              <w:rPr>
                <w:rFonts w:hint="default"/>
                <w:sz w:val="18"/>
                <w:szCs w:val="18"/>
                <w:lang w:val="en-US" w:eastAsia="zh-CN"/>
              </w:rPr>
            </w:pPr>
            <w:r>
              <w:rPr>
                <w:rFonts w:hint="eastAsia"/>
                <w:sz w:val="18"/>
                <w:szCs w:val="18"/>
                <w:lang w:val="en-US" w:eastAsia="zh-CN"/>
              </w:rPr>
              <w:t>（二）部分公开（</w:t>
            </w:r>
            <w:r>
              <w:rPr>
                <w:rFonts w:hint="eastAsia" w:ascii="楷体" w:hAnsi="楷体" w:eastAsia="楷体" w:cs="楷体"/>
                <w:b/>
                <w:bCs/>
                <w:sz w:val="21"/>
                <w:szCs w:val="21"/>
                <w:lang w:val="en-US" w:eastAsia="zh-CN"/>
              </w:rPr>
              <w:t>区分处理的，只记这一情形，不计其他情形</w:t>
            </w:r>
            <w:r>
              <w:rPr>
                <w:rFonts w:hint="eastAsia"/>
                <w:sz w:val="18"/>
                <w:szCs w:val="18"/>
                <w:lang w:val="en-US" w:eastAsia="zh-CN"/>
              </w:rPr>
              <w:t>）</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（三）不予公开</w:t>
            </w:r>
          </w:p>
        </w:tc>
        <w:tc>
          <w:tcPr>
            <w:tcW w:w="2580" w:type="dxa"/>
            <w:vAlign w:val="center"/>
          </w:tcPr>
          <w:p>
            <w:pPr>
              <w:jc w:val="left"/>
              <w:rPr>
                <w:rFonts w:hint="default"/>
                <w:sz w:val="18"/>
                <w:szCs w:val="18"/>
                <w:lang w:val="en-US" w:eastAsia="zh-CN"/>
              </w:rPr>
            </w:pPr>
            <w:r>
              <w:rPr>
                <w:rFonts w:hint="eastAsia"/>
                <w:sz w:val="18"/>
                <w:szCs w:val="18"/>
                <w:lang w:val="en-US" w:eastAsia="zh-CN"/>
              </w:rPr>
              <w:t>1.属于国家机密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sz w:val="18"/>
                <w:szCs w:val="18"/>
              </w:rPr>
            </w:pPr>
          </w:p>
        </w:tc>
        <w:tc>
          <w:tcPr>
            <w:tcW w:w="1425" w:type="dxa"/>
            <w:vMerge w:val="continue"/>
            <w:vAlign w:val="center"/>
          </w:tcPr>
          <w:p>
            <w:pPr>
              <w:jc w:val="center"/>
              <w:rPr>
                <w:sz w:val="18"/>
                <w:szCs w:val="18"/>
              </w:rPr>
            </w:pPr>
          </w:p>
        </w:tc>
        <w:tc>
          <w:tcPr>
            <w:tcW w:w="2580" w:type="dxa"/>
            <w:vAlign w:val="center"/>
          </w:tcPr>
          <w:p>
            <w:pPr>
              <w:jc w:val="left"/>
              <w:rPr>
                <w:rFonts w:hint="default"/>
                <w:sz w:val="18"/>
                <w:szCs w:val="18"/>
                <w:lang w:val="en-US" w:eastAsia="zh-CN"/>
              </w:rPr>
            </w:pPr>
            <w:r>
              <w:rPr>
                <w:rFonts w:hint="eastAsia"/>
                <w:sz w:val="18"/>
                <w:szCs w:val="18"/>
                <w:lang w:val="en-US" w:eastAsia="zh-CN"/>
              </w:rPr>
              <w:t>2.其他法律行政法规禁止公开</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3.危及“三安全一稳定”</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4.保护第三方合法权益</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5.属于三类内部事务信息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6.属于四类过程性信息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7.属于行政执法案卷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8.属于行政查询事项</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（四）无法提供</w:t>
            </w:r>
          </w:p>
        </w:tc>
        <w:tc>
          <w:tcPr>
            <w:tcW w:w="2580" w:type="dxa"/>
            <w:vAlign w:val="center"/>
          </w:tcPr>
          <w:p>
            <w:pPr>
              <w:jc w:val="left"/>
              <w:rPr>
                <w:rFonts w:hint="default"/>
                <w:sz w:val="18"/>
                <w:szCs w:val="18"/>
                <w:lang w:val="en-US" w:eastAsia="zh-CN"/>
              </w:rPr>
            </w:pPr>
            <w:r>
              <w:rPr>
                <w:rFonts w:hint="eastAsia"/>
                <w:sz w:val="18"/>
                <w:szCs w:val="18"/>
                <w:lang w:val="en-US" w:eastAsia="zh-CN"/>
              </w:rPr>
              <w:t>1.本机关不掌握相关政府信息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2.没有现成信息需要另行制作</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3.补正后申请内容仍不明确</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（五）不予处理</w:t>
            </w:r>
          </w:p>
        </w:tc>
        <w:tc>
          <w:tcPr>
            <w:tcW w:w="2580" w:type="dxa"/>
            <w:vAlign w:val="center"/>
          </w:tcPr>
          <w:p>
            <w:pPr>
              <w:jc w:val="left"/>
              <w:rPr>
                <w:rFonts w:hint="default"/>
                <w:sz w:val="18"/>
                <w:szCs w:val="18"/>
                <w:lang w:val="en-US" w:eastAsia="zh-CN"/>
              </w:rPr>
            </w:pPr>
            <w:r>
              <w:rPr>
                <w:rFonts w:hint="eastAsia"/>
                <w:sz w:val="18"/>
                <w:szCs w:val="18"/>
                <w:lang w:val="en-US" w:eastAsia="zh-CN"/>
              </w:rPr>
              <w:t>1.信访举报投诉类申请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3.要求提供公开出版物</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4.无正当理由大量反复申请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5.要求行政机关确认或重新出具已获取信息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（六）其他处理</w:t>
            </w:r>
          </w:p>
        </w:tc>
        <w:tc>
          <w:tcPr>
            <w:tcW w:w="2580" w:type="dxa"/>
            <w:vAlign w:val="center"/>
          </w:tcPr>
          <w:p>
            <w:pPr>
              <w:jc w:val="left"/>
              <w:rPr>
                <w:rFonts w:hint="default"/>
                <w:sz w:val="18"/>
                <w:szCs w:val="18"/>
                <w:lang w:val="en-US" w:eastAsia="zh-CN"/>
              </w:rPr>
            </w:pPr>
            <w:r>
              <w:rPr>
                <w:rFonts w:hint="eastAsia"/>
                <w:sz w:val="18"/>
                <w:szCs w:val="18"/>
                <w:lang w:val="en-US" w:eastAsia="zh-CN"/>
              </w:rPr>
              <w:t>1.申请人无正当理由逾期不补正、行政机关不再处理其政府信息公开申请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2.申请人逾期未按收费通知要求缴纳费用、行政机关不再处理其他政府公开申请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3.其他</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23" w:type="dxa"/>
            <w:vMerge w:val="continue"/>
            <w:vAlign w:val="center"/>
          </w:tcPr>
          <w:p>
            <w:pPr>
              <w:jc w:val="center"/>
              <w:rPr>
                <w:rFonts w:hint="eastAsia"/>
                <w:sz w:val="18"/>
                <w:szCs w:val="18"/>
                <w:lang w:val="en-US" w:eastAsia="zh-CN"/>
              </w:rPr>
            </w:pPr>
          </w:p>
        </w:tc>
        <w:tc>
          <w:tcPr>
            <w:tcW w:w="4005" w:type="dxa"/>
            <w:gridSpan w:val="2"/>
            <w:vAlign w:val="center"/>
          </w:tcPr>
          <w:p>
            <w:pPr>
              <w:jc w:val="left"/>
              <w:rPr>
                <w:rFonts w:hint="default"/>
                <w:sz w:val="18"/>
                <w:szCs w:val="18"/>
                <w:lang w:val="en-US" w:eastAsia="zh-CN"/>
              </w:rPr>
            </w:pPr>
            <w:r>
              <w:rPr>
                <w:rFonts w:hint="eastAsia"/>
                <w:sz w:val="18"/>
                <w:szCs w:val="18"/>
                <w:lang w:val="en-US" w:eastAsia="zh-CN"/>
              </w:rPr>
              <w:t>（七）总计</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328" w:type="dxa"/>
            <w:gridSpan w:val="3"/>
            <w:vAlign w:val="center"/>
          </w:tcPr>
          <w:p>
            <w:pPr>
              <w:jc w:val="left"/>
              <w:rPr>
                <w:rFonts w:hint="default"/>
                <w:sz w:val="18"/>
                <w:szCs w:val="18"/>
                <w:lang w:val="en-US" w:eastAsia="zh-CN"/>
              </w:rPr>
            </w:pPr>
            <w:r>
              <w:rPr>
                <w:rFonts w:hint="eastAsia"/>
                <w:sz w:val="18"/>
                <w:szCs w:val="18"/>
                <w:lang w:val="en-US" w:eastAsia="zh-CN"/>
              </w:rPr>
              <w:t>四、结转下年度继续办理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bl>
    <w:p>
      <w:pPr>
        <w:numPr>
          <w:ilvl w:val="0"/>
          <w:numId w:val="0"/>
        </w:numPr>
        <w:ind w:leftChars="0" w:firstLine="640" w:firstLineChars="200"/>
        <w:jc w:val="left"/>
        <w:rPr>
          <w:rFonts w:hint="eastAsia" w:ascii="方正小标宋简体" w:hAnsi="方正小标宋简体" w:eastAsia="方正小标宋简体" w:cs="方正小标宋简体"/>
          <w:b w:val="0"/>
          <w:bCs w:val="0"/>
          <w:color w:val="auto"/>
          <w:kern w:val="0"/>
          <w:sz w:val="44"/>
          <w:szCs w:val="44"/>
          <w:u w:val="none"/>
          <w:lang w:val="en-US" w:eastAsia="zh-CN" w:bidi="ar"/>
        </w:rPr>
      </w:pPr>
      <w:r>
        <w:rPr>
          <w:rFonts w:hint="eastAsia" w:ascii="黑体" w:hAnsi="黑体" w:eastAsia="黑体" w:cs="黑体"/>
          <w:b w:val="0"/>
          <w:bCs w:val="0"/>
          <w:sz w:val="32"/>
          <w:szCs w:val="32"/>
          <w:lang w:val="en-US" w:eastAsia="zh-CN"/>
        </w:rPr>
        <w:t>四、政府信息公开行政复议、行政诉讼情况</w:t>
      </w:r>
    </w:p>
    <w:tbl>
      <w:tblPr>
        <w:tblStyle w:val="5"/>
        <w:tblpPr w:leftFromText="180" w:rightFromText="180" w:vertAnchor="text" w:horzAnchor="page" w:tblpX="1290" w:tblpY="300"/>
        <w:tblOverlap w:val="never"/>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600"/>
        <w:gridCol w:w="645"/>
        <w:gridCol w:w="670"/>
        <w:gridCol w:w="605"/>
        <w:gridCol w:w="610"/>
        <w:gridCol w:w="585"/>
        <w:gridCol w:w="630"/>
        <w:gridCol w:w="645"/>
        <w:gridCol w:w="615"/>
        <w:gridCol w:w="578"/>
        <w:gridCol w:w="633"/>
        <w:gridCol w:w="633"/>
        <w:gridCol w:w="633"/>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3270"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行政复议</w:t>
            </w:r>
          </w:p>
        </w:tc>
        <w:tc>
          <w:tcPr>
            <w:tcW w:w="6250" w:type="dxa"/>
            <w:gridSpan w:val="10"/>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结果维持</w:t>
            </w:r>
          </w:p>
        </w:tc>
        <w:tc>
          <w:tcPr>
            <w:tcW w:w="60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结果纠正</w:t>
            </w:r>
          </w:p>
        </w:tc>
        <w:tc>
          <w:tcPr>
            <w:tcW w:w="64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其他结果</w:t>
            </w:r>
          </w:p>
        </w:tc>
        <w:tc>
          <w:tcPr>
            <w:tcW w:w="67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尚未审结</w:t>
            </w:r>
          </w:p>
        </w:tc>
        <w:tc>
          <w:tcPr>
            <w:tcW w:w="60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c>
          <w:tcPr>
            <w:tcW w:w="308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未经复议直接起诉</w:t>
            </w:r>
          </w:p>
        </w:tc>
        <w:tc>
          <w:tcPr>
            <w:tcW w:w="316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Merge w:val="continue"/>
            <w:vAlign w:val="center"/>
          </w:tcPr>
          <w:p>
            <w:pPr>
              <w:jc w:val="center"/>
            </w:pPr>
          </w:p>
        </w:tc>
        <w:tc>
          <w:tcPr>
            <w:tcW w:w="600" w:type="dxa"/>
            <w:vMerge w:val="continue"/>
            <w:vAlign w:val="center"/>
          </w:tcPr>
          <w:p>
            <w:pPr>
              <w:jc w:val="center"/>
            </w:pPr>
          </w:p>
        </w:tc>
        <w:tc>
          <w:tcPr>
            <w:tcW w:w="645" w:type="dxa"/>
            <w:vMerge w:val="continue"/>
            <w:vAlign w:val="center"/>
          </w:tcPr>
          <w:p>
            <w:pPr>
              <w:jc w:val="center"/>
            </w:pPr>
          </w:p>
        </w:tc>
        <w:tc>
          <w:tcPr>
            <w:tcW w:w="670" w:type="dxa"/>
            <w:vMerge w:val="continue"/>
            <w:vAlign w:val="center"/>
          </w:tcPr>
          <w:p>
            <w:pPr>
              <w:jc w:val="center"/>
            </w:pPr>
          </w:p>
        </w:tc>
        <w:tc>
          <w:tcPr>
            <w:tcW w:w="605" w:type="dxa"/>
            <w:vMerge w:val="continue"/>
            <w:vAlign w:val="center"/>
          </w:tcPr>
          <w:p>
            <w:pPr>
              <w:jc w:val="center"/>
            </w:pPr>
          </w:p>
        </w:tc>
        <w:tc>
          <w:tcPr>
            <w:tcW w:w="61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58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4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1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c>
          <w:tcPr>
            <w:tcW w:w="57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8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Align w:val="center"/>
          </w:tcPr>
          <w:p>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0" w:type="dxa"/>
            <w:vAlign w:val="center"/>
          </w:tcPr>
          <w:p>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45" w:type="dxa"/>
            <w:vAlign w:val="center"/>
          </w:tcPr>
          <w:p>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70" w:type="dxa"/>
            <w:vAlign w:val="center"/>
          </w:tcPr>
          <w:p>
            <w:pPr>
              <w:jc w:val="cente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0</w:t>
            </w:r>
          </w:p>
        </w:tc>
        <w:tc>
          <w:tcPr>
            <w:tcW w:w="605" w:type="dxa"/>
            <w:vAlign w:val="center"/>
          </w:tcPr>
          <w:p>
            <w:pPr>
              <w:jc w:val="cente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10"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585"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30"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45"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15"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578"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33"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33"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33"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c>
          <w:tcPr>
            <w:tcW w:w="688" w:type="dxa"/>
            <w:vAlign w:val="center"/>
          </w:tcPr>
          <w:p>
            <w:pPr>
              <w:jc w:val="center"/>
              <w:rPr>
                <w:rFonts w:hint="eastAsia" w:ascii="Times New Roman" w:hAnsi="Times New Roman" w:cs="Times New Roman" w:eastAsiaTheme="minorEastAsia"/>
                <w:kern w:val="2"/>
                <w:sz w:val="21"/>
                <w:szCs w:val="24"/>
                <w:lang w:val="en-US" w:eastAsia="zh-CN" w:bidi="ar-SA"/>
              </w:rPr>
            </w:pPr>
            <w:r>
              <w:rPr>
                <w:rFonts w:hint="default" w:ascii="Times New Roman" w:hAnsi="Times New Roman" w:cs="Times New Roman"/>
                <w:lang w:val="en-US" w:eastAsia="zh-CN"/>
              </w:rPr>
              <w:t>0</w:t>
            </w:r>
          </w:p>
        </w:tc>
      </w:tr>
    </w:tbl>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555"/>
        <w:jc w:val="left"/>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五、存在的主要问题及改进情况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2021</w:t>
      </w:r>
      <w:r>
        <w:rPr>
          <w:rFonts w:hint="eastAsia" w:ascii="仿宋_GB2312" w:hAnsi="微软雅黑" w:eastAsia="仿宋_GB2312" w:cs="仿宋_GB2312"/>
          <w:i w:val="0"/>
          <w:iCs w:val="0"/>
          <w:caps w:val="0"/>
          <w:color w:val="000000"/>
          <w:spacing w:val="0"/>
          <w:sz w:val="32"/>
          <w:szCs w:val="32"/>
        </w:rPr>
        <w:t>年，我部门政务公开工作主要</w:t>
      </w:r>
      <w:r>
        <w:rPr>
          <w:rFonts w:hint="eastAsia" w:ascii="黑体" w:hAnsi="黑体" w:eastAsia="黑体" w:cs="黑体"/>
          <w:b w:val="0"/>
          <w:bCs w:val="0"/>
          <w:kern w:val="2"/>
          <w:sz w:val="32"/>
          <w:szCs w:val="32"/>
          <w:lang w:val="en-US" w:eastAsia="zh-CN" w:bidi="ar-SA"/>
        </w:rPr>
        <w:t>问题</w:t>
      </w:r>
      <w:r>
        <w:rPr>
          <w:rFonts w:hint="eastAsia" w:ascii="仿宋_GB2312" w:hAnsi="微软雅黑" w:eastAsia="仿宋_GB2312" w:cs="仿宋_GB2312"/>
          <w:i w:val="0"/>
          <w:iCs w:val="0"/>
          <w:caps w:val="0"/>
          <w:color w:val="000000"/>
          <w:spacing w:val="0"/>
          <w:sz w:val="32"/>
          <w:szCs w:val="32"/>
        </w:rPr>
        <w:t>一是存在部分信息公开不及时的问题；二是存在落实工作措施不到位问题；三是人员专业度有待提升。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下一步将重点做好以下几方面工作：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一是提高认识，通过加强学习，推进政务公开工作专业化、全面化和透明化，增强政府公信力。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二是强化业务熟练度。根据上级部门及党工委管委办公室的相关要求，及时采取文件学习、会议传达等方式，提升信息公开工作的质量。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三是加强政务公开工作重视程度。将信息公开工作纳入日常和年度工作考核，深化落实工作作风，提高工作质量，确保各项工作落到实处。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640" w:firstLineChars="200"/>
        <w:jc w:val="left"/>
        <w:rPr>
          <w:rFonts w:hint="eastAsia" w:ascii="黑体" w:hAnsi="黑体" w:eastAsia="黑体" w:cs="黑体"/>
          <w:b w:val="0"/>
          <w:bCs w:val="0"/>
          <w:kern w:val="2"/>
          <w:sz w:val="32"/>
          <w:szCs w:val="32"/>
          <w:shd w:val="clear" w:color="auto" w:fill="auto"/>
          <w:lang w:val="en-US" w:eastAsia="zh-CN" w:bidi="ar-SA"/>
        </w:rPr>
      </w:pPr>
      <w:bookmarkStart w:id="0" w:name="_GoBack"/>
      <w:bookmarkEnd w:id="0"/>
      <w:r>
        <w:rPr>
          <w:rFonts w:hint="eastAsia" w:ascii="黑体" w:hAnsi="黑体" w:eastAsia="黑体" w:cs="黑体"/>
          <w:b w:val="0"/>
          <w:bCs w:val="0"/>
          <w:kern w:val="2"/>
          <w:sz w:val="32"/>
          <w:szCs w:val="32"/>
          <w:shd w:val="clear" w:color="auto" w:fill="auto"/>
          <w:lang w:val="en-US" w:eastAsia="zh-CN" w:bidi="ar-SA"/>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仿宋_GB2312" w:hAnsi="微软雅黑" w:eastAsia="仿宋_GB2312" w:cs="仿宋_GB2312"/>
          <w:i w:val="0"/>
          <w:iCs w:val="0"/>
          <w:caps w:val="0"/>
          <w:color w:val="000000"/>
          <w:spacing w:val="0"/>
          <w:sz w:val="32"/>
          <w:szCs w:val="32"/>
        </w:rPr>
      </w:pPr>
    </w:p>
    <w:p>
      <w:pPr>
        <w:rPr>
          <w:rFonts w:hint="eastAsia"/>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DE30C6"/>
    <w:rsid w:val="55C6792C"/>
    <w:rsid w:val="5A545C7E"/>
    <w:rsid w:val="5EBD3CCB"/>
    <w:rsid w:val="763F4F88"/>
    <w:rsid w:val="7C2B0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2104</Words>
  <Characters>2231</Characters>
  <Lines>0</Lines>
  <Paragraphs>0</Paragraphs>
  <TotalTime>10</TotalTime>
  <ScaleCrop>false</ScaleCrop>
  <LinksUpToDate>false</LinksUpToDate>
  <CharactersWithSpaces>2236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2022-01-26T06:57:00Z</dcterms:created>
  <dc:creator>Lenovo009</dc:creator>
  <cp:lastModifiedBy>一依</cp:lastModifiedBy>
  <dcterms:modified xsi:type="dcterms:W3CDTF">2022-01-26T07:21:48Z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CEC007E482D94D0690402E1DD1583913</vt:lpwstr>
  </property>
</Properties>
</file>