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E24D">
      <w:pPr>
        <w:spacing w:before="85" w:line="198" w:lineRule="auto"/>
        <w:jc w:val="center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淄博经济开发区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实行政府定价的经营服务性收费目录清单</w:t>
      </w:r>
    </w:p>
    <w:p w14:paraId="74760725">
      <w:pPr>
        <w:spacing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28"/>
          <w:szCs w:val="28"/>
          <w:highlight w:val="none"/>
        </w:rPr>
      </w:pPr>
      <w:bookmarkStart w:id="0" w:name="_GoBack"/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</w:rPr>
        <w:t>（截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</w:rPr>
        <w:t>202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pacing w:val="11"/>
          <w:sz w:val="28"/>
          <w:szCs w:val="28"/>
          <w:highlight w:val="none"/>
        </w:rPr>
        <w:t>日）</w:t>
      </w:r>
    </w:p>
    <w:bookmarkEnd w:id="0"/>
    <w:tbl>
      <w:tblPr>
        <w:tblStyle w:val="6"/>
        <w:tblW w:w="14771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347"/>
        <w:gridCol w:w="2072"/>
        <w:gridCol w:w="686"/>
        <w:gridCol w:w="686"/>
        <w:gridCol w:w="760"/>
        <w:gridCol w:w="1359"/>
        <w:gridCol w:w="4558"/>
        <w:gridCol w:w="2191"/>
      </w:tblGrid>
      <w:tr w14:paraId="535F6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57E93DE3">
            <w:pPr>
              <w:spacing w:before="253" w:line="226" w:lineRule="auto"/>
              <w:ind w:left="358" w:right="119" w:hanging="2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行业主管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部门</w:t>
            </w:r>
          </w:p>
        </w:tc>
        <w:tc>
          <w:tcPr>
            <w:tcW w:w="1347" w:type="dxa"/>
            <w:vMerge w:val="restart"/>
            <w:tcBorders>
              <w:bottom w:val="nil"/>
            </w:tcBorders>
            <w:vAlign w:val="top"/>
          </w:tcPr>
          <w:p w14:paraId="413B2BD6">
            <w:pPr>
              <w:spacing w:line="310" w:lineRule="auto"/>
              <w:rPr>
                <w:rFonts w:ascii="Arial"/>
                <w:sz w:val="21"/>
              </w:rPr>
            </w:pPr>
          </w:p>
          <w:p w14:paraId="48E4ADE5">
            <w:pPr>
              <w:spacing w:before="68" w:line="223" w:lineRule="auto"/>
              <w:ind w:left="2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收费单位</w:t>
            </w:r>
          </w:p>
        </w:tc>
        <w:tc>
          <w:tcPr>
            <w:tcW w:w="2072" w:type="dxa"/>
            <w:vMerge w:val="restart"/>
            <w:tcBorders>
              <w:bottom w:val="nil"/>
            </w:tcBorders>
            <w:vAlign w:val="top"/>
          </w:tcPr>
          <w:p w14:paraId="04BE34D7">
            <w:pPr>
              <w:spacing w:line="310" w:lineRule="auto"/>
              <w:rPr>
                <w:rFonts w:ascii="Arial"/>
                <w:sz w:val="21"/>
              </w:rPr>
            </w:pPr>
          </w:p>
          <w:p w14:paraId="2EEC799E">
            <w:pPr>
              <w:spacing w:before="69" w:line="222" w:lineRule="auto"/>
              <w:ind w:left="6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收费项目</w:t>
            </w:r>
          </w:p>
        </w:tc>
        <w:tc>
          <w:tcPr>
            <w:tcW w:w="2132" w:type="dxa"/>
            <w:gridSpan w:val="3"/>
            <w:vAlign w:val="top"/>
          </w:tcPr>
          <w:p w14:paraId="752358BB">
            <w:pPr>
              <w:spacing w:before="128" w:line="223" w:lineRule="auto"/>
              <w:ind w:left="8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是否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740C26F2">
            <w:pPr>
              <w:spacing w:line="310" w:lineRule="auto"/>
              <w:rPr>
                <w:rFonts w:ascii="Arial"/>
                <w:sz w:val="21"/>
              </w:rPr>
            </w:pPr>
          </w:p>
          <w:p w14:paraId="6927FAC8">
            <w:pPr>
              <w:spacing w:before="68" w:line="223" w:lineRule="auto"/>
              <w:ind w:left="2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计费单位</w:t>
            </w:r>
          </w:p>
        </w:tc>
        <w:tc>
          <w:tcPr>
            <w:tcW w:w="4558" w:type="dxa"/>
            <w:vMerge w:val="restart"/>
            <w:tcBorders>
              <w:bottom w:val="nil"/>
            </w:tcBorders>
            <w:vAlign w:val="top"/>
          </w:tcPr>
          <w:p w14:paraId="69DD6FA1">
            <w:pPr>
              <w:spacing w:line="310" w:lineRule="auto"/>
              <w:rPr>
                <w:rFonts w:ascii="Arial"/>
                <w:sz w:val="21"/>
              </w:rPr>
            </w:pPr>
          </w:p>
          <w:p w14:paraId="0CEB6FC3">
            <w:pPr>
              <w:spacing w:before="68" w:line="224" w:lineRule="auto"/>
              <w:ind w:left="18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收费标准</w:t>
            </w:r>
          </w:p>
        </w:tc>
        <w:tc>
          <w:tcPr>
            <w:tcW w:w="2191" w:type="dxa"/>
            <w:vMerge w:val="restart"/>
            <w:tcBorders>
              <w:bottom w:val="nil"/>
            </w:tcBorders>
            <w:vAlign w:val="top"/>
          </w:tcPr>
          <w:p w14:paraId="273737D6">
            <w:pPr>
              <w:spacing w:line="310" w:lineRule="auto"/>
              <w:rPr>
                <w:rFonts w:ascii="Arial"/>
                <w:sz w:val="21"/>
              </w:rPr>
            </w:pPr>
          </w:p>
          <w:p w14:paraId="3EBCD754">
            <w:pPr>
              <w:spacing w:before="69" w:line="222" w:lineRule="auto"/>
              <w:ind w:left="6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收费依据</w:t>
            </w:r>
          </w:p>
        </w:tc>
      </w:tr>
      <w:tr w14:paraId="2D990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3D1432AD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  <w:vAlign w:val="top"/>
          </w:tcPr>
          <w:p w14:paraId="7D37266F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Merge w:val="continue"/>
            <w:tcBorders>
              <w:top w:val="nil"/>
            </w:tcBorders>
            <w:vAlign w:val="top"/>
          </w:tcPr>
          <w:p w14:paraId="076EB90E"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 w14:paraId="09AA071C">
            <w:pPr>
              <w:spacing w:before="148" w:line="222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涉企</w:t>
            </w:r>
          </w:p>
        </w:tc>
        <w:tc>
          <w:tcPr>
            <w:tcW w:w="686" w:type="dxa"/>
            <w:vAlign w:val="top"/>
          </w:tcPr>
          <w:p w14:paraId="03EC9FEC">
            <w:pPr>
              <w:spacing w:before="69" w:line="228" w:lineRule="auto"/>
              <w:ind w:left="104" w:right="8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行政审</w:t>
            </w: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批前置</w:t>
            </w:r>
          </w:p>
        </w:tc>
        <w:tc>
          <w:tcPr>
            <w:tcW w:w="760" w:type="dxa"/>
            <w:vAlign w:val="top"/>
          </w:tcPr>
          <w:p w14:paraId="26FAC20F">
            <w:pPr>
              <w:spacing w:before="69" w:line="228" w:lineRule="auto"/>
              <w:ind w:left="232" w:right="205" w:hanging="1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涉进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16"/>
                <w:szCs w:val="16"/>
              </w:rPr>
              <w:t>出口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544F3E17">
            <w:pPr>
              <w:rPr>
                <w:rFonts w:ascii="Arial"/>
                <w:sz w:val="21"/>
              </w:rPr>
            </w:pPr>
          </w:p>
        </w:tc>
        <w:tc>
          <w:tcPr>
            <w:tcW w:w="4558" w:type="dxa"/>
            <w:vMerge w:val="continue"/>
            <w:tcBorders>
              <w:top w:val="nil"/>
            </w:tcBorders>
            <w:vAlign w:val="top"/>
          </w:tcPr>
          <w:p w14:paraId="5E31FAC7"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vMerge w:val="continue"/>
            <w:tcBorders>
              <w:top w:val="nil"/>
            </w:tcBorders>
            <w:vAlign w:val="top"/>
          </w:tcPr>
          <w:p w14:paraId="2E77AFA3">
            <w:pPr>
              <w:rPr>
                <w:rFonts w:ascii="Arial"/>
                <w:sz w:val="21"/>
              </w:rPr>
            </w:pPr>
          </w:p>
        </w:tc>
      </w:tr>
      <w:tr w14:paraId="0438D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2" w:type="dxa"/>
            <w:vMerge w:val="restart"/>
            <w:vAlign w:val="center"/>
          </w:tcPr>
          <w:p w14:paraId="4D8244D7">
            <w:pPr>
              <w:spacing w:before="68" w:line="222" w:lineRule="auto"/>
              <w:ind w:left="1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城管系统</w:t>
            </w:r>
          </w:p>
        </w:tc>
        <w:tc>
          <w:tcPr>
            <w:tcW w:w="1347" w:type="dxa"/>
            <w:vAlign w:val="center"/>
          </w:tcPr>
          <w:p w14:paraId="54ED9243">
            <w:pPr>
              <w:spacing w:before="130" w:line="236" w:lineRule="auto"/>
              <w:ind w:left="475" w:right="464" w:hanging="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物业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公司</w:t>
            </w:r>
          </w:p>
        </w:tc>
        <w:tc>
          <w:tcPr>
            <w:tcW w:w="2072" w:type="dxa"/>
            <w:vAlign w:val="top"/>
          </w:tcPr>
          <w:p w14:paraId="7D75AAE6">
            <w:pPr>
              <w:pStyle w:val="7"/>
              <w:spacing w:before="261" w:line="214" w:lineRule="auto"/>
              <w:ind w:left="37"/>
            </w:pPr>
            <w:r>
              <w:t>普通住宅前期物业服务费</w:t>
            </w:r>
          </w:p>
        </w:tc>
        <w:tc>
          <w:tcPr>
            <w:tcW w:w="686" w:type="dxa"/>
            <w:vAlign w:val="top"/>
          </w:tcPr>
          <w:p w14:paraId="3D13890F">
            <w:pPr>
              <w:pStyle w:val="7"/>
              <w:spacing w:before="262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05D11383">
            <w:pPr>
              <w:pStyle w:val="7"/>
              <w:spacing w:before="262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39D803D6">
            <w:pPr>
              <w:pStyle w:val="7"/>
              <w:spacing w:before="262" w:line="225" w:lineRule="auto"/>
              <w:ind w:left="302"/>
            </w:pPr>
            <w:r>
              <w:t>否</w:t>
            </w:r>
          </w:p>
        </w:tc>
        <w:tc>
          <w:tcPr>
            <w:tcW w:w="5917" w:type="dxa"/>
            <w:gridSpan w:val="2"/>
            <w:vAlign w:val="top"/>
          </w:tcPr>
          <w:p w14:paraId="758877C3">
            <w:pPr>
              <w:pStyle w:val="7"/>
              <w:spacing w:before="261" w:line="213" w:lineRule="auto"/>
              <w:ind w:left="1240"/>
            </w:pPr>
            <w:r>
              <w:rPr>
                <w:spacing w:val="1"/>
              </w:rPr>
              <w:t>按服务星级对应政府指导价及相关规定收费</w:t>
            </w:r>
          </w:p>
        </w:tc>
        <w:tc>
          <w:tcPr>
            <w:tcW w:w="2191" w:type="dxa"/>
            <w:shd w:val="clear" w:color="auto" w:fill="auto"/>
            <w:vAlign w:val="top"/>
          </w:tcPr>
          <w:p w14:paraId="2B5A05FB">
            <w:pPr>
              <w:pStyle w:val="7"/>
              <w:spacing w:before="262" w:line="214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淄经开经发</w:t>
            </w:r>
            <w:r>
              <w:t>〔2024〕</w:t>
            </w:r>
            <w:r>
              <w:rPr>
                <w:rFonts w:hint="eastAsia"/>
                <w:lang w:val="en-US" w:eastAsia="zh-CN"/>
              </w:rPr>
              <w:t>14</w:t>
            </w:r>
            <w:r>
              <w:t>号</w:t>
            </w:r>
          </w:p>
        </w:tc>
      </w:tr>
      <w:tr w14:paraId="2349A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12" w:type="dxa"/>
            <w:vMerge w:val="continue"/>
            <w:tcBorders>
              <w:bottom w:val="nil"/>
            </w:tcBorders>
            <w:vAlign w:val="center"/>
          </w:tcPr>
          <w:p w14:paraId="34152113">
            <w:pPr>
              <w:spacing w:before="68" w:line="222" w:lineRule="auto"/>
              <w:ind w:left="140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E18676C">
            <w:pPr>
              <w:spacing w:before="130" w:line="236" w:lineRule="auto"/>
              <w:ind w:left="475" w:right="464" w:hanging="2"/>
              <w:rPr>
                <w:rFonts w:ascii="黑体" w:hAnsi="黑体" w:eastAsia="黑体" w:cs="黑体"/>
                <w:spacing w:val="7"/>
                <w:sz w:val="19"/>
                <w:szCs w:val="19"/>
              </w:rPr>
            </w:pPr>
          </w:p>
        </w:tc>
        <w:tc>
          <w:tcPr>
            <w:tcW w:w="2072" w:type="dxa"/>
            <w:vAlign w:val="top"/>
          </w:tcPr>
          <w:p w14:paraId="0AF9011B">
            <w:pPr>
              <w:pStyle w:val="7"/>
              <w:spacing w:before="261" w:line="214" w:lineRule="auto"/>
              <w:ind w:left="3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非居民厨余垃圾处理费</w:t>
            </w:r>
          </w:p>
        </w:tc>
        <w:tc>
          <w:tcPr>
            <w:tcW w:w="686" w:type="dxa"/>
            <w:vAlign w:val="top"/>
          </w:tcPr>
          <w:p w14:paraId="52725893">
            <w:pPr>
              <w:pStyle w:val="7"/>
              <w:spacing w:before="262" w:line="225" w:lineRule="auto"/>
              <w:ind w:left="265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686" w:type="dxa"/>
            <w:vAlign w:val="top"/>
          </w:tcPr>
          <w:p w14:paraId="7A10D0BC">
            <w:pPr>
              <w:pStyle w:val="7"/>
              <w:spacing w:before="262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16ADB6F8">
            <w:pPr>
              <w:pStyle w:val="7"/>
              <w:spacing w:before="262" w:line="225" w:lineRule="auto"/>
              <w:ind w:left="302"/>
            </w:pPr>
            <w:r>
              <w:t>否</w:t>
            </w:r>
          </w:p>
        </w:tc>
        <w:tc>
          <w:tcPr>
            <w:tcW w:w="5917" w:type="dxa"/>
            <w:gridSpan w:val="2"/>
            <w:vAlign w:val="top"/>
          </w:tcPr>
          <w:p w14:paraId="3C8523A2">
            <w:pPr>
              <w:pStyle w:val="7"/>
              <w:spacing w:before="261" w:line="213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每吨140元或每桶(容积240升)32元</w:t>
            </w:r>
          </w:p>
        </w:tc>
        <w:tc>
          <w:tcPr>
            <w:tcW w:w="2191" w:type="dxa"/>
            <w:shd w:val="clear" w:color="auto" w:fill="auto"/>
            <w:vAlign w:val="top"/>
          </w:tcPr>
          <w:p w14:paraId="10AF333D">
            <w:pPr>
              <w:pStyle w:val="7"/>
              <w:spacing w:before="262" w:line="214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淄经开经发〔2023</w:t>
            </w:r>
            <w:r>
              <w:t>〕</w:t>
            </w:r>
            <w:r>
              <w:rPr>
                <w:rFonts w:hint="eastAsia"/>
                <w:lang w:val="en-US" w:eastAsia="zh-CN"/>
              </w:rPr>
              <w:t>9号</w:t>
            </w:r>
          </w:p>
        </w:tc>
      </w:tr>
      <w:tr w14:paraId="6EC58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2" w:type="dxa"/>
            <w:vMerge w:val="restart"/>
            <w:vAlign w:val="center"/>
          </w:tcPr>
          <w:p w14:paraId="65025DF7">
            <w:pPr>
              <w:spacing w:before="68" w:line="223" w:lineRule="auto"/>
              <w:ind w:left="139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授权管理</w:t>
            </w:r>
          </w:p>
        </w:tc>
        <w:tc>
          <w:tcPr>
            <w:tcW w:w="1347" w:type="dxa"/>
            <w:vMerge w:val="restart"/>
            <w:vAlign w:val="center"/>
          </w:tcPr>
          <w:p w14:paraId="3DA26D56">
            <w:pPr>
              <w:spacing w:before="62" w:line="236" w:lineRule="auto"/>
              <w:ind w:left="283" w:right="59" w:hanging="207"/>
              <w:jc w:val="both"/>
              <w:rPr>
                <w:rFonts w:hint="default" w:ascii="黑体" w:hAnsi="黑体" w:eastAsia="黑体" w:cs="黑体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19"/>
                <w:szCs w:val="19"/>
                <w:lang w:val="en-US" w:eastAsia="zh-CN"/>
              </w:rPr>
              <w:t>淄博客运中心</w:t>
            </w:r>
          </w:p>
        </w:tc>
        <w:tc>
          <w:tcPr>
            <w:tcW w:w="2072" w:type="dxa"/>
            <w:vAlign w:val="top"/>
          </w:tcPr>
          <w:p w14:paraId="7824D80F">
            <w:pPr>
              <w:pStyle w:val="7"/>
              <w:spacing w:before="182" w:line="214" w:lineRule="auto"/>
              <w:ind w:left="27"/>
            </w:pPr>
            <w:r>
              <w:rPr>
                <w:spacing w:val="1"/>
              </w:rPr>
              <w:t>机动车停放服务收费标准</w:t>
            </w:r>
          </w:p>
        </w:tc>
        <w:tc>
          <w:tcPr>
            <w:tcW w:w="686" w:type="dxa"/>
            <w:vAlign w:val="top"/>
          </w:tcPr>
          <w:p w14:paraId="3058333A">
            <w:pPr>
              <w:pStyle w:val="7"/>
              <w:spacing w:before="183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0B91782D">
            <w:pPr>
              <w:pStyle w:val="7"/>
              <w:spacing w:before="183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1F59DB6C">
            <w:pPr>
              <w:pStyle w:val="7"/>
              <w:spacing w:before="183" w:line="225" w:lineRule="auto"/>
              <w:ind w:left="302"/>
            </w:pPr>
            <w:r>
              <w:t>否</w:t>
            </w:r>
          </w:p>
        </w:tc>
        <w:tc>
          <w:tcPr>
            <w:tcW w:w="5917" w:type="dxa"/>
            <w:gridSpan w:val="2"/>
            <w:vAlign w:val="top"/>
          </w:tcPr>
          <w:p w14:paraId="2626F3F7">
            <w:pPr>
              <w:pStyle w:val="7"/>
              <w:spacing w:before="182" w:line="214" w:lineRule="auto"/>
              <w:ind w:left="2610"/>
            </w:pPr>
            <w:r>
              <w:rPr>
                <w:spacing w:val="-2"/>
              </w:rPr>
              <w:t>详见文件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0F140513">
            <w:pPr>
              <w:pStyle w:val="7"/>
              <w:spacing w:before="262" w:line="214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淄经开经发</w:t>
            </w:r>
            <w:r>
              <w:t>〔202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〕</w:t>
            </w:r>
            <w:r>
              <w:rPr>
                <w:rFonts w:hint="eastAsia"/>
                <w:lang w:val="en-US" w:eastAsia="zh-CN"/>
              </w:rPr>
              <w:t>3</w:t>
            </w:r>
            <w:r>
              <w:t>号</w:t>
            </w:r>
          </w:p>
        </w:tc>
      </w:tr>
      <w:tr w14:paraId="227A5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12" w:type="dxa"/>
            <w:vMerge w:val="continue"/>
            <w:vAlign w:val="top"/>
          </w:tcPr>
          <w:p w14:paraId="653C525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28B8F2F4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3D42024E">
            <w:pPr>
              <w:pStyle w:val="7"/>
              <w:spacing w:before="183" w:line="214" w:lineRule="auto"/>
              <w:ind w:left="27"/>
            </w:pPr>
            <w:r>
              <w:rPr>
                <w:spacing w:val="1"/>
              </w:rPr>
              <w:t>（一）计时收费</w:t>
            </w:r>
          </w:p>
        </w:tc>
        <w:tc>
          <w:tcPr>
            <w:tcW w:w="686" w:type="dxa"/>
            <w:vAlign w:val="top"/>
          </w:tcPr>
          <w:p w14:paraId="6303D625">
            <w:pPr>
              <w:pStyle w:val="7"/>
              <w:spacing w:before="184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6A2810A2">
            <w:pPr>
              <w:pStyle w:val="7"/>
              <w:spacing w:before="184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4011DF8B">
            <w:pPr>
              <w:pStyle w:val="7"/>
              <w:spacing w:before="184" w:line="225" w:lineRule="auto"/>
              <w:ind w:left="302"/>
            </w:pPr>
            <w:r>
              <w:t>否</w:t>
            </w:r>
          </w:p>
        </w:tc>
        <w:tc>
          <w:tcPr>
            <w:tcW w:w="5917" w:type="dxa"/>
            <w:gridSpan w:val="2"/>
            <w:vAlign w:val="top"/>
          </w:tcPr>
          <w:p w14:paraId="0389BEF1">
            <w:pPr>
              <w:pStyle w:val="7"/>
              <w:spacing w:before="183" w:line="214" w:lineRule="auto"/>
              <w:ind w:left="1334"/>
            </w:pPr>
            <w:r>
              <w:rPr>
                <w:spacing w:val="1"/>
              </w:rPr>
              <w:t>应具备经检验合格的计时设施，按时计费</w:t>
            </w:r>
          </w:p>
        </w:tc>
        <w:tc>
          <w:tcPr>
            <w:tcW w:w="2191" w:type="dxa"/>
            <w:vMerge w:val="continue"/>
            <w:vAlign w:val="top"/>
          </w:tcPr>
          <w:p w14:paraId="6C8239DD">
            <w:pPr>
              <w:rPr>
                <w:rFonts w:ascii="Arial"/>
                <w:sz w:val="21"/>
              </w:rPr>
            </w:pPr>
          </w:p>
        </w:tc>
      </w:tr>
      <w:tr w14:paraId="706A0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12" w:type="dxa"/>
            <w:vMerge w:val="continue"/>
            <w:vAlign w:val="top"/>
          </w:tcPr>
          <w:p w14:paraId="25D1F6FE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65DB52B7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0DFFDD2C">
            <w:pPr>
              <w:pStyle w:val="7"/>
              <w:spacing w:before="250" w:line="216" w:lineRule="auto"/>
              <w:ind w:left="131"/>
            </w:pPr>
            <w:r>
              <w:rPr>
                <w:spacing w:val="-2"/>
              </w:rPr>
              <w:t>1.小型汽车</w:t>
            </w:r>
          </w:p>
        </w:tc>
        <w:tc>
          <w:tcPr>
            <w:tcW w:w="686" w:type="dxa"/>
            <w:vAlign w:val="top"/>
          </w:tcPr>
          <w:p w14:paraId="22C502DB">
            <w:pPr>
              <w:pStyle w:val="7"/>
              <w:spacing w:before="250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49242C15">
            <w:pPr>
              <w:pStyle w:val="7"/>
              <w:spacing w:before="250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746406A0">
            <w:pPr>
              <w:pStyle w:val="7"/>
              <w:spacing w:before="250" w:line="225" w:lineRule="auto"/>
              <w:ind w:left="302"/>
            </w:pPr>
            <w:r>
              <w:t>否</w:t>
            </w:r>
          </w:p>
        </w:tc>
        <w:tc>
          <w:tcPr>
            <w:tcW w:w="1359" w:type="dxa"/>
            <w:vAlign w:val="top"/>
          </w:tcPr>
          <w:p w14:paraId="3C8582E4">
            <w:pPr>
              <w:pStyle w:val="7"/>
              <w:spacing w:before="250" w:line="217" w:lineRule="auto"/>
              <w:ind w:left="328"/>
            </w:pPr>
            <w:r>
              <w:rPr>
                <w:spacing w:val="1"/>
              </w:rPr>
              <w:t>元/车.次</w:t>
            </w:r>
          </w:p>
        </w:tc>
        <w:tc>
          <w:tcPr>
            <w:tcW w:w="4558" w:type="dxa"/>
            <w:vAlign w:val="top"/>
          </w:tcPr>
          <w:p w14:paraId="53B9F576">
            <w:pPr>
              <w:pStyle w:val="7"/>
              <w:spacing w:before="136" w:line="223" w:lineRule="auto"/>
              <w:ind w:left="35" w:right="149" w:firstLine="4"/>
            </w:pPr>
            <w:r>
              <w:rPr>
                <w:spacing w:val="1"/>
              </w:rPr>
              <w:t>4小时内每车次3元，4小时外每超1小时加收1元，不足1</w:t>
            </w:r>
            <w:r>
              <w:rPr>
                <w:spacing w:val="4"/>
              </w:rPr>
              <w:t xml:space="preserve"> </w:t>
            </w:r>
            <w:r>
              <w:t>小时的按1小时计算</w:t>
            </w:r>
          </w:p>
        </w:tc>
        <w:tc>
          <w:tcPr>
            <w:tcW w:w="2191" w:type="dxa"/>
            <w:vMerge w:val="continue"/>
            <w:vAlign w:val="top"/>
          </w:tcPr>
          <w:p w14:paraId="4BF27213">
            <w:pPr>
              <w:rPr>
                <w:rFonts w:ascii="Arial"/>
                <w:sz w:val="21"/>
              </w:rPr>
            </w:pPr>
          </w:p>
        </w:tc>
      </w:tr>
      <w:tr w14:paraId="3733A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12" w:type="dxa"/>
            <w:vMerge w:val="continue"/>
            <w:vAlign w:val="top"/>
          </w:tcPr>
          <w:p w14:paraId="23851BFB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1240395A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7FA79E94">
            <w:pPr>
              <w:pStyle w:val="7"/>
              <w:spacing w:before="222" w:line="217" w:lineRule="auto"/>
              <w:ind w:left="127"/>
            </w:pPr>
            <w:r>
              <w:rPr>
                <w:spacing w:val="-2"/>
              </w:rPr>
              <w:t>2.大型汽车</w:t>
            </w:r>
          </w:p>
        </w:tc>
        <w:tc>
          <w:tcPr>
            <w:tcW w:w="686" w:type="dxa"/>
            <w:vAlign w:val="top"/>
          </w:tcPr>
          <w:p w14:paraId="46872074">
            <w:pPr>
              <w:pStyle w:val="7"/>
              <w:spacing w:before="222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2A7B2799">
            <w:pPr>
              <w:pStyle w:val="7"/>
              <w:spacing w:before="222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0C77227F">
            <w:pPr>
              <w:pStyle w:val="7"/>
              <w:spacing w:before="222" w:line="225" w:lineRule="auto"/>
              <w:ind w:left="302"/>
            </w:pPr>
            <w:r>
              <w:t>否</w:t>
            </w:r>
          </w:p>
        </w:tc>
        <w:tc>
          <w:tcPr>
            <w:tcW w:w="1359" w:type="dxa"/>
            <w:vAlign w:val="top"/>
          </w:tcPr>
          <w:p w14:paraId="00E1C9BA">
            <w:pPr>
              <w:pStyle w:val="7"/>
              <w:spacing w:before="222" w:line="217" w:lineRule="auto"/>
              <w:ind w:left="328"/>
            </w:pPr>
            <w:r>
              <w:rPr>
                <w:spacing w:val="1"/>
              </w:rPr>
              <w:t>元/车.次</w:t>
            </w:r>
          </w:p>
        </w:tc>
        <w:tc>
          <w:tcPr>
            <w:tcW w:w="4558" w:type="dxa"/>
            <w:vAlign w:val="top"/>
          </w:tcPr>
          <w:p w14:paraId="451F6EE3">
            <w:pPr>
              <w:pStyle w:val="7"/>
              <w:spacing w:before="109" w:line="222" w:lineRule="auto"/>
              <w:ind w:left="35" w:right="149" w:firstLine="4"/>
            </w:pPr>
            <w:r>
              <w:rPr>
                <w:spacing w:val="1"/>
              </w:rPr>
              <w:t>4小时内每车次4元，4小时外每超1小时加收2元，不足1</w:t>
            </w:r>
            <w:r>
              <w:rPr>
                <w:spacing w:val="4"/>
              </w:rPr>
              <w:t xml:space="preserve"> </w:t>
            </w:r>
            <w:r>
              <w:t>小时的按1小时计算</w:t>
            </w:r>
          </w:p>
        </w:tc>
        <w:tc>
          <w:tcPr>
            <w:tcW w:w="2191" w:type="dxa"/>
            <w:vMerge w:val="continue"/>
            <w:vAlign w:val="top"/>
          </w:tcPr>
          <w:p w14:paraId="254A2F64">
            <w:pPr>
              <w:rPr>
                <w:rFonts w:ascii="Arial"/>
                <w:sz w:val="21"/>
              </w:rPr>
            </w:pPr>
          </w:p>
        </w:tc>
      </w:tr>
      <w:tr w14:paraId="45327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vAlign w:val="top"/>
          </w:tcPr>
          <w:p w14:paraId="2167237C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3B445FC4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5BF03E31">
            <w:pPr>
              <w:pStyle w:val="7"/>
              <w:spacing w:before="207" w:line="216" w:lineRule="auto"/>
              <w:ind w:left="134"/>
            </w:pPr>
            <w:r>
              <w:rPr>
                <w:spacing w:val="-4"/>
              </w:rPr>
              <w:t>3.摩托车</w:t>
            </w:r>
          </w:p>
        </w:tc>
        <w:tc>
          <w:tcPr>
            <w:tcW w:w="686" w:type="dxa"/>
            <w:vAlign w:val="top"/>
          </w:tcPr>
          <w:p w14:paraId="355765A3">
            <w:pPr>
              <w:pStyle w:val="7"/>
              <w:spacing w:before="208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54591C15">
            <w:pPr>
              <w:pStyle w:val="7"/>
              <w:spacing w:before="208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2F2CB841">
            <w:pPr>
              <w:pStyle w:val="7"/>
              <w:spacing w:before="208" w:line="225" w:lineRule="auto"/>
              <w:ind w:left="302"/>
            </w:pPr>
            <w:r>
              <w:t>否</w:t>
            </w:r>
          </w:p>
        </w:tc>
        <w:tc>
          <w:tcPr>
            <w:tcW w:w="1359" w:type="dxa"/>
            <w:vAlign w:val="top"/>
          </w:tcPr>
          <w:p w14:paraId="60788345">
            <w:pPr>
              <w:pStyle w:val="7"/>
              <w:spacing w:before="208" w:line="217" w:lineRule="auto"/>
              <w:ind w:left="328"/>
            </w:pPr>
            <w:r>
              <w:rPr>
                <w:spacing w:val="1"/>
              </w:rPr>
              <w:t>元/车.次</w:t>
            </w:r>
          </w:p>
        </w:tc>
        <w:tc>
          <w:tcPr>
            <w:tcW w:w="4558" w:type="dxa"/>
            <w:vAlign w:val="top"/>
          </w:tcPr>
          <w:p w14:paraId="3BF47567">
            <w:pPr>
              <w:pStyle w:val="7"/>
              <w:spacing w:before="94" w:line="223" w:lineRule="auto"/>
              <w:ind w:left="35" w:right="57" w:firstLine="5"/>
            </w:pPr>
            <w:r>
              <w:rPr>
                <w:spacing w:val="1"/>
              </w:rPr>
              <w:t>4小时内每车次1元，每超过4小时加收1元，不足4小时的</w:t>
            </w:r>
            <w:r>
              <w:rPr>
                <w:spacing w:val="6"/>
              </w:rPr>
              <w:t xml:space="preserve"> </w:t>
            </w:r>
            <w:r>
              <w:t>按4小时计算</w:t>
            </w:r>
          </w:p>
        </w:tc>
        <w:tc>
          <w:tcPr>
            <w:tcW w:w="2191" w:type="dxa"/>
            <w:vMerge w:val="continue"/>
            <w:vAlign w:val="top"/>
          </w:tcPr>
          <w:p w14:paraId="2D27F9C8">
            <w:pPr>
              <w:rPr>
                <w:rFonts w:ascii="Arial"/>
                <w:sz w:val="21"/>
              </w:rPr>
            </w:pPr>
          </w:p>
        </w:tc>
      </w:tr>
      <w:tr w14:paraId="367BF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vAlign w:val="top"/>
          </w:tcPr>
          <w:p w14:paraId="022CDD3E">
            <w:pPr>
              <w:spacing w:before="68" w:line="223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534B16FC">
            <w:pPr>
              <w:spacing w:before="62" w:line="236" w:lineRule="auto"/>
              <w:ind w:left="283" w:right="59" w:hanging="207"/>
              <w:rPr>
                <w:rFonts w:ascii="黑体" w:hAnsi="黑体" w:eastAsia="黑体" w:cs="黑体"/>
                <w:sz w:val="19"/>
                <w:szCs w:val="19"/>
              </w:rPr>
            </w:pPr>
          </w:p>
        </w:tc>
        <w:tc>
          <w:tcPr>
            <w:tcW w:w="2072" w:type="dxa"/>
            <w:vAlign w:val="top"/>
          </w:tcPr>
          <w:p w14:paraId="31BCE0C4">
            <w:pPr>
              <w:pStyle w:val="7"/>
              <w:spacing w:before="209" w:line="214" w:lineRule="auto"/>
              <w:ind w:left="27"/>
            </w:pPr>
            <w:r>
              <w:rPr>
                <w:spacing w:val="1"/>
              </w:rPr>
              <w:t>（二）计次收费</w:t>
            </w:r>
          </w:p>
        </w:tc>
        <w:tc>
          <w:tcPr>
            <w:tcW w:w="686" w:type="dxa"/>
            <w:vAlign w:val="top"/>
          </w:tcPr>
          <w:p w14:paraId="3C205C35">
            <w:pPr>
              <w:pStyle w:val="7"/>
              <w:spacing w:before="210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1BC39513">
            <w:pPr>
              <w:pStyle w:val="7"/>
              <w:spacing w:before="210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7582991A">
            <w:pPr>
              <w:pStyle w:val="7"/>
              <w:spacing w:before="210" w:line="225" w:lineRule="auto"/>
              <w:ind w:left="302"/>
            </w:pPr>
            <w:r>
              <w:t>否</w:t>
            </w:r>
          </w:p>
        </w:tc>
        <w:tc>
          <w:tcPr>
            <w:tcW w:w="5917" w:type="dxa"/>
            <w:gridSpan w:val="2"/>
            <w:vAlign w:val="top"/>
          </w:tcPr>
          <w:p w14:paraId="21C3D1DE">
            <w:pPr>
              <w:pStyle w:val="7"/>
              <w:spacing w:before="209" w:line="214" w:lineRule="auto"/>
              <w:ind w:left="1782"/>
            </w:pPr>
            <w:r>
              <w:rPr>
                <w:spacing w:val="1"/>
              </w:rPr>
              <w:t>超出规定时段，实行累计计费</w:t>
            </w:r>
          </w:p>
        </w:tc>
        <w:tc>
          <w:tcPr>
            <w:tcW w:w="2191" w:type="dxa"/>
            <w:vMerge w:val="continue"/>
            <w:vAlign w:val="top"/>
          </w:tcPr>
          <w:p w14:paraId="10FA1DEE">
            <w:pPr>
              <w:pStyle w:val="7"/>
              <w:spacing w:before="59" w:line="214" w:lineRule="auto"/>
              <w:ind w:left="205"/>
            </w:pPr>
          </w:p>
        </w:tc>
      </w:tr>
      <w:tr w14:paraId="1B727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vAlign w:val="top"/>
          </w:tcPr>
          <w:p w14:paraId="146BDCEC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2B5807DB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0C0FCA4E">
            <w:pPr>
              <w:pStyle w:val="7"/>
              <w:spacing w:before="212" w:line="216" w:lineRule="auto"/>
              <w:ind w:left="131"/>
            </w:pPr>
            <w:r>
              <w:rPr>
                <w:spacing w:val="-2"/>
              </w:rPr>
              <w:t>1.小型汽车</w:t>
            </w:r>
          </w:p>
        </w:tc>
        <w:tc>
          <w:tcPr>
            <w:tcW w:w="686" w:type="dxa"/>
            <w:vAlign w:val="top"/>
          </w:tcPr>
          <w:p w14:paraId="497DD1D6">
            <w:pPr>
              <w:pStyle w:val="7"/>
              <w:spacing w:before="212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53C42D1A">
            <w:pPr>
              <w:pStyle w:val="7"/>
              <w:spacing w:before="212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27E21BC9">
            <w:pPr>
              <w:pStyle w:val="7"/>
              <w:spacing w:before="212" w:line="225" w:lineRule="auto"/>
              <w:ind w:left="302"/>
            </w:pPr>
            <w:r>
              <w:t>否</w:t>
            </w:r>
          </w:p>
        </w:tc>
        <w:tc>
          <w:tcPr>
            <w:tcW w:w="1359" w:type="dxa"/>
            <w:vAlign w:val="top"/>
          </w:tcPr>
          <w:p w14:paraId="3E32A381">
            <w:pPr>
              <w:pStyle w:val="7"/>
              <w:spacing w:before="212" w:line="217" w:lineRule="auto"/>
              <w:ind w:left="328"/>
            </w:pPr>
            <w:r>
              <w:rPr>
                <w:spacing w:val="1"/>
              </w:rPr>
              <w:t>元/车.次</w:t>
            </w:r>
          </w:p>
        </w:tc>
        <w:tc>
          <w:tcPr>
            <w:tcW w:w="4558" w:type="dxa"/>
            <w:vAlign w:val="top"/>
          </w:tcPr>
          <w:p w14:paraId="4BD881A4">
            <w:pPr>
              <w:pStyle w:val="7"/>
              <w:spacing w:before="98" w:line="223" w:lineRule="auto"/>
              <w:ind w:left="35" w:right="57" w:firstLine="5"/>
            </w:pPr>
            <w:r>
              <w:rPr>
                <w:spacing w:val="1"/>
              </w:rPr>
              <w:t>4小时内每车次3元，每超过4小时加收1元，不足4小时的</w:t>
            </w:r>
            <w:r>
              <w:rPr>
                <w:spacing w:val="6"/>
              </w:rPr>
              <w:t xml:space="preserve"> </w:t>
            </w:r>
            <w:r>
              <w:t>按4小时计算</w:t>
            </w:r>
          </w:p>
        </w:tc>
        <w:tc>
          <w:tcPr>
            <w:tcW w:w="2191" w:type="dxa"/>
            <w:vMerge w:val="continue"/>
            <w:vAlign w:val="top"/>
          </w:tcPr>
          <w:p w14:paraId="16C9D890">
            <w:pPr>
              <w:rPr>
                <w:rFonts w:ascii="Arial"/>
                <w:sz w:val="21"/>
              </w:rPr>
            </w:pPr>
          </w:p>
        </w:tc>
      </w:tr>
      <w:tr w14:paraId="30810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vAlign w:val="top"/>
          </w:tcPr>
          <w:p w14:paraId="3F87010D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05E7DEB7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4B7B334F">
            <w:pPr>
              <w:pStyle w:val="7"/>
              <w:spacing w:before="214" w:line="217" w:lineRule="auto"/>
              <w:ind w:left="127"/>
            </w:pPr>
            <w:r>
              <w:rPr>
                <w:spacing w:val="-2"/>
              </w:rPr>
              <w:t>2.大型汽车</w:t>
            </w:r>
          </w:p>
        </w:tc>
        <w:tc>
          <w:tcPr>
            <w:tcW w:w="686" w:type="dxa"/>
            <w:vAlign w:val="top"/>
          </w:tcPr>
          <w:p w14:paraId="4AEDC9AE">
            <w:pPr>
              <w:pStyle w:val="7"/>
              <w:spacing w:before="214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04E376FF">
            <w:pPr>
              <w:pStyle w:val="7"/>
              <w:spacing w:before="214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55B2963D">
            <w:pPr>
              <w:pStyle w:val="7"/>
              <w:spacing w:before="214" w:line="225" w:lineRule="auto"/>
              <w:ind w:left="302"/>
            </w:pPr>
            <w:r>
              <w:t>否</w:t>
            </w:r>
          </w:p>
        </w:tc>
        <w:tc>
          <w:tcPr>
            <w:tcW w:w="1359" w:type="dxa"/>
            <w:vAlign w:val="top"/>
          </w:tcPr>
          <w:p w14:paraId="2D720E43">
            <w:pPr>
              <w:pStyle w:val="7"/>
              <w:spacing w:before="214" w:line="217" w:lineRule="auto"/>
              <w:ind w:left="328"/>
            </w:pPr>
            <w:r>
              <w:rPr>
                <w:spacing w:val="1"/>
              </w:rPr>
              <w:t>元/车.次</w:t>
            </w:r>
          </w:p>
        </w:tc>
        <w:tc>
          <w:tcPr>
            <w:tcW w:w="4558" w:type="dxa"/>
            <w:vAlign w:val="top"/>
          </w:tcPr>
          <w:p w14:paraId="212DB8C9">
            <w:pPr>
              <w:pStyle w:val="7"/>
              <w:spacing w:before="100" w:line="223" w:lineRule="auto"/>
              <w:ind w:left="35" w:right="57" w:firstLine="5"/>
            </w:pPr>
            <w:r>
              <w:rPr>
                <w:spacing w:val="1"/>
              </w:rPr>
              <w:t>4小时内每车次4元，每超过4小时加收2元，不足4小时的</w:t>
            </w:r>
            <w:r>
              <w:rPr>
                <w:spacing w:val="6"/>
              </w:rPr>
              <w:t xml:space="preserve"> </w:t>
            </w:r>
            <w:r>
              <w:t>按4小时计算</w:t>
            </w:r>
          </w:p>
        </w:tc>
        <w:tc>
          <w:tcPr>
            <w:tcW w:w="2191" w:type="dxa"/>
            <w:vMerge w:val="continue"/>
            <w:vAlign w:val="top"/>
          </w:tcPr>
          <w:p w14:paraId="7E74AB53">
            <w:pPr>
              <w:rPr>
                <w:rFonts w:ascii="Arial"/>
                <w:sz w:val="21"/>
              </w:rPr>
            </w:pPr>
          </w:p>
        </w:tc>
      </w:tr>
      <w:tr w14:paraId="4DCFD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2" w:type="dxa"/>
            <w:vMerge w:val="continue"/>
            <w:vAlign w:val="top"/>
          </w:tcPr>
          <w:p w14:paraId="30552343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18D8632F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18C8B14C">
            <w:pPr>
              <w:pStyle w:val="7"/>
              <w:spacing w:before="215" w:line="216" w:lineRule="auto"/>
              <w:ind w:left="134"/>
            </w:pPr>
            <w:r>
              <w:rPr>
                <w:spacing w:val="-4"/>
              </w:rPr>
              <w:t>3.摩托车</w:t>
            </w:r>
          </w:p>
        </w:tc>
        <w:tc>
          <w:tcPr>
            <w:tcW w:w="686" w:type="dxa"/>
            <w:vAlign w:val="top"/>
          </w:tcPr>
          <w:p w14:paraId="13FF5DD5">
            <w:pPr>
              <w:pStyle w:val="7"/>
              <w:spacing w:before="216" w:line="225" w:lineRule="auto"/>
              <w:ind w:left="265"/>
            </w:pPr>
            <w:r>
              <w:t>否</w:t>
            </w:r>
          </w:p>
        </w:tc>
        <w:tc>
          <w:tcPr>
            <w:tcW w:w="686" w:type="dxa"/>
            <w:vAlign w:val="top"/>
          </w:tcPr>
          <w:p w14:paraId="1031FF72">
            <w:pPr>
              <w:pStyle w:val="7"/>
              <w:spacing w:before="216" w:line="225" w:lineRule="auto"/>
              <w:ind w:left="266"/>
            </w:pPr>
            <w:r>
              <w:t>否</w:t>
            </w:r>
          </w:p>
        </w:tc>
        <w:tc>
          <w:tcPr>
            <w:tcW w:w="760" w:type="dxa"/>
            <w:vAlign w:val="top"/>
          </w:tcPr>
          <w:p w14:paraId="3BFC657A">
            <w:pPr>
              <w:pStyle w:val="7"/>
              <w:spacing w:before="216" w:line="225" w:lineRule="auto"/>
              <w:ind w:left="302"/>
            </w:pPr>
            <w:r>
              <w:t>否</w:t>
            </w:r>
          </w:p>
        </w:tc>
        <w:tc>
          <w:tcPr>
            <w:tcW w:w="1359" w:type="dxa"/>
            <w:vAlign w:val="top"/>
          </w:tcPr>
          <w:p w14:paraId="03F20C16">
            <w:pPr>
              <w:pStyle w:val="7"/>
              <w:spacing w:before="216" w:line="217" w:lineRule="auto"/>
              <w:ind w:left="328"/>
            </w:pPr>
            <w:r>
              <w:rPr>
                <w:spacing w:val="1"/>
              </w:rPr>
              <w:t>元/车.次</w:t>
            </w:r>
          </w:p>
        </w:tc>
        <w:tc>
          <w:tcPr>
            <w:tcW w:w="4558" w:type="dxa"/>
            <w:vAlign w:val="top"/>
          </w:tcPr>
          <w:p w14:paraId="1002A660">
            <w:pPr>
              <w:pStyle w:val="7"/>
              <w:spacing w:before="102" w:line="223" w:lineRule="auto"/>
              <w:ind w:left="35" w:right="57" w:firstLine="5"/>
            </w:pPr>
            <w:r>
              <w:rPr>
                <w:spacing w:val="1"/>
              </w:rPr>
              <w:t>4小时内每车次1元，每超过4小时加收1元，不足4小时的</w:t>
            </w:r>
            <w:r>
              <w:rPr>
                <w:spacing w:val="6"/>
              </w:rPr>
              <w:t xml:space="preserve"> </w:t>
            </w:r>
            <w:r>
              <w:t>按4小时计算</w:t>
            </w:r>
          </w:p>
        </w:tc>
        <w:tc>
          <w:tcPr>
            <w:tcW w:w="2191" w:type="dxa"/>
            <w:vMerge w:val="continue"/>
            <w:vAlign w:val="top"/>
          </w:tcPr>
          <w:p w14:paraId="37CC5EB2">
            <w:pPr>
              <w:rPr>
                <w:rFonts w:ascii="Arial"/>
                <w:sz w:val="21"/>
              </w:rPr>
            </w:pPr>
          </w:p>
        </w:tc>
      </w:tr>
      <w:tr w14:paraId="39DB1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112" w:type="dxa"/>
            <w:vMerge w:val="continue"/>
            <w:vAlign w:val="top"/>
          </w:tcPr>
          <w:p w14:paraId="4A36A5DF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vAlign w:val="top"/>
          </w:tcPr>
          <w:p w14:paraId="29961EA9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4AC0F6E7">
            <w:pPr>
              <w:spacing w:line="261" w:lineRule="auto"/>
              <w:rPr>
                <w:rFonts w:ascii="Arial"/>
                <w:sz w:val="21"/>
              </w:rPr>
            </w:pPr>
          </w:p>
          <w:p w14:paraId="52CE38C8">
            <w:pPr>
              <w:spacing w:line="262" w:lineRule="auto"/>
              <w:rPr>
                <w:rFonts w:ascii="Arial"/>
                <w:sz w:val="21"/>
              </w:rPr>
            </w:pPr>
          </w:p>
          <w:p w14:paraId="37BF66F4">
            <w:pPr>
              <w:pStyle w:val="7"/>
              <w:spacing w:before="58" w:line="216" w:lineRule="auto"/>
              <w:ind w:left="724"/>
            </w:pPr>
            <w:r>
              <w:rPr>
                <w:spacing w:val="-5"/>
              </w:rPr>
              <w:t>备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注</w:t>
            </w:r>
          </w:p>
        </w:tc>
        <w:tc>
          <w:tcPr>
            <w:tcW w:w="10240" w:type="dxa"/>
            <w:gridSpan w:val="6"/>
            <w:vAlign w:val="top"/>
          </w:tcPr>
          <w:p w14:paraId="1E2F8E39">
            <w:pPr>
              <w:pStyle w:val="7"/>
              <w:spacing w:before="138" w:line="227" w:lineRule="auto"/>
              <w:ind w:left="30" w:right="193" w:firstLine="11"/>
              <w:jc w:val="both"/>
            </w:pPr>
            <w:r>
              <w:rPr>
                <w:spacing w:val="2"/>
              </w:rPr>
              <w:t>1.停放时间不超过15分钟（含）的，免收停车服务费，超过15</w:t>
            </w:r>
            <w:r>
              <w:rPr>
                <w:spacing w:val="1"/>
              </w:rPr>
              <w:t>分钟的，按实际停车时间计费，可根据实际情况延长免</w:t>
            </w:r>
            <w:r>
              <w:rPr>
                <w:spacing w:val="2"/>
              </w:rPr>
              <w:t>费停放时间。2.实行计时收费的，实行日最高限价，小型汽车连续停放24小时的每车最</w:t>
            </w:r>
            <w:r>
              <w:rPr>
                <w:spacing w:val="1"/>
              </w:rPr>
              <w:t>高收费15元，大型汽车连续停放24小时</w:t>
            </w:r>
            <w:r>
              <w:rPr>
                <w:spacing w:val="2"/>
              </w:rPr>
              <w:t>的每车最高收费20元。超过24小时的重新按以上规定计收。3.车型分类：小型汽车是</w:t>
            </w:r>
            <w:r>
              <w:rPr>
                <w:spacing w:val="1"/>
              </w:rPr>
              <w:t>指轿车、微型客货车等悬挂蓝色、黑色牌</w:t>
            </w:r>
            <w:r>
              <w:rPr>
                <w:spacing w:val="2"/>
              </w:rPr>
              <w:t>照的车辆；大型汽车是指大型客货车等悬挂黄色牌照的车辆；摩托车是指二轮、三轮、轻便摩托</w:t>
            </w:r>
            <w:r>
              <w:rPr>
                <w:spacing w:val="1"/>
              </w:rPr>
              <w:t>车。4.免费停放车辆、公立医疗机构停车场优惠政策按有关规定执行。</w:t>
            </w:r>
          </w:p>
        </w:tc>
      </w:tr>
    </w:tbl>
    <w:p w14:paraId="23C335C1">
      <w:pPr>
        <w:spacing w:before="138" w:line="214" w:lineRule="auto"/>
        <w:ind w:left="497"/>
        <w:rPr>
          <w:rFonts w:ascii="FangSong_GB2312" w:hAnsi="FangSong_GB2312" w:eastAsia="FangSong_GB2312" w:cs="FangSong_GB2312"/>
          <w:sz w:val="22"/>
          <w:szCs w:val="22"/>
        </w:rPr>
      </w:pPr>
      <w:r>
        <w:rPr>
          <w:rFonts w:ascii="KaiTi_GB2312" w:hAnsi="KaiTi_GB2312" w:eastAsia="KaiTi_GB2312" w:cs="KaiTi_GB2312"/>
          <w:spacing w:val="-1"/>
          <w:sz w:val="22"/>
          <w:szCs w:val="22"/>
        </w:rPr>
        <w:t>说明：</w:t>
      </w:r>
      <w:r>
        <w:rPr>
          <w:rFonts w:ascii="FangSong_GB2312" w:hAnsi="FangSong_GB2312" w:eastAsia="FangSong_GB2312" w:cs="FangSong_GB2312"/>
          <w:spacing w:val="-1"/>
          <w:sz w:val="22"/>
          <w:szCs w:val="22"/>
        </w:rPr>
        <w:t>目录清单中的收费项目、收费标准与文件规定不一致的，以正式文件为准。</w:t>
      </w:r>
    </w:p>
    <w:sectPr>
      <w:footerReference r:id="rId5" w:type="default"/>
      <w:pgSz w:w="16837" w:h="11905"/>
      <w:pgMar w:top="611" w:right="984" w:bottom="488" w:left="1065" w:header="0" w:footer="2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80B6">
    <w:pPr>
      <w:pStyle w:val="2"/>
      <w:spacing w:line="211" w:lineRule="auto"/>
      <w:ind w:left="69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983E2C"/>
    <w:rsid w:val="252802F5"/>
    <w:rsid w:val="32F56799"/>
    <w:rsid w:val="3F6E3B44"/>
    <w:rsid w:val="4DD713E5"/>
    <w:rsid w:val="5BC029EC"/>
    <w:rsid w:val="6EB846E8"/>
    <w:rsid w:val="72FD7963"/>
    <w:rsid w:val="75366F22"/>
    <w:rsid w:val="78EB547A"/>
    <w:rsid w:val="7A2A5948"/>
    <w:rsid w:val="7DB31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804</Words>
  <Characters>840</Characters>
  <TotalTime>6</TotalTime>
  <ScaleCrop>false</ScaleCrop>
  <LinksUpToDate>false</LinksUpToDate>
  <CharactersWithSpaces>853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2024-12-31T14:30:00Z</dcterms:created>
  <dc:creator>LENOVO</dc:creator>
  <cp:lastModifiedBy>春暖花开ャ</cp:lastModifiedBy>
  <cp:lastPrinted>2025-07-08T05:58:00Z</cp:lastPrinted>
  <dcterms:modified xsi:type="dcterms:W3CDTF">2025-07-09T03:03:36Z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2025-04-07T17:03:22Z</vt:filetime>
  </property>
  <property fmtid="{D5CDD505-2E9C-101B-9397-08002B2CF9AE}" pid="4" name="KSOTemplateDocerSaveRecord">
    <vt:lpwstr>eyJoZGlkIjoiNjA5MjcyMjUxZGFiNzI0MDgwZGZmZjlhNTUzODI4N2QiLCJ1c2VySWQiOiIyNzc4MTI3NDMifQ==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18F1CF9D85864AD0AF5BA33F1B3CF239_13</vt:lpwstr>
  </property>
</Properties>
</file>