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 w:line="560" w:lineRule="exact"/>
        <w:jc w:val="center"/>
        <w:rPr>
          <w:rFonts w:hint="default" w:ascii="Times New Roman" w:hAnsi="Times New Roman" w:eastAsia="方正小标宋简体" w:cs="Times New Roman"/>
          <w:bCs/>
          <w:color w:val="333333"/>
          <w:sz w:val="44"/>
          <w:szCs w:val="44"/>
          <w:shd w:val="clear" w:color="auto" w:fill="FFFFFF"/>
        </w:rPr>
      </w:pPr>
    </w:p>
    <w:p>
      <w:pPr>
        <w:widowControl/>
        <w:shd w:val="clear" w:color="auto" w:fill="FFFFFF"/>
        <w:spacing w:line="600" w:lineRule="exact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27"/>
          <w:szCs w:val="27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淄博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  <w:t>淄博经济开发区管理委员会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财政局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  <w:t>2023年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政府信息公开工作年度报告</w:t>
      </w:r>
    </w:p>
    <w:p>
      <w:pPr>
        <w:widowControl/>
        <w:shd w:val="clear" w:color="auto" w:fill="FFFFFF"/>
        <w:ind w:firstLine="632" w:firstLineChars="200"/>
        <w:rPr>
          <w:rFonts w:hint="default" w:ascii="Times New Roman" w:hAnsi="Times New Roman" w:cs="Times New Roman"/>
          <w:kern w:val="0"/>
          <w:szCs w:val="32"/>
        </w:rPr>
      </w:pPr>
    </w:p>
    <w:p>
      <w:pPr>
        <w:widowControl/>
        <w:shd w:val="clear" w:color="auto" w:fill="FFFFFF"/>
        <w:ind w:firstLine="632" w:firstLineChars="200"/>
        <w:rPr>
          <w:rFonts w:hint="default" w:ascii="Times New Roman" w:hAnsi="Times New Roman" w:cs="Times New Roman"/>
          <w:kern w:val="0"/>
          <w:szCs w:val="32"/>
        </w:rPr>
      </w:pPr>
      <w:r>
        <w:rPr>
          <w:rFonts w:hint="default" w:ascii="Times New Roman" w:hAnsi="Times New Roman" w:cs="Times New Roman"/>
          <w:kern w:val="0"/>
          <w:szCs w:val="32"/>
        </w:rPr>
        <w:t>本报告所列数据</w:t>
      </w:r>
      <w:r>
        <w:rPr>
          <w:rFonts w:hint="default" w:ascii="Times New Roman" w:hAnsi="Times New Roman" w:cs="Times New Roman"/>
          <w:kern w:val="0"/>
          <w:szCs w:val="32"/>
          <w:lang w:eastAsia="zh-CN"/>
        </w:rPr>
        <w:t>的</w:t>
      </w:r>
      <w:r>
        <w:rPr>
          <w:rFonts w:hint="default" w:ascii="Times New Roman" w:hAnsi="Times New Roman" w:cs="Times New Roman"/>
          <w:kern w:val="0"/>
          <w:szCs w:val="32"/>
        </w:rPr>
        <w:t>统计期限自202</w:t>
      </w:r>
      <w:r>
        <w:rPr>
          <w:rFonts w:hint="default" w:ascii="Times New Roman" w:hAnsi="Times New Roman" w:cs="Times New Roman"/>
          <w:kern w:val="0"/>
          <w:szCs w:val="32"/>
          <w:lang w:val="en-US" w:eastAsia="zh-CN"/>
        </w:rPr>
        <w:t>3</w:t>
      </w:r>
      <w:r>
        <w:rPr>
          <w:rFonts w:hint="default" w:ascii="Times New Roman" w:hAnsi="Times New Roman" w:cs="Times New Roman"/>
          <w:kern w:val="0"/>
          <w:szCs w:val="32"/>
        </w:rPr>
        <w:t>年1月1日起</w:t>
      </w:r>
      <w:r>
        <w:rPr>
          <w:rFonts w:hint="default" w:ascii="Times New Roman" w:hAnsi="Times New Roman" w:cs="Times New Roman"/>
          <w:kern w:val="0"/>
          <w:szCs w:val="32"/>
          <w:lang w:eastAsia="zh-CN"/>
        </w:rPr>
        <w:t>，</w:t>
      </w:r>
      <w:r>
        <w:rPr>
          <w:rFonts w:hint="default" w:ascii="Times New Roman" w:hAnsi="Times New Roman" w:cs="Times New Roman"/>
          <w:kern w:val="0"/>
          <w:szCs w:val="32"/>
        </w:rPr>
        <w:t>至202</w:t>
      </w:r>
      <w:r>
        <w:rPr>
          <w:rFonts w:hint="default" w:ascii="Times New Roman" w:hAnsi="Times New Roman" w:cs="Times New Roman"/>
          <w:kern w:val="0"/>
          <w:szCs w:val="32"/>
          <w:lang w:val="en-US" w:eastAsia="zh-CN"/>
        </w:rPr>
        <w:t>3</w:t>
      </w:r>
      <w:r>
        <w:rPr>
          <w:rFonts w:hint="default" w:ascii="Times New Roman" w:hAnsi="Times New Roman" w:cs="Times New Roman"/>
          <w:kern w:val="0"/>
          <w:szCs w:val="32"/>
        </w:rPr>
        <w:t>年12月31日止。如对本报告</w:t>
      </w:r>
      <w:r>
        <w:rPr>
          <w:rFonts w:hint="default" w:ascii="Times New Roman" w:hAnsi="Times New Roman" w:cs="Times New Roman"/>
          <w:kern w:val="0"/>
          <w:szCs w:val="32"/>
          <w:lang w:eastAsia="zh-CN"/>
        </w:rPr>
        <w:t>内容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有</w:t>
      </w:r>
      <w:r>
        <w:rPr>
          <w:rFonts w:hint="default" w:ascii="Times New Roman" w:hAnsi="Times New Roman" w:cs="Times New Roman"/>
          <w:kern w:val="0"/>
          <w:szCs w:val="32"/>
          <w:lang w:eastAsia="zh-CN"/>
        </w:rPr>
        <w:t>疑问</w:t>
      </w:r>
      <w:r>
        <w:rPr>
          <w:rFonts w:hint="default" w:ascii="Times New Roman" w:hAnsi="Times New Roman" w:cs="Times New Roman"/>
          <w:kern w:val="0"/>
          <w:szCs w:val="32"/>
        </w:rPr>
        <w:t>，请与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区</w:t>
      </w:r>
      <w:r>
        <w:rPr>
          <w:rFonts w:hint="default" w:ascii="Times New Roman" w:hAnsi="Times New Roman" w:cs="Times New Roman"/>
          <w:kern w:val="0"/>
          <w:szCs w:val="32"/>
        </w:rPr>
        <w:t>财政局联系（地址：淄博市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复兴路与重庆路交叉口淄博人力资源市场3号楼</w:t>
      </w:r>
      <w:r>
        <w:rPr>
          <w:rFonts w:hint="default" w:ascii="Times New Roman" w:hAnsi="Times New Roman" w:cs="Times New Roman"/>
          <w:kern w:val="0"/>
          <w:szCs w:val="32"/>
        </w:rPr>
        <w:t>；邮编：255000；电话：0533-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7870237</w:t>
      </w:r>
      <w:r>
        <w:rPr>
          <w:rFonts w:hint="default" w:ascii="Times New Roman" w:hAnsi="Times New Roman" w:cs="Times New Roman"/>
          <w:kern w:val="0"/>
          <w:szCs w:val="32"/>
        </w:rPr>
        <w:t>；</w:t>
      </w:r>
      <w:r>
        <w:rPr>
          <w:rFonts w:hint="default" w:ascii="Times New Roman" w:hAnsi="Times New Roman" w:cs="Times New Roman"/>
          <w:kern w:val="0"/>
          <w:szCs w:val="32"/>
          <w:lang w:eastAsia="zh-CN"/>
        </w:rPr>
        <w:t>电子邮箱：</w:t>
      </w:r>
      <w:r>
        <w:rPr>
          <w:rFonts w:hint="default" w:ascii="Times New Roman" w:hAnsi="Times New Roman" w:cs="Times New Roman"/>
          <w:kern w:val="0"/>
          <w:szCs w:val="32"/>
          <w:lang w:val="en-US" w:eastAsia="zh-CN"/>
        </w:rPr>
        <w:t>zibojingkaiqucaizhengju@zb.shandong.cn&gt;</w:t>
      </w:r>
      <w:r>
        <w:rPr>
          <w:rFonts w:hint="default" w:ascii="Times New Roman" w:hAnsi="Times New Roman" w:cs="Times New Roman"/>
          <w:kern w:val="0"/>
          <w:szCs w:val="32"/>
        </w:rPr>
        <w:t>）。</w:t>
      </w:r>
    </w:p>
    <w:p>
      <w:pPr>
        <w:widowControl/>
        <w:shd w:val="clear" w:color="auto" w:fill="FFFFFF"/>
        <w:ind w:firstLine="632" w:firstLineChars="200"/>
        <w:rPr>
          <w:rFonts w:hint="default" w:ascii="Times New Roman" w:hAnsi="Times New Roman" w:eastAsia="黑体" w:cs="Times New Roman"/>
          <w:kern w:val="0"/>
          <w:sz w:val="27"/>
          <w:szCs w:val="27"/>
        </w:rPr>
      </w:pPr>
      <w:r>
        <w:rPr>
          <w:rFonts w:hint="default" w:ascii="Times New Roman" w:hAnsi="Times New Roman" w:eastAsia="黑体" w:cs="Times New Roman"/>
          <w:kern w:val="0"/>
          <w:szCs w:val="32"/>
        </w:rPr>
        <w:t>一、总体情况</w:t>
      </w:r>
    </w:p>
    <w:p>
      <w:pPr>
        <w:widowControl/>
        <w:shd w:val="clear" w:color="auto" w:fill="FFFFFF"/>
        <w:ind w:firstLine="632" w:firstLineChars="200"/>
        <w:rPr>
          <w:rFonts w:hint="default" w:ascii="Times New Roman" w:hAnsi="Times New Roman" w:eastAsia="仿宋_GB2312" w:cs="Times New Roman"/>
          <w:b w:val="0"/>
          <w:bCs w:val="0"/>
          <w:kern w:val="0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kern w:val="0"/>
          <w:szCs w:val="32"/>
          <w:highlight w:val="none"/>
        </w:rPr>
        <w:t>202</w:t>
      </w:r>
      <w:r>
        <w:rPr>
          <w:rFonts w:hint="default" w:ascii="Times New Roman" w:hAnsi="Times New Roman" w:cs="Times New Roman"/>
          <w:kern w:val="0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cs="Times New Roman"/>
          <w:kern w:val="0"/>
          <w:szCs w:val="32"/>
          <w:highlight w:val="none"/>
        </w:rPr>
        <w:t>年，</w:t>
      </w:r>
      <w:r>
        <w:rPr>
          <w:rFonts w:hint="eastAsia" w:ascii="Times New Roman" w:hAnsi="Times New Roman" w:cs="Times New Roman"/>
          <w:kern w:val="0"/>
          <w:szCs w:val="32"/>
          <w:highlight w:val="none"/>
          <w:lang w:eastAsia="zh-CN"/>
        </w:rPr>
        <w:t>淄博经开区财政局</w:t>
      </w:r>
      <w:r>
        <w:rPr>
          <w:rFonts w:hint="default" w:ascii="Times New Roman" w:hAnsi="Times New Roman" w:cs="Times New Roman"/>
          <w:kern w:val="0"/>
          <w:szCs w:val="32"/>
          <w:highlight w:val="none"/>
          <w:lang w:eastAsia="zh-CN"/>
        </w:rPr>
        <w:t>全面贯彻落实党的二十大精神，围绕财政工作中心和公众关切事项，</w:t>
      </w:r>
      <w:r>
        <w:rPr>
          <w:rFonts w:hint="default" w:ascii="Times New Roman" w:hAnsi="Times New Roman" w:cs="Times New Roman"/>
          <w:b w:val="0"/>
          <w:bCs w:val="0"/>
          <w:kern w:val="0"/>
          <w:szCs w:val="32"/>
          <w:highlight w:val="none"/>
          <w:lang w:eastAsia="zh-CN"/>
        </w:rPr>
        <w:t>坚持</w:t>
      </w:r>
      <w:r>
        <w:rPr>
          <w:rFonts w:hint="default" w:ascii="Times New Roman" w:hAnsi="Times New Roman" w:cs="Times New Roman"/>
          <w:b w:val="0"/>
          <w:bCs w:val="0"/>
          <w:kern w:val="0"/>
          <w:szCs w:val="32"/>
          <w:highlight w:val="none"/>
        </w:rPr>
        <w:t>“以公开为常态，不公开为例外”</w:t>
      </w:r>
      <w:r>
        <w:rPr>
          <w:rFonts w:hint="default" w:ascii="Times New Roman" w:hAnsi="Times New Roman" w:cs="Times New Roman"/>
          <w:b w:val="0"/>
          <w:bCs w:val="0"/>
          <w:kern w:val="0"/>
          <w:szCs w:val="32"/>
          <w:highlight w:val="none"/>
          <w:lang w:eastAsia="zh-CN"/>
        </w:rPr>
        <w:t>的公开原则，</w:t>
      </w:r>
      <w:r>
        <w:rPr>
          <w:rFonts w:hint="eastAsia" w:ascii="Times New Roman" w:hAnsi="Times New Roman" w:cs="Times New Roman"/>
          <w:b w:val="0"/>
          <w:bCs w:val="0"/>
          <w:kern w:val="0"/>
          <w:szCs w:val="32"/>
          <w:highlight w:val="none"/>
          <w:lang w:eastAsia="zh-CN"/>
        </w:rPr>
        <w:t>持续</w:t>
      </w:r>
      <w:r>
        <w:rPr>
          <w:rFonts w:hint="default" w:ascii="Times New Roman" w:hAnsi="Times New Roman" w:cs="Times New Roman"/>
          <w:b w:val="0"/>
          <w:bCs w:val="0"/>
          <w:kern w:val="0"/>
          <w:szCs w:val="32"/>
          <w:highlight w:val="none"/>
          <w:lang w:eastAsia="zh-CN"/>
        </w:rPr>
        <w:t>优化公开内容和</w:t>
      </w:r>
      <w:r>
        <w:rPr>
          <w:rFonts w:hint="eastAsia" w:ascii="Times New Roman" w:hAnsi="Times New Roman" w:cs="Times New Roman"/>
          <w:b w:val="0"/>
          <w:bCs w:val="0"/>
          <w:kern w:val="0"/>
          <w:szCs w:val="32"/>
          <w:highlight w:val="none"/>
          <w:lang w:eastAsia="zh-CN"/>
        </w:rPr>
        <w:t>栏目设定</w:t>
      </w:r>
      <w:r>
        <w:rPr>
          <w:rFonts w:hint="default" w:ascii="Times New Roman" w:hAnsi="Times New Roman" w:cs="Times New Roman"/>
          <w:b w:val="0"/>
          <w:bCs w:val="0"/>
          <w:kern w:val="0"/>
          <w:szCs w:val="32"/>
          <w:highlight w:val="none"/>
          <w:lang w:eastAsia="zh-CN"/>
        </w:rPr>
        <w:t>，完善公开审核机制，推动财政信息公开水平进一步提升。</w:t>
      </w:r>
    </w:p>
    <w:p>
      <w:pPr>
        <w:widowControl/>
        <w:numPr>
          <w:ilvl w:val="0"/>
          <w:numId w:val="0"/>
        </w:numPr>
        <w:shd w:val="clear" w:color="auto" w:fill="FFFFFF"/>
        <w:ind w:firstLine="632" w:firstLineChars="200"/>
        <w:rPr>
          <w:rFonts w:hint="default" w:ascii="Times New Roman" w:hAnsi="Times New Roman" w:eastAsia="楷体_GB2312" w:cs="Times New Roman"/>
          <w:kern w:val="0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kern w:val="0"/>
          <w:szCs w:val="32"/>
          <w:lang w:val="en-US" w:eastAsia="zh-CN"/>
        </w:rPr>
        <w:t>1. 主动公开方面。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 w:ascii="Times New Roman" w:hAnsi="Times New Roman" w:eastAsia="仿宋_GB2312" w:cs="Times New Roman"/>
          <w:kern w:val="0"/>
          <w:szCs w:val="32"/>
          <w:lang w:val="en-US" w:eastAsia="zh-CN"/>
        </w:rPr>
      </w:pPr>
      <w:r>
        <w:rPr>
          <w:rFonts w:hint="default" w:ascii="Times New Roman" w:hAnsi="Times New Roman" w:cs="Times New Roman"/>
          <w:kern w:val="0"/>
          <w:szCs w:val="32"/>
          <w:lang w:val="en-US" w:eastAsia="zh-CN"/>
        </w:rPr>
        <w:t>2023年，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淄博经开区财政局</w:t>
      </w:r>
      <w:r>
        <w:rPr>
          <w:rFonts w:hint="default" w:ascii="Times New Roman" w:hAnsi="Times New Roman" w:cs="Times New Roman"/>
          <w:kern w:val="0"/>
          <w:szCs w:val="32"/>
          <w:lang w:val="en-US" w:eastAsia="zh-CN"/>
        </w:rPr>
        <w:t>共制发行政规范性文件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1</w:t>
      </w:r>
      <w:r>
        <w:rPr>
          <w:rFonts w:hint="default" w:ascii="Times New Roman" w:hAnsi="Times New Roman" w:cs="Times New Roman"/>
          <w:kern w:val="0"/>
          <w:szCs w:val="32"/>
          <w:lang w:val="en-US" w:eastAsia="zh-CN"/>
        </w:rPr>
        <w:t>件，普通政府文件0件。按规定节点公开2022年财政决算和2023年财政预算各1件，按月公开财政收支运行情况12件次，按季度公开政府集中采购实施情况、政府债务信息情况各4件次，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动态</w:t>
      </w:r>
      <w:r>
        <w:rPr>
          <w:rFonts w:hint="default" w:ascii="Times New Roman" w:hAnsi="Times New Roman" w:cs="Times New Roman"/>
          <w:kern w:val="0"/>
          <w:szCs w:val="32"/>
          <w:lang w:val="en-US" w:eastAsia="zh-CN"/>
        </w:rPr>
        <w:t>更新行政事业性收费目录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6</w:t>
      </w:r>
      <w:r>
        <w:rPr>
          <w:rFonts w:hint="default" w:ascii="Times New Roman" w:hAnsi="Times New Roman" w:cs="Times New Roman"/>
          <w:kern w:val="0"/>
          <w:szCs w:val="32"/>
          <w:lang w:val="en-US" w:eastAsia="zh-CN"/>
        </w:rPr>
        <w:t>件、全国政府性基金目录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1</w:t>
      </w:r>
      <w:r>
        <w:rPr>
          <w:rFonts w:hint="default" w:ascii="Times New Roman" w:hAnsi="Times New Roman" w:cs="Times New Roman"/>
          <w:kern w:val="0"/>
          <w:szCs w:val="32"/>
          <w:lang w:val="en-US" w:eastAsia="zh-CN"/>
        </w:rPr>
        <w:t>件。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 w:ascii="Times New Roman" w:hAnsi="Times New Roman" w:eastAsia="楷体_GB2312" w:cs="Times New Roman"/>
          <w:kern w:val="0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kern w:val="0"/>
          <w:szCs w:val="32"/>
          <w:lang w:val="en-US" w:eastAsia="zh-CN"/>
        </w:rPr>
        <w:t>2. 依申请公开工作方面。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 w:ascii="Times New Roman" w:hAnsi="Times New Roman" w:cs="Times New Roman"/>
          <w:szCs w:val="32"/>
          <w:lang w:val="en-US" w:eastAsia="zh-CN"/>
        </w:rPr>
      </w:pPr>
      <w:r>
        <w:rPr>
          <w:rFonts w:hint="default" w:ascii="Times New Roman" w:hAnsi="Times New Roman" w:cs="Times New Roman"/>
          <w:szCs w:val="32"/>
        </w:rPr>
        <w:t>202</w:t>
      </w:r>
      <w:r>
        <w:rPr>
          <w:rFonts w:hint="default" w:ascii="Times New Roman" w:hAnsi="Times New Roman" w:cs="Times New Roman"/>
          <w:szCs w:val="32"/>
          <w:lang w:val="en-US" w:eastAsia="zh-CN"/>
        </w:rPr>
        <w:t>3</w:t>
      </w:r>
      <w:r>
        <w:rPr>
          <w:rFonts w:hint="default" w:ascii="Times New Roman" w:hAnsi="Times New Roman" w:cs="Times New Roman"/>
          <w:szCs w:val="32"/>
        </w:rPr>
        <w:t>年</w:t>
      </w:r>
      <w:r>
        <w:rPr>
          <w:rFonts w:hint="default" w:ascii="Times New Roman" w:hAnsi="Times New Roman" w:cs="Times New Roman"/>
          <w:szCs w:val="32"/>
          <w:lang w:eastAsia="zh-CN"/>
        </w:rPr>
        <w:t>，通过网上系统、现场申请、信件邮寄等方式收到政府信息公开申请</w:t>
      </w:r>
      <w:r>
        <w:rPr>
          <w:rFonts w:hint="eastAsia" w:ascii="Times New Roman" w:hAnsi="Times New Roman" w:cs="Times New Roman"/>
          <w:szCs w:val="32"/>
          <w:lang w:val="en-US" w:eastAsia="zh-CN"/>
        </w:rPr>
        <w:t>0</w:t>
      </w:r>
      <w:r>
        <w:rPr>
          <w:rFonts w:hint="default" w:ascii="Times New Roman" w:hAnsi="Times New Roman" w:cs="Times New Roman"/>
          <w:szCs w:val="32"/>
          <w:lang w:val="en-US" w:eastAsia="zh-CN"/>
        </w:rPr>
        <w:t>件，同比增长</w:t>
      </w:r>
      <w:r>
        <w:rPr>
          <w:rFonts w:hint="eastAsia" w:ascii="Times New Roman" w:hAnsi="Times New Roman" w:cs="Times New Roman"/>
          <w:szCs w:val="32"/>
          <w:lang w:val="en-US" w:eastAsia="zh-CN"/>
        </w:rPr>
        <w:t>0</w:t>
      </w:r>
      <w:r>
        <w:rPr>
          <w:rFonts w:hint="default" w:ascii="Times New Roman" w:hAnsi="Times New Roman" w:cs="Times New Roman"/>
          <w:szCs w:val="32"/>
          <w:lang w:val="en-US" w:eastAsia="zh-CN"/>
        </w:rPr>
        <w:t>%，全部依法依规予以办理。未发生因依申请公开引发的行政复议、行政诉讼案件</w:t>
      </w:r>
      <w:r>
        <w:rPr>
          <w:rFonts w:hint="eastAsia" w:ascii="Times New Roman" w:hAnsi="Times New Roman" w:cs="Times New Roman"/>
          <w:szCs w:val="32"/>
          <w:lang w:val="en-US" w:eastAsia="zh-CN"/>
        </w:rPr>
        <w:t>，</w:t>
      </w:r>
      <w:r>
        <w:rPr>
          <w:rFonts w:hint="default" w:ascii="Times New Roman" w:hAnsi="Times New Roman" w:cs="Times New Roman"/>
          <w:szCs w:val="32"/>
          <w:lang w:val="en-US" w:eastAsia="zh-CN"/>
        </w:rPr>
        <w:t>较好的保障了企业和群众获取政府信息的权利。</w:t>
      </w:r>
    </w:p>
    <w:p>
      <w:pPr>
        <w:autoSpaceDE w:val="0"/>
        <w:autoSpaceDN w:val="0"/>
        <w:adjustRightInd w:val="0"/>
        <w:ind w:firstLine="632" w:firstLineChars="200"/>
        <w:rPr>
          <w:rFonts w:hint="default" w:ascii="Times New Roman" w:hAnsi="Times New Roman" w:eastAsia="楷体_GB2312" w:cs="Times New Roman"/>
          <w:kern w:val="0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kern w:val="0"/>
          <w:szCs w:val="32"/>
          <w:lang w:val="en-US" w:eastAsia="zh-CN"/>
        </w:rPr>
        <w:t>3. 政府信息管理方面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632" w:firstLineChars="200"/>
        <w:textAlignment w:val="auto"/>
        <w:rPr>
          <w:rFonts w:hint="default" w:ascii="Times New Roman" w:hAnsi="Times New Roman" w:cs="Times New Roman"/>
          <w:kern w:val="0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聚焦“重点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+规律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”，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动态更新政府信息主动公开目录，明确责任单位和公开时限，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重点关注预决算公开、财政收支、政府采购等财政数据的信息公开情况，建立旬提示、季调度的政务公开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管理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机制，对动态更新栏目即变即改、定期更新栏目规律维护。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聚焦“公开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+审查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”，</w:t>
      </w:r>
      <w:r>
        <w:rPr>
          <w:rFonts w:hint="default" w:ascii="Times New Roman" w:hAnsi="Times New Roman" w:cs="Times New Roman"/>
          <w:kern w:val="0"/>
          <w:szCs w:val="32"/>
        </w:rPr>
        <w:t>严格落实信息发布“三审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一校</w:t>
      </w:r>
      <w:r>
        <w:rPr>
          <w:rFonts w:hint="default" w:ascii="Times New Roman" w:hAnsi="Times New Roman" w:cs="Times New Roman"/>
          <w:kern w:val="0"/>
          <w:szCs w:val="32"/>
        </w:rPr>
        <w:t>”责任制</w:t>
      </w:r>
      <w:r>
        <w:rPr>
          <w:rFonts w:hint="default" w:ascii="Times New Roman" w:hAnsi="Times New Roman" w:cs="Times New Roman"/>
          <w:kern w:val="0"/>
          <w:szCs w:val="32"/>
          <w:lang w:eastAsia="zh-CN"/>
        </w:rPr>
        <w:t>，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加强“科室初审—科长复审—领导终审—办公室核校”的全流程信息管控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，确保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“涉密信息不上网、上网信息不涉密、公开信息已审核、审核信息必准确”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严格落实政府信息生命周期管理要求，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特别对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规范性文件标注有效期限，及时清理失效文件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，确保公开信息的有效性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bidi w:val="0"/>
        <w:snapToGrid/>
        <w:ind w:firstLine="632" w:firstLineChars="200"/>
        <w:textAlignment w:val="auto"/>
        <w:rPr>
          <w:rFonts w:hint="default" w:ascii="Times New Roman" w:hAnsi="Times New Roman" w:eastAsia="楷体_GB2312" w:cs="Times New Roman"/>
          <w:kern w:val="0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kern w:val="0"/>
          <w:szCs w:val="32"/>
          <w:lang w:val="en-US" w:eastAsia="zh-CN"/>
        </w:rPr>
        <w:t>4. 平台建设方面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bidi w:val="0"/>
        <w:snapToGrid/>
        <w:ind w:firstLine="632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szCs w:val="32"/>
          <w:lang w:val="en-US" w:eastAsia="zh-CN"/>
        </w:rPr>
        <w:t>根据区管委</w:t>
      </w:r>
      <w:r>
        <w:rPr>
          <w:rFonts w:hint="default" w:ascii="Times New Roman" w:hAnsi="Times New Roman" w:cs="Times New Roman"/>
          <w:b w:val="0"/>
          <w:bCs/>
          <w:szCs w:val="32"/>
          <w:lang w:eastAsia="zh-CN"/>
        </w:rPr>
        <w:t>办公室工作部署，及时调整优化政府信息公开平台栏目设置，增设“</w:t>
      </w:r>
      <w:r>
        <w:rPr>
          <w:rFonts w:hint="eastAsia" w:ascii="Times New Roman" w:hAnsi="Times New Roman" w:cs="Times New Roman"/>
          <w:b w:val="0"/>
          <w:bCs/>
          <w:szCs w:val="32"/>
          <w:lang w:val="en-US" w:eastAsia="zh-CN"/>
        </w:rPr>
        <w:t>乡村振兴</w:t>
      </w:r>
      <w:r>
        <w:rPr>
          <w:rFonts w:hint="default" w:ascii="Times New Roman" w:hAnsi="Times New Roman" w:cs="Times New Roman"/>
          <w:b w:val="0"/>
          <w:bCs/>
          <w:szCs w:val="32"/>
          <w:lang w:eastAsia="zh-CN"/>
        </w:rPr>
        <w:t>”</w:t>
      </w:r>
      <w:r>
        <w:rPr>
          <w:rFonts w:hint="eastAsia" w:ascii="Times New Roman" w:hAnsi="Times New Roman" w:cs="Times New Roman"/>
          <w:b w:val="0"/>
          <w:bCs/>
          <w:szCs w:val="32"/>
          <w:lang w:val="en-US" w:eastAsia="zh-CN"/>
        </w:rPr>
        <w:t>和“精准脱贫”</w:t>
      </w:r>
      <w:r>
        <w:rPr>
          <w:rFonts w:hint="default" w:ascii="Times New Roman" w:hAnsi="Times New Roman" w:cs="Times New Roman"/>
          <w:b w:val="0"/>
          <w:bCs/>
          <w:szCs w:val="32"/>
          <w:lang w:eastAsia="zh-CN"/>
        </w:rPr>
        <w:t>栏目，</w:t>
      </w:r>
      <w:r>
        <w:rPr>
          <w:rFonts w:hint="eastAsia" w:ascii="Times New Roman" w:hAnsi="Times New Roman" w:cs="Times New Roman"/>
          <w:b w:val="0"/>
          <w:bCs/>
          <w:szCs w:val="32"/>
          <w:lang w:eastAsia="zh-CN"/>
        </w:rPr>
        <w:t>完善</w:t>
      </w:r>
      <w:r>
        <w:rPr>
          <w:rFonts w:hint="eastAsia" w:ascii="Times New Roman" w:hAnsi="Times New Roman" w:cs="Times New Roman"/>
          <w:b w:val="0"/>
          <w:bCs/>
          <w:szCs w:val="32"/>
          <w:lang w:val="en-US" w:eastAsia="zh-CN"/>
        </w:rPr>
        <w:t>减税降费专题</w:t>
      </w:r>
      <w:r>
        <w:rPr>
          <w:rFonts w:hint="default" w:ascii="Times New Roman" w:hAnsi="Times New Roman" w:cs="Times New Roman"/>
          <w:b w:val="0"/>
          <w:bCs/>
          <w:szCs w:val="32"/>
          <w:lang w:eastAsia="zh-CN"/>
        </w:rPr>
        <w:t>；充分发挥政务新媒体推介宣传作用，第一时间推送财政工作动态</w:t>
      </w:r>
      <w:r>
        <w:rPr>
          <w:rFonts w:hint="default" w:ascii="Times New Roman" w:hAnsi="Times New Roman" w:cs="Times New Roman"/>
          <w:b w:val="0"/>
          <w:bCs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bidi w:val="0"/>
        <w:snapToGrid/>
        <w:ind w:firstLine="632" w:firstLineChars="200"/>
        <w:textAlignment w:val="auto"/>
        <w:rPr>
          <w:rFonts w:hint="default" w:ascii="Times New Roman" w:hAnsi="Times New Roman" w:eastAsia="楷体_GB2312" w:cs="Times New Roman"/>
          <w:b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zCs w:val="32"/>
          <w:lang w:val="en-US" w:eastAsia="zh-CN"/>
        </w:rPr>
        <w:t>5. 监督保障方面</w:t>
      </w:r>
    </w:p>
    <w:p>
      <w:pPr>
        <w:widowControl/>
        <w:shd w:val="clear" w:color="auto" w:fill="FFFFFF"/>
        <w:ind w:firstLine="632" w:firstLineChars="200"/>
        <w:rPr>
          <w:rFonts w:hint="default" w:ascii="Times New Roman" w:hAnsi="Times New Roman" w:eastAsia="仿宋_GB2312" w:cs="Times New Roman"/>
          <w:b w:val="0"/>
          <w:bCs/>
          <w:szCs w:val="32"/>
          <w:lang w:eastAsia="zh-CN"/>
        </w:rPr>
      </w:pPr>
      <w:r>
        <w:rPr>
          <w:rFonts w:hint="default" w:ascii="Times New Roman" w:hAnsi="Times New Roman" w:cs="Times New Roman"/>
          <w:b/>
          <w:bCs w:val="0"/>
          <w:szCs w:val="32"/>
          <w:lang w:eastAsia="zh-CN"/>
        </w:rPr>
        <w:t>一是</w:t>
      </w:r>
      <w:r>
        <w:rPr>
          <w:rFonts w:hint="default" w:ascii="Times New Roman" w:hAnsi="Times New Roman" w:cs="Times New Roman"/>
          <w:b w:val="0"/>
          <w:bCs/>
          <w:szCs w:val="32"/>
          <w:lang w:eastAsia="zh-CN"/>
        </w:rPr>
        <w:t>强化组织领导。根据工作调整和人员变动</w:t>
      </w:r>
      <w:r>
        <w:rPr>
          <w:rFonts w:hint="default" w:ascii="Times New Roman" w:hAnsi="Times New Roman" w:cs="Times New Roman"/>
          <w:szCs w:val="32"/>
        </w:rPr>
        <w:t>及时调整局政务公开工作领导小组，</w:t>
      </w:r>
      <w:r>
        <w:rPr>
          <w:rFonts w:hint="default" w:ascii="Times New Roman" w:hAnsi="Times New Roman" w:cs="Times New Roman"/>
          <w:szCs w:val="32"/>
          <w:lang w:eastAsia="zh-CN"/>
        </w:rPr>
        <w:t>明确各科室单位政务公开联络员，</w:t>
      </w:r>
      <w:r>
        <w:rPr>
          <w:rFonts w:hint="default" w:ascii="Times New Roman" w:hAnsi="Times New Roman" w:cs="Times New Roman"/>
          <w:szCs w:val="32"/>
        </w:rPr>
        <w:t>将政务公开工作情况纳入局内部控制考评管理体系，切实保障政务公开工作</w:t>
      </w:r>
      <w:r>
        <w:rPr>
          <w:rFonts w:hint="default" w:ascii="Times New Roman" w:hAnsi="Times New Roman" w:cs="Times New Roman"/>
          <w:szCs w:val="32"/>
          <w:lang w:eastAsia="zh-CN"/>
        </w:rPr>
        <w:t>有序</w:t>
      </w:r>
      <w:r>
        <w:rPr>
          <w:rFonts w:hint="default" w:ascii="Times New Roman" w:hAnsi="Times New Roman" w:cs="Times New Roman"/>
          <w:szCs w:val="32"/>
        </w:rPr>
        <w:t>推进。</w:t>
      </w:r>
      <w:r>
        <w:rPr>
          <w:rFonts w:hint="default" w:ascii="Times New Roman" w:hAnsi="Times New Roman" w:cs="Times New Roman"/>
          <w:b/>
          <w:bCs/>
          <w:szCs w:val="32"/>
          <w:lang w:eastAsia="zh-CN"/>
        </w:rPr>
        <w:t>二是</w:t>
      </w:r>
      <w:r>
        <w:rPr>
          <w:rFonts w:hint="default" w:ascii="Times New Roman" w:hAnsi="Times New Roman" w:cs="Times New Roman"/>
          <w:szCs w:val="32"/>
          <w:lang w:eastAsia="zh-CN"/>
        </w:rPr>
        <w:t>强化监督指导。政务公开领导小组办公室负责局政务公开日常工作，严格按照政务公开基本目录规定的时间节点梳理公开事项，协调</w:t>
      </w:r>
      <w:r>
        <w:rPr>
          <w:rFonts w:hint="eastAsia" w:ascii="Times New Roman" w:hAnsi="Times New Roman" w:cs="Times New Roman"/>
          <w:szCs w:val="32"/>
          <w:lang w:eastAsia="zh-CN"/>
        </w:rPr>
        <w:t>配合</w:t>
      </w:r>
      <w:r>
        <w:rPr>
          <w:rFonts w:hint="default" w:ascii="Times New Roman" w:hAnsi="Times New Roman" w:cs="Times New Roman"/>
          <w:szCs w:val="32"/>
          <w:lang w:eastAsia="zh-CN"/>
        </w:rPr>
        <w:t>相关责任科室</w:t>
      </w:r>
      <w:r>
        <w:rPr>
          <w:rFonts w:hint="eastAsia" w:ascii="Times New Roman" w:hAnsi="Times New Roman" w:cs="Times New Roman"/>
          <w:szCs w:val="32"/>
          <w:lang w:eastAsia="zh-CN"/>
        </w:rPr>
        <w:t>及时公开应公开信息</w:t>
      </w:r>
      <w:r>
        <w:rPr>
          <w:rFonts w:hint="default" w:ascii="Times New Roman" w:hAnsi="Times New Roman" w:cs="Times New Roman"/>
          <w:szCs w:val="32"/>
          <w:lang w:eastAsia="zh-CN"/>
        </w:rPr>
        <w:t>。</w:t>
      </w:r>
    </w:p>
    <w:p>
      <w:pPr>
        <w:pStyle w:val="5"/>
        <w:widowControl/>
        <w:shd w:val="clear" w:color="auto" w:fill="FFFFFF"/>
        <w:spacing w:beforeAutospacing="0" w:afterAutospacing="0"/>
        <w:ind w:firstLine="632" w:firstLineChars="200"/>
        <w:jc w:val="both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shd w:val="clear" w:color="auto" w:fill="FFFFFF"/>
        </w:rPr>
        <w:t>二、主动公开政府信息情况</w:t>
      </w:r>
    </w:p>
    <w:tbl>
      <w:tblPr>
        <w:tblStyle w:val="6"/>
        <w:tblW w:w="8789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409"/>
        <w:gridCol w:w="2410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8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第二十条第（一）项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本年制发件数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本年废止件数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现行有效件数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规章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行政规范性文件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8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第二十条第（五）项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666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行政许可</w:t>
            </w:r>
          </w:p>
        </w:tc>
        <w:tc>
          <w:tcPr>
            <w:tcW w:w="666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8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第二十条第（六）项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666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行政处罚</w:t>
            </w:r>
          </w:p>
        </w:tc>
        <w:tc>
          <w:tcPr>
            <w:tcW w:w="666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行政强制</w:t>
            </w:r>
          </w:p>
        </w:tc>
        <w:tc>
          <w:tcPr>
            <w:tcW w:w="666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8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第二十条第（八）项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666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行政事业性收费</w:t>
            </w:r>
          </w:p>
        </w:tc>
        <w:tc>
          <w:tcPr>
            <w:tcW w:w="666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rPr>
          <w:rFonts w:hint="default" w:ascii="Times New Roman" w:hAnsi="Times New Roman" w:eastAsia="黑体" w:cs="Times New Roman"/>
          <w:bCs/>
          <w:kern w:val="0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bCs/>
          <w:kern w:val="0"/>
          <w:szCs w:val="32"/>
          <w:shd w:val="clear" w:color="auto" w:fill="FFFFFF"/>
        </w:rPr>
        <w:t>三、收到和处理政府信息公开申请情况</w:t>
      </w:r>
    </w:p>
    <w:tbl>
      <w:tblPr>
        <w:tblStyle w:val="6"/>
        <w:tblW w:w="961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2"/>
        <w:gridCol w:w="1596"/>
        <w:gridCol w:w="2977"/>
        <w:gridCol w:w="709"/>
        <w:gridCol w:w="567"/>
        <w:gridCol w:w="567"/>
        <w:gridCol w:w="709"/>
        <w:gridCol w:w="708"/>
        <w:gridCol w:w="709"/>
        <w:gridCol w:w="58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065" w:type="dxa"/>
            <w:gridSpan w:val="3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  <w:t>（本列数据的勾稽关系为：第一项加第二项之和，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  <w:t>等于第三项加第四项之和）</w:t>
            </w:r>
          </w:p>
        </w:tc>
        <w:tc>
          <w:tcPr>
            <w:tcW w:w="4553" w:type="dxa"/>
            <w:gridSpan w:val="7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065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自然人</w:t>
            </w:r>
          </w:p>
        </w:tc>
        <w:tc>
          <w:tcPr>
            <w:tcW w:w="3260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法人或其他组织</w:t>
            </w:r>
          </w:p>
        </w:tc>
        <w:tc>
          <w:tcPr>
            <w:tcW w:w="584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atLeast"/>
          <w:jc w:val="center"/>
        </w:trPr>
        <w:tc>
          <w:tcPr>
            <w:tcW w:w="5065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60" w:leftChars="-51" w:right="-161" w:rightChars="-51" w:hanging="1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商业</w:t>
            </w:r>
          </w:p>
          <w:p>
            <w:pPr>
              <w:widowControl/>
              <w:spacing w:line="320" w:lineRule="exact"/>
              <w:ind w:left="-160" w:leftChars="-51" w:right="-161" w:rightChars="-51" w:hanging="1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企业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61" w:leftChars="-51" w:right="-161" w:rightChars="-51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科研</w:t>
            </w:r>
          </w:p>
          <w:p>
            <w:pPr>
              <w:widowControl/>
              <w:spacing w:line="320" w:lineRule="exact"/>
              <w:ind w:left="-161" w:leftChars="-51" w:right="-161" w:rightChars="-51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机构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61" w:leftChars="-51" w:right="-161" w:rightChars="-51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社会</w:t>
            </w:r>
          </w:p>
          <w:p>
            <w:pPr>
              <w:widowControl/>
              <w:spacing w:line="320" w:lineRule="exact"/>
              <w:ind w:left="-161" w:leftChars="-51" w:right="-161" w:rightChars="-51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公益</w:t>
            </w:r>
          </w:p>
          <w:p>
            <w:pPr>
              <w:widowControl/>
              <w:spacing w:line="320" w:lineRule="exact"/>
              <w:ind w:left="-161" w:leftChars="-51" w:right="-161" w:rightChars="-51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组织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60" w:leftChars="-51" w:right="-161" w:rightChars="-51" w:hanging="1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法律</w:t>
            </w:r>
          </w:p>
          <w:p>
            <w:pPr>
              <w:widowControl/>
              <w:spacing w:line="320" w:lineRule="exact"/>
              <w:ind w:left="-160" w:leftChars="-51" w:right="-161" w:rightChars="-51" w:hanging="1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服务</w:t>
            </w:r>
          </w:p>
          <w:p>
            <w:pPr>
              <w:widowControl/>
              <w:spacing w:line="320" w:lineRule="exact"/>
              <w:ind w:left="-160" w:leftChars="-51" w:right="-161" w:rightChars="-51" w:hanging="1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机构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ind w:left="-94" w:leftChars="-30" w:right="-202" w:rightChars="-64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其他</w:t>
            </w:r>
          </w:p>
        </w:tc>
        <w:tc>
          <w:tcPr>
            <w:tcW w:w="584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65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一、</w:t>
            </w:r>
            <w:bookmarkStart w:id="0" w:name="_Hlk66973412"/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本年新收政府信息公开申请数量</w:t>
            </w:r>
            <w:bookmarkEnd w:id="0"/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65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三、本年度办理结果</w:t>
            </w:r>
          </w:p>
        </w:tc>
        <w:tc>
          <w:tcPr>
            <w:tcW w:w="4573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（一）予以公开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4573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（二）部分公开（</w:t>
            </w:r>
            <w:bookmarkStart w:id="1" w:name="_Hlk66973981"/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区分处理的，只计这一情形，不计其他情形</w:t>
            </w:r>
            <w:bookmarkEnd w:id="1"/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）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9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596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61" w:leftChars="-51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（三）不予公开</w:t>
            </w:r>
          </w:p>
        </w:tc>
        <w:tc>
          <w:tcPr>
            <w:tcW w:w="29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1.属于国家秘密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9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59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2.</w:t>
            </w:r>
            <w:bookmarkStart w:id="2" w:name="_Hlk66974104"/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其他法律行政法规禁止公开</w:t>
            </w:r>
            <w:bookmarkEnd w:id="2"/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9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59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3.危及“三安全一稳定”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9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59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4.</w:t>
            </w:r>
            <w:bookmarkStart w:id="3" w:name="_Hlk66974290"/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保护第三方合法权益</w:t>
            </w:r>
            <w:bookmarkEnd w:id="3"/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9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59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5.属于三类内部事务信息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9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59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6.</w:t>
            </w:r>
            <w:bookmarkStart w:id="4" w:name="_Hlk66974555"/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属于四类过程性信息</w:t>
            </w:r>
            <w:bookmarkEnd w:id="4"/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9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59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7.属于行政执法案卷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9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59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8.</w:t>
            </w:r>
            <w:bookmarkStart w:id="5" w:name="_Hlk66975211"/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属于行政查询事项</w:t>
            </w:r>
            <w:bookmarkEnd w:id="5"/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9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596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61" w:leftChars="-51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（四）无法提供</w:t>
            </w:r>
          </w:p>
        </w:tc>
        <w:tc>
          <w:tcPr>
            <w:tcW w:w="29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1.本机关不掌握相关政府信息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9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59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ind w:left="-161" w:leftChars="-51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2.</w:t>
            </w:r>
            <w:bookmarkStart w:id="6" w:name="_Hlk66975392"/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没有现成信息需要另行制作</w:t>
            </w:r>
            <w:bookmarkEnd w:id="6"/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9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59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ind w:left="-161" w:leftChars="-51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3.</w:t>
            </w:r>
            <w:bookmarkStart w:id="7" w:name="_Hlk66975466"/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补正后申请内容仍不明确</w:t>
            </w:r>
            <w:bookmarkEnd w:id="7"/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9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596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61" w:leftChars="-51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（五）不予处理</w:t>
            </w:r>
          </w:p>
        </w:tc>
        <w:tc>
          <w:tcPr>
            <w:tcW w:w="29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1.</w:t>
            </w:r>
            <w:bookmarkStart w:id="8" w:name="_Hlk66975537"/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信访举报投诉类申请</w:t>
            </w:r>
            <w:bookmarkEnd w:id="8"/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9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59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2.重复申请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9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59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3.要求提供公开出版物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9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59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4.无正当理由大量反复申请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59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5.要求行政机关确认或重新</w:t>
            </w:r>
          </w:p>
          <w:p>
            <w:pPr>
              <w:widowControl/>
              <w:spacing w:line="300" w:lineRule="exact"/>
              <w:ind w:firstLine="206" w:firstLineChars="10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出具已获取信息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596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（六）其他处理</w:t>
            </w:r>
          </w:p>
        </w:tc>
        <w:tc>
          <w:tcPr>
            <w:tcW w:w="29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1.申请人无正当理由逾期不补正、行政机关不再处理其政府信息公开申请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59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2.申请人逾期未按收费通知要求缴纳费用、行政机关不再处理其政府信息公开申请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49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59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3.其他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9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4573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（七）总计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5065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四、结转下年度继续办理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</w:t>
            </w:r>
          </w:p>
        </w:tc>
      </w:tr>
    </w:tbl>
    <w:p>
      <w:pPr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eastAsia="黑体" w:cs="Times New Roman"/>
          <w:bCs/>
          <w:kern w:val="0"/>
          <w:szCs w:val="32"/>
          <w:shd w:val="clear" w:color="auto" w:fill="FFFFFF"/>
        </w:rPr>
        <w:t>四、政府信息公开行政复议、行政诉讼情况</w:t>
      </w:r>
    </w:p>
    <w:tbl>
      <w:tblPr>
        <w:tblStyle w:val="6"/>
        <w:tblW w:w="9413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4"/>
        <w:gridCol w:w="644"/>
        <w:gridCol w:w="567"/>
        <w:gridCol w:w="709"/>
        <w:gridCol w:w="568"/>
        <w:gridCol w:w="532"/>
        <w:gridCol w:w="605"/>
        <w:gridCol w:w="605"/>
        <w:gridCol w:w="605"/>
        <w:gridCol w:w="605"/>
        <w:gridCol w:w="605"/>
        <w:gridCol w:w="605"/>
        <w:gridCol w:w="605"/>
        <w:gridCol w:w="606"/>
        <w:gridCol w:w="77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26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行政复议</w:t>
            </w:r>
          </w:p>
        </w:tc>
        <w:tc>
          <w:tcPr>
            <w:tcW w:w="6151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  <w:jc w:val="center"/>
        </w:trPr>
        <w:tc>
          <w:tcPr>
            <w:tcW w:w="77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224" w:leftChars="-71" w:right="-255" w:rightChars="-81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结果</w:t>
            </w:r>
          </w:p>
          <w:p>
            <w:pPr>
              <w:widowControl/>
              <w:ind w:left="-224" w:leftChars="-71" w:right="-255" w:rightChars="-81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维持</w:t>
            </w:r>
          </w:p>
        </w:tc>
        <w:tc>
          <w:tcPr>
            <w:tcW w:w="64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65" w:leftChars="-21" w:right="-199" w:rightChars="-63" w:hanging="1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结果</w:t>
            </w:r>
          </w:p>
          <w:p>
            <w:pPr>
              <w:widowControl/>
              <w:ind w:left="-65" w:leftChars="-21" w:right="-199" w:rightChars="-63" w:hanging="1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纠正</w:t>
            </w:r>
          </w:p>
        </w:tc>
        <w:tc>
          <w:tcPr>
            <w:tcW w:w="56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23" w:leftChars="-39" w:right="-145" w:rightChars="-46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其他</w:t>
            </w:r>
          </w:p>
          <w:p>
            <w:pPr>
              <w:widowControl/>
              <w:ind w:left="-123" w:leftChars="-39" w:right="-145" w:rightChars="-46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结果</w:t>
            </w:r>
          </w:p>
        </w:tc>
        <w:tc>
          <w:tcPr>
            <w:tcW w:w="70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76" w:leftChars="-56" w:right="-176" w:rightChars="-56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尚未</w:t>
            </w:r>
          </w:p>
          <w:p>
            <w:pPr>
              <w:widowControl/>
              <w:ind w:left="-176" w:leftChars="-56" w:right="-176" w:rightChars="-56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审结</w:t>
            </w:r>
          </w:p>
        </w:tc>
        <w:tc>
          <w:tcPr>
            <w:tcW w:w="56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总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计</w:t>
            </w:r>
          </w:p>
        </w:tc>
        <w:tc>
          <w:tcPr>
            <w:tcW w:w="295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未经复议直接起诉</w:t>
            </w:r>
          </w:p>
        </w:tc>
        <w:tc>
          <w:tcPr>
            <w:tcW w:w="319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bookmarkStart w:id="9" w:name="_Hlk67039688"/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复议后起诉</w:t>
            </w:r>
            <w:bookmarkEnd w:id="9"/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6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56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58" w:leftChars="-50" w:right="-189" w:rightChars="-60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结果</w:t>
            </w:r>
          </w:p>
          <w:p>
            <w:pPr>
              <w:widowControl/>
              <w:ind w:left="-158" w:leftChars="-50" w:right="-189" w:rightChars="-6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29" w:leftChars="-41" w:right="-132" w:rightChars="-42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结果</w:t>
            </w:r>
          </w:p>
          <w:p>
            <w:pPr>
              <w:widowControl/>
              <w:ind w:left="-129" w:leftChars="-41" w:right="-132" w:rightChars="-42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89" w:leftChars="-60" w:right="-205" w:rightChars="-65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其他</w:t>
            </w:r>
          </w:p>
          <w:p>
            <w:pPr>
              <w:widowControl/>
              <w:ind w:left="-189" w:leftChars="-60" w:right="-205" w:rightChars="-65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246" w:leftChars="-78" w:right="-230" w:rightChars="-73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尚未</w:t>
            </w:r>
          </w:p>
          <w:p>
            <w:pPr>
              <w:widowControl/>
              <w:ind w:left="-246" w:leftChars="-78" w:right="-230" w:rightChars="-73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48" w:leftChars="-47" w:right="-116" w:rightChars="-37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结果</w:t>
            </w:r>
          </w:p>
          <w:p>
            <w:pPr>
              <w:widowControl/>
              <w:ind w:left="-148" w:leftChars="-47" w:right="-116" w:rightChars="-37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205" w:leftChars="-65" w:right="-186" w:rightChars="-59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结果</w:t>
            </w:r>
          </w:p>
          <w:p>
            <w:pPr>
              <w:widowControl/>
              <w:ind w:left="-205" w:leftChars="-65" w:right="-186" w:rightChars="-59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261" w:leftChars="-83" w:right="-202" w:rightChars="-64" w:hanging="1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其他</w:t>
            </w:r>
          </w:p>
          <w:p>
            <w:pPr>
              <w:widowControl/>
              <w:ind w:left="-261" w:leftChars="-83" w:right="-202" w:rightChars="-64" w:hanging="1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02" w:leftChars="-33" w:right="-158" w:rightChars="-50" w:hanging="2" w:hangingChars="1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尚未</w:t>
            </w:r>
          </w:p>
          <w:p>
            <w:pPr>
              <w:widowControl/>
              <w:ind w:left="-102" w:leftChars="-33" w:right="-158" w:rightChars="-50" w:hanging="2" w:hangingChars="1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审结</w:t>
            </w:r>
          </w:p>
        </w:tc>
        <w:tc>
          <w:tcPr>
            <w:tcW w:w="7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/>
        <w:jc w:val="both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shd w:val="clear" w:color="auto" w:fill="FFFFFF"/>
        </w:rPr>
        <w:t>五、存在的主要问题及改进情况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cs="Times New Roman"/>
          <w:lang w:eastAsia="zh-CN"/>
        </w:rPr>
        <w:t>随着工作调整和情况变化，政务公开网站中部分往年开设的公开栏目已不顺应最新工作要求，出现无法保障更新或</w:t>
      </w:r>
      <w:r>
        <w:rPr>
          <w:rFonts w:hint="eastAsia" w:ascii="Times New Roman" w:hAnsi="Times New Roman" w:cs="Times New Roman"/>
          <w:lang w:eastAsia="zh-CN"/>
        </w:rPr>
        <w:t>公开信息</w:t>
      </w:r>
      <w:r>
        <w:rPr>
          <w:rFonts w:hint="default" w:ascii="Times New Roman" w:hAnsi="Times New Roman" w:cs="Times New Roman"/>
          <w:lang w:eastAsia="zh-CN"/>
        </w:rPr>
        <w:t>质量不高的情况。对此，</w:t>
      </w:r>
      <w:r>
        <w:rPr>
          <w:rFonts w:hint="default" w:ascii="Times New Roman" w:hAnsi="Times New Roman" w:cs="Times New Roman"/>
        </w:rPr>
        <w:t>在市政府政务公开</w:t>
      </w:r>
      <w:r>
        <w:rPr>
          <w:rFonts w:hint="eastAsia" w:ascii="Times New Roman" w:hAnsi="Times New Roman" w:cs="Times New Roman"/>
          <w:lang w:eastAsia="zh-CN"/>
        </w:rPr>
        <w:t>办公室</w:t>
      </w:r>
      <w:r>
        <w:rPr>
          <w:rFonts w:hint="default" w:ascii="Times New Roman" w:hAnsi="Times New Roman" w:cs="Times New Roman"/>
        </w:rPr>
        <w:t>指导下，</w:t>
      </w:r>
      <w:r>
        <w:rPr>
          <w:rFonts w:hint="eastAsia" w:ascii="Times New Roman" w:hAnsi="Times New Roman" w:cs="Times New Roman"/>
          <w:lang w:eastAsia="zh-CN"/>
        </w:rPr>
        <w:t>淄博经开区财政局对门户网站和政务公开专栏</w:t>
      </w:r>
      <w:r>
        <w:rPr>
          <w:rFonts w:hint="default" w:ascii="Times New Roman" w:hAnsi="Times New Roman" w:cs="Times New Roman"/>
          <w:lang w:eastAsia="zh-CN"/>
        </w:rPr>
        <w:t>开展</w:t>
      </w:r>
      <w:r>
        <w:rPr>
          <w:rFonts w:hint="default" w:ascii="Times New Roman" w:hAnsi="Times New Roman" w:cs="Times New Roman"/>
          <w:lang w:val="en-US" w:eastAsia="zh-CN"/>
        </w:rPr>
        <w:t>全面</w:t>
      </w:r>
      <w:r>
        <w:rPr>
          <w:rFonts w:hint="eastAsia" w:ascii="Times New Roman" w:hAnsi="Times New Roman" w:cs="Times New Roman"/>
          <w:lang w:val="en-US" w:eastAsia="zh-CN"/>
        </w:rPr>
        <w:t>梳理排查</w:t>
      </w:r>
      <w:r>
        <w:rPr>
          <w:rFonts w:hint="default" w:ascii="Times New Roman" w:hAnsi="Times New Roman" w:cs="Times New Roman"/>
          <w:lang w:val="en-US" w:eastAsia="zh-CN"/>
        </w:rPr>
        <w:t>2次，对应更新维护的栏目重点关注、及时更新，对内容相似或重复的栏目清理整合，同时，对有最新要求的事项及时增设新栏目，不断提升政务公开质效。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/>
        <w:jc w:val="both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shd w:val="clear" w:color="auto" w:fill="FFFFFF"/>
        </w:rPr>
        <w:t>六、其他需要报告的事项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 w:ascii="Times New Roman" w:hAnsi="Times New Roman" w:cs="Times New Roman"/>
          <w:kern w:val="0"/>
          <w:szCs w:val="32"/>
        </w:rPr>
      </w:pPr>
      <w:r>
        <w:rPr>
          <w:rFonts w:hint="default" w:ascii="Times New Roman" w:hAnsi="Times New Roman" w:eastAsia="楷体_GB2312" w:cs="Times New Roman"/>
          <w:kern w:val="0"/>
          <w:szCs w:val="32"/>
          <w:lang w:val="en-US" w:eastAsia="zh-CN"/>
        </w:rPr>
        <w:t xml:space="preserve">1. </w:t>
      </w:r>
      <w:r>
        <w:rPr>
          <w:rFonts w:hint="default" w:ascii="Times New Roman" w:hAnsi="Times New Roman" w:eastAsia="楷体_GB2312" w:cs="Times New Roman"/>
          <w:kern w:val="0"/>
          <w:szCs w:val="32"/>
        </w:rPr>
        <w:t>收取信息处理费情况。</w:t>
      </w:r>
      <w:r>
        <w:rPr>
          <w:rFonts w:hint="default" w:ascii="Times New Roman" w:hAnsi="Times New Roman" w:cs="Times New Roman"/>
          <w:kern w:val="0"/>
          <w:szCs w:val="32"/>
        </w:rPr>
        <w:t>202</w:t>
      </w:r>
      <w:r>
        <w:rPr>
          <w:rFonts w:hint="default" w:ascii="Times New Roman" w:hAnsi="Times New Roman" w:cs="Times New Roman"/>
          <w:kern w:val="0"/>
          <w:szCs w:val="32"/>
          <w:lang w:val="en-US" w:eastAsia="zh-CN"/>
        </w:rPr>
        <w:t>3</w:t>
      </w:r>
      <w:r>
        <w:rPr>
          <w:rFonts w:hint="default" w:ascii="Times New Roman" w:hAnsi="Times New Roman" w:cs="Times New Roman"/>
          <w:kern w:val="0"/>
          <w:szCs w:val="32"/>
        </w:rPr>
        <w:t>年，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区</w:t>
      </w:r>
      <w:r>
        <w:rPr>
          <w:rFonts w:hint="default" w:ascii="Times New Roman" w:hAnsi="Times New Roman" w:cs="Times New Roman"/>
          <w:kern w:val="0"/>
          <w:szCs w:val="32"/>
        </w:rPr>
        <w:t>财政局不存在收取信息处理费情况。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 w:ascii="Times New Roman" w:hAnsi="Times New Roman" w:cs="Times New Roman"/>
          <w:kern w:val="0"/>
          <w:szCs w:val="32"/>
        </w:rPr>
      </w:pPr>
      <w:r>
        <w:rPr>
          <w:rFonts w:hint="default" w:ascii="Times New Roman" w:hAnsi="Times New Roman" w:eastAsia="楷体_GB2312" w:cs="Times New Roman"/>
          <w:kern w:val="0"/>
          <w:szCs w:val="32"/>
          <w:lang w:val="en-US" w:eastAsia="zh-CN"/>
        </w:rPr>
        <w:t xml:space="preserve">2. </w:t>
      </w:r>
      <w:r>
        <w:rPr>
          <w:rFonts w:hint="default" w:ascii="Times New Roman" w:hAnsi="Times New Roman" w:eastAsia="楷体_GB2312" w:cs="Times New Roman"/>
          <w:kern w:val="0"/>
          <w:szCs w:val="32"/>
        </w:rPr>
        <w:t>人大代表建议和政协委员提案办理结果公开情况。</w:t>
      </w:r>
      <w:r>
        <w:rPr>
          <w:rFonts w:hint="default" w:ascii="Times New Roman" w:hAnsi="Times New Roman" w:cs="Times New Roman"/>
        </w:rPr>
        <w:t>202</w:t>
      </w:r>
      <w:r>
        <w:rPr>
          <w:rFonts w:hint="default" w:ascii="Times New Roman" w:hAnsi="Times New Roman" w:cs="Times New Roman"/>
          <w:lang w:val="en-US" w:eastAsia="zh-CN"/>
        </w:rPr>
        <w:t>3</w:t>
      </w:r>
      <w:r>
        <w:rPr>
          <w:rFonts w:hint="default" w:ascii="Times New Roman" w:hAnsi="Times New Roman" w:cs="Times New Roman"/>
        </w:rPr>
        <w:t>年，</w:t>
      </w:r>
      <w:r>
        <w:rPr>
          <w:rFonts w:hint="eastAsia" w:ascii="Times New Roman" w:hAnsi="Times New Roman" w:cs="Times New Roman"/>
          <w:lang w:val="en-US" w:eastAsia="zh-CN"/>
        </w:rPr>
        <w:t>区</w:t>
      </w:r>
      <w:r>
        <w:rPr>
          <w:rFonts w:hint="default" w:ascii="Times New Roman" w:hAnsi="Times New Roman" w:cs="Times New Roman"/>
        </w:rPr>
        <w:t>财政局</w:t>
      </w:r>
      <w:r>
        <w:rPr>
          <w:rFonts w:hint="default" w:ascii="Times New Roman" w:hAnsi="Times New Roman" w:cs="Times New Roman"/>
          <w:kern w:val="0"/>
          <w:szCs w:val="32"/>
        </w:rPr>
        <w:t>共办理人大代表建议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1</w:t>
      </w:r>
      <w:r>
        <w:rPr>
          <w:rFonts w:hint="default" w:ascii="Times New Roman" w:hAnsi="Times New Roman" w:cs="Times New Roman"/>
          <w:kern w:val="0"/>
          <w:szCs w:val="32"/>
        </w:rPr>
        <w:t>件（答复主动公开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0</w:t>
      </w:r>
      <w:r>
        <w:rPr>
          <w:rFonts w:hint="default" w:ascii="Times New Roman" w:hAnsi="Times New Roman" w:cs="Times New Roman"/>
          <w:kern w:val="0"/>
          <w:szCs w:val="32"/>
        </w:rPr>
        <w:t>件，依申请公开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0</w:t>
      </w:r>
      <w:r>
        <w:rPr>
          <w:rFonts w:hint="default" w:ascii="Times New Roman" w:hAnsi="Times New Roman" w:cs="Times New Roman"/>
          <w:kern w:val="0"/>
          <w:szCs w:val="32"/>
        </w:rPr>
        <w:t>件），政协委员提案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0</w:t>
      </w:r>
      <w:r>
        <w:rPr>
          <w:rFonts w:hint="default" w:ascii="Times New Roman" w:hAnsi="Times New Roman" w:cs="Times New Roman"/>
          <w:kern w:val="0"/>
          <w:szCs w:val="32"/>
        </w:rPr>
        <w:t>件（答复主动公开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0</w:t>
      </w:r>
      <w:r>
        <w:rPr>
          <w:rFonts w:hint="default" w:ascii="Times New Roman" w:hAnsi="Times New Roman" w:cs="Times New Roman"/>
          <w:kern w:val="0"/>
          <w:szCs w:val="32"/>
        </w:rPr>
        <w:t>件，依申请公开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0</w:t>
      </w:r>
      <w:r>
        <w:rPr>
          <w:rFonts w:hint="default" w:ascii="Times New Roman" w:hAnsi="Times New Roman" w:cs="Times New Roman"/>
          <w:kern w:val="0"/>
          <w:szCs w:val="32"/>
        </w:rPr>
        <w:t>件），主动公开答复均已进行公开。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632" w:firstLineChars="200"/>
        <w:jc w:val="left"/>
        <w:textAlignment w:val="auto"/>
        <w:rPr>
          <w:rFonts w:hint="default" w:ascii="Times New Roman" w:hAnsi="Times New Roman" w:eastAsia="楷体_GB2312" w:cs="Times New Roman"/>
          <w:kern w:val="0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kern w:val="0"/>
          <w:szCs w:val="32"/>
          <w:highlight w:val="none"/>
          <w:lang w:val="en-US" w:eastAsia="zh-CN"/>
        </w:rPr>
        <w:t xml:space="preserve">3. </w:t>
      </w:r>
      <w:r>
        <w:rPr>
          <w:rFonts w:hint="default" w:ascii="Times New Roman" w:hAnsi="Times New Roman" w:eastAsia="楷体_GB2312" w:cs="Times New Roman"/>
          <w:kern w:val="0"/>
          <w:szCs w:val="32"/>
          <w:highlight w:val="none"/>
        </w:rPr>
        <w:t>创新实践情况。</w:t>
      </w:r>
      <w:r>
        <w:rPr>
          <w:rFonts w:hint="default" w:ascii="Times New Roman" w:hAnsi="Times New Roman" w:eastAsia="FangSong_GB2312" w:cs="Times New Roman"/>
          <w:sz w:val="32"/>
          <w:lang w:val="en-US" w:eastAsia="zh-CN"/>
        </w:rPr>
        <w:t>2023年，</w:t>
      </w:r>
      <w:r>
        <w:rPr>
          <w:rFonts w:hint="eastAsia" w:ascii="Times New Roman" w:hAnsi="Times New Roman" w:eastAsia="FangSong_GB2312" w:cs="Times New Roman"/>
          <w:sz w:val="32"/>
          <w:lang w:val="en-US" w:eastAsia="zh-CN"/>
        </w:rPr>
        <w:t>淄博经开区财政局</w:t>
      </w:r>
      <w:r>
        <w:rPr>
          <w:rFonts w:hint="default" w:ascii="Times New Roman" w:hAnsi="Times New Roman" w:eastAsia="FangSong_GB2312" w:cs="Times New Roman"/>
          <w:sz w:val="32"/>
          <w:lang w:eastAsia="zh-CN"/>
        </w:rPr>
        <w:t>积极响应</w:t>
      </w:r>
      <w:r>
        <w:rPr>
          <w:rFonts w:hint="eastAsia" w:ascii="Times New Roman" w:hAnsi="Times New Roman" w:eastAsia="FangSong_GB2312" w:cs="Times New Roman"/>
          <w:sz w:val="32"/>
          <w:lang w:val="en-US" w:eastAsia="zh-CN"/>
        </w:rPr>
        <w:t>区工委、管委会</w:t>
      </w:r>
      <w:r>
        <w:rPr>
          <w:rFonts w:hint="default" w:ascii="Times New Roman" w:hAnsi="Times New Roman" w:eastAsia="FangSong_GB2312" w:cs="Times New Roman"/>
          <w:sz w:val="32"/>
          <w:lang w:eastAsia="zh-CN"/>
        </w:rPr>
        <w:t>部署要求，</w:t>
      </w:r>
      <w:r>
        <w:rPr>
          <w:rFonts w:hint="default" w:ascii="Times New Roman" w:hAnsi="Times New Roman" w:eastAsia="FangSong_GB2312" w:cs="Times New Roman"/>
          <w:sz w:val="32"/>
        </w:rPr>
        <w:t>聚焦“提效率争先锋、提效能争先例、提效益争先进”</w:t>
      </w:r>
      <w:r>
        <w:rPr>
          <w:rFonts w:hint="default" w:ascii="Times New Roman" w:hAnsi="Times New Roman" w:eastAsia="FangSong_GB2312" w:cs="Times New Roman"/>
          <w:sz w:val="32"/>
          <w:lang w:eastAsia="zh-CN"/>
        </w:rPr>
        <w:t>活动</w:t>
      </w:r>
      <w:r>
        <w:rPr>
          <w:rFonts w:hint="default" w:ascii="Times New Roman" w:hAnsi="Times New Roman" w:eastAsia="FangSong_GB2312" w:cs="Times New Roman"/>
          <w:sz w:val="32"/>
        </w:rPr>
        <w:t>主题，第一时间主动推送财政</w:t>
      </w:r>
      <w:r>
        <w:rPr>
          <w:rFonts w:hint="eastAsia" w:ascii="Times New Roman" w:hAnsi="Times New Roman" w:eastAsia="FangSong_GB2312" w:cs="Times New Roman"/>
          <w:sz w:val="32"/>
          <w:lang w:eastAsia="zh-CN"/>
        </w:rPr>
        <w:t>工作动态</w:t>
      </w:r>
      <w:r>
        <w:rPr>
          <w:rFonts w:hint="default" w:ascii="Times New Roman" w:hAnsi="Times New Roman" w:eastAsia="FangSong_GB2312" w:cs="Times New Roman"/>
          <w:sz w:val="32"/>
        </w:rPr>
        <w:t>，让用户足不出户了解</w:t>
      </w:r>
      <w:r>
        <w:rPr>
          <w:rFonts w:hint="eastAsia" w:ascii="Times New Roman" w:hAnsi="Times New Roman" w:eastAsia="FangSong_GB2312" w:cs="Times New Roman"/>
          <w:sz w:val="32"/>
          <w:lang w:eastAsia="zh-CN"/>
        </w:rPr>
        <w:t>最新</w:t>
      </w:r>
      <w:r>
        <w:rPr>
          <w:rFonts w:hint="default" w:ascii="Times New Roman" w:hAnsi="Times New Roman" w:eastAsia="FangSong_GB2312" w:cs="Times New Roman"/>
          <w:sz w:val="32"/>
        </w:rPr>
        <w:t>政策</w:t>
      </w:r>
      <w:r>
        <w:rPr>
          <w:rFonts w:hint="eastAsia" w:ascii="Times New Roman" w:hAnsi="Times New Roman" w:eastAsia="FangSong_GB2312" w:cs="Times New Roman"/>
          <w:sz w:val="32"/>
          <w:lang w:eastAsia="zh-CN"/>
        </w:rPr>
        <w:t>变动</w:t>
      </w:r>
      <w:r>
        <w:rPr>
          <w:rFonts w:hint="default" w:ascii="Times New Roman" w:hAnsi="Times New Roman" w:eastAsia="FangSong_GB2312" w:cs="Times New Roman"/>
          <w:sz w:val="32"/>
        </w:rPr>
        <w:t>、财政信息、惠农政策、政府采购等重点领域热点</w:t>
      </w:r>
      <w:r>
        <w:rPr>
          <w:rFonts w:hint="eastAsia" w:ascii="Times New Roman" w:hAnsi="Times New Roman" w:eastAsia="FangSong_GB2312" w:cs="Times New Roman"/>
          <w:sz w:val="32"/>
          <w:lang w:eastAsia="zh-CN"/>
        </w:rPr>
        <w:t>事项，</w:t>
      </w:r>
      <w:r>
        <w:rPr>
          <w:rFonts w:hint="default" w:ascii="Times New Roman" w:hAnsi="Times New Roman" w:eastAsia="FangSong_GB2312" w:cs="Times New Roman"/>
          <w:sz w:val="32"/>
        </w:rPr>
        <w:t>全年发布</w:t>
      </w:r>
      <w:r>
        <w:rPr>
          <w:rFonts w:hint="eastAsia" w:ascii="Times New Roman" w:hAnsi="Times New Roman" w:eastAsia="FangSong_GB2312" w:cs="Times New Roman"/>
          <w:sz w:val="32"/>
          <w:lang w:eastAsia="zh-CN"/>
        </w:rPr>
        <w:t>原创信息</w:t>
      </w:r>
      <w:r>
        <w:rPr>
          <w:rFonts w:hint="eastAsia" w:ascii="Times New Roman" w:hAnsi="Times New Roman" w:eastAsia="FangSong_GB2312" w:cs="Times New Roman"/>
          <w:sz w:val="32"/>
          <w:lang w:val="en-US" w:eastAsia="zh-CN"/>
        </w:rPr>
        <w:t>20</w:t>
      </w:r>
      <w:r>
        <w:rPr>
          <w:rFonts w:hint="default" w:ascii="Times New Roman" w:hAnsi="Times New Roman" w:eastAsia="FangSong_GB2312" w:cs="Times New Roman"/>
          <w:sz w:val="32"/>
        </w:rPr>
        <w:t>余篇，推进各项工作提效制胜、争先出彩。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 w:ascii="Times New Roman" w:hAnsi="Times New Roman" w:cs="Times New Roman"/>
          <w:b/>
          <w:bCs/>
          <w:color w:val="FF0000"/>
        </w:rPr>
      </w:pPr>
      <w:r>
        <w:rPr>
          <w:rFonts w:hint="default" w:ascii="Times New Roman" w:hAnsi="Times New Roman" w:eastAsia="楷体_GB2312" w:cs="Times New Roman"/>
          <w:kern w:val="0"/>
          <w:szCs w:val="32"/>
          <w:highlight w:val="none"/>
          <w:lang w:val="en-US" w:eastAsia="zh-CN"/>
        </w:rPr>
        <w:t xml:space="preserve">4. </w:t>
      </w:r>
      <w:r>
        <w:rPr>
          <w:rFonts w:hint="default" w:ascii="Times New Roman" w:hAnsi="Times New Roman" w:eastAsia="楷体_GB2312" w:cs="Times New Roman"/>
          <w:kern w:val="0"/>
          <w:szCs w:val="32"/>
          <w:highlight w:val="none"/>
        </w:rPr>
        <w:t>落实上级年度政务公开工作方案。</w:t>
      </w:r>
      <w:r>
        <w:rPr>
          <w:rFonts w:hint="default" w:ascii="Times New Roman" w:hAnsi="Times New Roman" w:cs="Times New Roman"/>
          <w:kern w:val="0"/>
          <w:szCs w:val="32"/>
          <w:lang w:eastAsia="zh-CN"/>
        </w:rPr>
        <w:t>根据</w:t>
      </w:r>
      <w:r>
        <w:rPr>
          <w:rFonts w:hint="default" w:ascii="Times New Roman" w:hAnsi="Times New Roman" w:cs="Times New Roman"/>
          <w:kern w:val="0"/>
          <w:szCs w:val="32"/>
        </w:rPr>
        <w:t>《202</w:t>
      </w:r>
      <w:r>
        <w:rPr>
          <w:rFonts w:hint="default" w:ascii="Times New Roman" w:hAnsi="Times New Roman" w:cs="Times New Roman"/>
          <w:kern w:val="0"/>
          <w:szCs w:val="32"/>
          <w:lang w:val="en-US" w:eastAsia="zh-CN"/>
        </w:rPr>
        <w:t>3</w:t>
      </w:r>
      <w:r>
        <w:rPr>
          <w:rFonts w:hint="default" w:ascii="Times New Roman" w:hAnsi="Times New Roman" w:cs="Times New Roman"/>
          <w:kern w:val="0"/>
          <w:szCs w:val="32"/>
        </w:rPr>
        <w:t>年淄博市政务公开工作方案》有关要求，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区</w:t>
      </w:r>
      <w:bookmarkStart w:id="10" w:name="_GoBack"/>
      <w:bookmarkEnd w:id="10"/>
      <w:r>
        <w:rPr>
          <w:rFonts w:hint="default" w:ascii="Times New Roman" w:hAnsi="Times New Roman" w:cs="Times New Roman"/>
          <w:kern w:val="0"/>
          <w:szCs w:val="32"/>
          <w:lang w:eastAsia="zh-CN"/>
        </w:rPr>
        <w:t>财政局第一时间对照</w:t>
      </w:r>
      <w:r>
        <w:rPr>
          <w:rFonts w:hint="default" w:ascii="Times New Roman" w:hAnsi="Times New Roman" w:cs="Times New Roman"/>
          <w:kern w:val="0"/>
          <w:szCs w:val="32"/>
        </w:rPr>
        <w:t>《2023年淄博市政务公开重点工作任务分解表》，梳理形成</w:t>
      </w:r>
      <w:r>
        <w:rPr>
          <w:rFonts w:hint="default" w:ascii="Times New Roman" w:hAnsi="Times New Roman" w:cs="Times New Roman"/>
          <w:kern w:val="0"/>
          <w:szCs w:val="32"/>
          <w:lang w:eastAsia="zh-CN"/>
        </w:rPr>
        <w:t>《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淄博经开区财政局</w:t>
      </w:r>
      <w:r>
        <w:rPr>
          <w:rFonts w:hint="default" w:ascii="Times New Roman" w:hAnsi="Times New Roman" w:cs="Times New Roman"/>
          <w:kern w:val="0"/>
          <w:szCs w:val="32"/>
        </w:rPr>
        <w:t>2023年政务公开重点工作任务台账</w:t>
      </w:r>
      <w:r>
        <w:rPr>
          <w:rFonts w:hint="default" w:ascii="Times New Roman" w:hAnsi="Times New Roman" w:cs="Times New Roman"/>
          <w:kern w:val="0"/>
          <w:szCs w:val="32"/>
          <w:lang w:eastAsia="zh-CN"/>
        </w:rPr>
        <w:t>》，</w:t>
      </w:r>
      <w:r>
        <w:rPr>
          <w:rFonts w:hint="default" w:ascii="Times New Roman" w:hAnsi="Times New Roman" w:cs="Times New Roman"/>
          <w:kern w:val="0"/>
          <w:szCs w:val="32"/>
        </w:rPr>
        <w:t>明确责任</w:t>
      </w:r>
      <w:r>
        <w:rPr>
          <w:rFonts w:hint="default" w:ascii="Times New Roman" w:hAnsi="Times New Roman" w:cs="Times New Roman"/>
          <w:kern w:val="0"/>
          <w:szCs w:val="32"/>
          <w:lang w:eastAsia="zh-CN"/>
        </w:rPr>
        <w:t>科室</w:t>
      </w:r>
      <w:r>
        <w:rPr>
          <w:rFonts w:hint="default" w:ascii="Times New Roman" w:hAnsi="Times New Roman" w:cs="Times New Roman"/>
          <w:kern w:val="0"/>
          <w:szCs w:val="32"/>
        </w:rPr>
        <w:t>和</w:t>
      </w:r>
      <w:r>
        <w:rPr>
          <w:rFonts w:hint="default" w:ascii="Times New Roman" w:hAnsi="Times New Roman" w:cs="Times New Roman"/>
          <w:kern w:val="0"/>
          <w:szCs w:val="32"/>
          <w:lang w:eastAsia="zh-CN"/>
        </w:rPr>
        <w:t>公开时限</w:t>
      </w:r>
      <w:r>
        <w:rPr>
          <w:rFonts w:hint="default" w:ascii="Times New Roman" w:hAnsi="Times New Roman" w:cs="Times New Roman"/>
          <w:kern w:val="0"/>
          <w:szCs w:val="32"/>
        </w:rPr>
        <w:t>，确保各项任务落实到位。</w:t>
      </w:r>
      <w:r>
        <w:rPr>
          <w:rFonts w:hint="default" w:ascii="Times New Roman" w:hAnsi="Times New Roman" w:cs="Times New Roman"/>
          <w:kern w:val="0"/>
          <w:szCs w:val="32"/>
          <w:lang w:eastAsia="zh-CN"/>
        </w:rPr>
        <w:t>同时，</w:t>
      </w:r>
      <w:r>
        <w:rPr>
          <w:rFonts w:hint="default" w:ascii="Times New Roman" w:hAnsi="Times New Roman" w:cs="Times New Roman"/>
          <w:kern w:val="0"/>
          <w:szCs w:val="32"/>
        </w:rPr>
        <w:t>加强日常检查和跟踪</w:t>
      </w:r>
      <w:r>
        <w:rPr>
          <w:rFonts w:hint="default" w:ascii="Times New Roman" w:hAnsi="Times New Roman" w:cs="Times New Roman"/>
          <w:kern w:val="0"/>
          <w:szCs w:val="32"/>
          <w:lang w:eastAsia="zh-CN"/>
        </w:rPr>
        <w:t>问效</w:t>
      </w:r>
      <w:r>
        <w:rPr>
          <w:rFonts w:hint="default" w:ascii="Times New Roman" w:hAnsi="Times New Roman" w:cs="Times New Roman"/>
          <w:kern w:val="0"/>
          <w:szCs w:val="32"/>
        </w:rPr>
        <w:t>，</w:t>
      </w:r>
      <w:r>
        <w:rPr>
          <w:rFonts w:hint="default" w:ascii="Times New Roman" w:hAnsi="Times New Roman" w:cs="Times New Roman"/>
          <w:kern w:val="0"/>
          <w:szCs w:val="32"/>
          <w:lang w:eastAsia="zh-CN"/>
        </w:rPr>
        <w:t>根据考核要求，按照“</w:t>
      </w:r>
      <w:r>
        <w:rPr>
          <w:rFonts w:hint="default" w:ascii="Times New Roman" w:hAnsi="Times New Roman" w:cs="Times New Roman"/>
          <w:kern w:val="0"/>
          <w:szCs w:val="32"/>
        </w:rPr>
        <w:t>日常抽测</w:t>
      </w:r>
      <w:r>
        <w:rPr>
          <w:rFonts w:hint="default" w:ascii="Times New Roman" w:hAnsi="Times New Roman" w:cs="Times New Roman"/>
          <w:kern w:val="0"/>
          <w:szCs w:val="32"/>
          <w:lang w:eastAsia="zh-CN"/>
        </w:rPr>
        <w:t>问题即知即改</w:t>
      </w:r>
      <w:r>
        <w:rPr>
          <w:rFonts w:hint="default" w:ascii="Times New Roman" w:hAnsi="Times New Roman" w:cs="Times New Roman"/>
          <w:kern w:val="0"/>
          <w:szCs w:val="32"/>
        </w:rPr>
        <w:t>、季度检查</w:t>
      </w:r>
      <w:r>
        <w:rPr>
          <w:rFonts w:hint="default" w:ascii="Times New Roman" w:hAnsi="Times New Roman" w:cs="Times New Roman"/>
          <w:kern w:val="0"/>
          <w:szCs w:val="32"/>
          <w:lang w:eastAsia="zh-CN"/>
        </w:rPr>
        <w:t>内容提前部署</w:t>
      </w:r>
      <w:r>
        <w:rPr>
          <w:rFonts w:hint="default" w:ascii="Times New Roman" w:hAnsi="Times New Roman" w:cs="Times New Roman"/>
          <w:kern w:val="0"/>
          <w:szCs w:val="32"/>
        </w:rPr>
        <w:t>、年度考核</w:t>
      </w:r>
      <w:r>
        <w:rPr>
          <w:rFonts w:hint="default" w:ascii="Times New Roman" w:hAnsi="Times New Roman" w:cs="Times New Roman"/>
          <w:kern w:val="0"/>
          <w:szCs w:val="32"/>
          <w:lang w:eastAsia="zh-CN"/>
        </w:rPr>
        <w:t>事项统筹推进”</w:t>
      </w:r>
      <w:r>
        <w:rPr>
          <w:rFonts w:hint="default" w:ascii="Times New Roman" w:hAnsi="Times New Roman" w:cs="Times New Roman"/>
          <w:kern w:val="0"/>
          <w:szCs w:val="32"/>
        </w:rPr>
        <w:t>的</w:t>
      </w:r>
      <w:r>
        <w:rPr>
          <w:rFonts w:hint="default" w:ascii="Times New Roman" w:hAnsi="Times New Roman" w:cs="Times New Roman"/>
          <w:kern w:val="0"/>
          <w:szCs w:val="32"/>
          <w:lang w:eastAsia="zh-CN"/>
        </w:rPr>
        <w:t>原则积极开展工作，切实推动政务公开走深走实、规范高效。</w:t>
      </w:r>
    </w:p>
    <w:sectPr>
      <w:pgSz w:w="11906" w:h="16838"/>
      <w:pgMar w:top="2098" w:right="1531" w:bottom="2098" w:left="1531" w:header="851" w:footer="992" w:gutter="0"/>
      <w:cols w:space="0" w:num="1"/>
      <w:rtlGutter w:val="0"/>
      <w:docGrid w:type="linesAndChars" w:linePitch="574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58"/>
  <w:drawingGridVerticalSpacing w:val="28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mZTQxOGU2NTI5ODRjNmYwY2M1ODYxYThkNjcyNzEifQ=="/>
  </w:docVars>
  <w:rsids>
    <w:rsidRoot w:val="00172A27"/>
    <w:rsid w:val="00053E03"/>
    <w:rsid w:val="00066203"/>
    <w:rsid w:val="00094166"/>
    <w:rsid w:val="001200FC"/>
    <w:rsid w:val="00194939"/>
    <w:rsid w:val="001B11D6"/>
    <w:rsid w:val="00201FAC"/>
    <w:rsid w:val="002D3028"/>
    <w:rsid w:val="002D794E"/>
    <w:rsid w:val="00320F03"/>
    <w:rsid w:val="00340B5E"/>
    <w:rsid w:val="004405F9"/>
    <w:rsid w:val="0050630C"/>
    <w:rsid w:val="0055068B"/>
    <w:rsid w:val="005839A5"/>
    <w:rsid w:val="005B2C59"/>
    <w:rsid w:val="005B6883"/>
    <w:rsid w:val="005C69A1"/>
    <w:rsid w:val="00657B63"/>
    <w:rsid w:val="006B3F29"/>
    <w:rsid w:val="006E3BDD"/>
    <w:rsid w:val="006E602B"/>
    <w:rsid w:val="00753DF7"/>
    <w:rsid w:val="00756484"/>
    <w:rsid w:val="00817AAC"/>
    <w:rsid w:val="0084126F"/>
    <w:rsid w:val="00876235"/>
    <w:rsid w:val="008E6CCA"/>
    <w:rsid w:val="00957C1F"/>
    <w:rsid w:val="009D2DA3"/>
    <w:rsid w:val="00A20FBF"/>
    <w:rsid w:val="00A960A8"/>
    <w:rsid w:val="00AA28BA"/>
    <w:rsid w:val="00AC411D"/>
    <w:rsid w:val="00B4273F"/>
    <w:rsid w:val="00CC31B3"/>
    <w:rsid w:val="00D73B90"/>
    <w:rsid w:val="00D749FD"/>
    <w:rsid w:val="00DD2F06"/>
    <w:rsid w:val="00E10003"/>
    <w:rsid w:val="00E35F28"/>
    <w:rsid w:val="00E50859"/>
    <w:rsid w:val="00E50AB6"/>
    <w:rsid w:val="00E63103"/>
    <w:rsid w:val="00E737AA"/>
    <w:rsid w:val="00EB0C01"/>
    <w:rsid w:val="00EB55D0"/>
    <w:rsid w:val="00ED725F"/>
    <w:rsid w:val="00F24636"/>
    <w:rsid w:val="00F35139"/>
    <w:rsid w:val="00F973E3"/>
    <w:rsid w:val="00FA6A41"/>
    <w:rsid w:val="00FB15E6"/>
    <w:rsid w:val="00FC330D"/>
    <w:rsid w:val="0AAC5711"/>
    <w:rsid w:val="0CCE6105"/>
    <w:rsid w:val="0D4D54AE"/>
    <w:rsid w:val="0D72249E"/>
    <w:rsid w:val="0FE43185"/>
    <w:rsid w:val="11AF18C8"/>
    <w:rsid w:val="11DC34C6"/>
    <w:rsid w:val="141D2158"/>
    <w:rsid w:val="14A02B65"/>
    <w:rsid w:val="1A6A77C7"/>
    <w:rsid w:val="1F97332B"/>
    <w:rsid w:val="2F6F1AFF"/>
    <w:rsid w:val="32FA2887"/>
    <w:rsid w:val="343A2DE0"/>
    <w:rsid w:val="39FA1ED9"/>
    <w:rsid w:val="3C7E7E4E"/>
    <w:rsid w:val="3CDC360B"/>
    <w:rsid w:val="590418C0"/>
    <w:rsid w:val="5E3457B1"/>
    <w:rsid w:val="5F9E535D"/>
    <w:rsid w:val="6139627F"/>
    <w:rsid w:val="62B42966"/>
    <w:rsid w:val="640A5F1B"/>
    <w:rsid w:val="645F063B"/>
    <w:rsid w:val="68D607CB"/>
    <w:rsid w:val="6A3052DF"/>
    <w:rsid w:val="6FAC3CC5"/>
    <w:rsid w:val="70DD638A"/>
    <w:rsid w:val="71E55E88"/>
    <w:rsid w:val="74DC48C7"/>
    <w:rsid w:val="76050E7F"/>
    <w:rsid w:val="768371B5"/>
    <w:rsid w:val="77181135"/>
    <w:rsid w:val="79021657"/>
    <w:rsid w:val="7DBFDDF7"/>
    <w:rsid w:val="7E914FB9"/>
    <w:rsid w:val="7F7F00C0"/>
    <w:rsid w:val="7FD601A3"/>
    <w:rsid w:val="9BFA0E74"/>
    <w:rsid w:val="EDD9EA72"/>
    <w:rsid w:val="FDB5CE77"/>
    <w:rsid w:val="FFB6A4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7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551</Words>
  <Characters>3144</Characters>
  <Lines>26</Lines>
  <Paragraphs>7</Paragraphs>
  <TotalTime>173</TotalTime>
  <ScaleCrop>false</ScaleCrop>
  <LinksUpToDate>false</LinksUpToDate>
  <CharactersWithSpaces>3688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2023-01-20T15:28:00Z</dcterms:created>
  <dc:creator>诗人与熊</dc:creator>
  <cp:lastModifiedBy>七七八八</cp:lastModifiedBy>
  <cp:lastPrinted>2024-01-23T01:04:00Z</cp:lastPrinted>
  <dcterms:modified xsi:type="dcterms:W3CDTF">2024-01-30T05:56:00Z</dcterms:modified>
  <dc:title>淄博市财政局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AA997AA0745C4772A4196D817533ED9B</vt:lpwstr>
  </property>
</Properties>
</file>