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625" w:beforeLines="200" w:line="360" w:lineRule="auto"/>
        <w:jc w:val="center"/>
        <w:textAlignment w:val="auto"/>
        <w:rPr>
          <w:rFonts w:hint="default" w:ascii="方正小标宋简体" w:hAnsi="方正小标宋简体" w:eastAsia="方正小标宋简体" w:cs="方正小标宋简体"/>
          <w:spacing w:val="6"/>
          <w:w w:val="44"/>
          <w:sz w:val="152"/>
          <w:szCs w:val="152"/>
          <w:lang w:val="en-US" w:eastAsia="zh-CN"/>
        </w:rPr>
      </w:pPr>
      <w:r>
        <w:rPr>
          <w:rFonts w:hint="eastAsia" w:ascii="方正小标宋简体" w:hAnsi="方正小标宋简体" w:eastAsia="方正小标宋简体" w:cs="方正小标宋简体"/>
          <w:color w:val="FF0000"/>
          <w:spacing w:val="6"/>
          <w:w w:val="44"/>
          <w:sz w:val="152"/>
          <w:szCs w:val="152"/>
          <w:lang w:val="en-US" w:eastAsia="zh-CN"/>
        </w:rPr>
        <w:t>淄博经济开发区财政局文件</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0"/>
          <w:w w:val="10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320" w:firstLineChars="100"/>
        <w:jc w:val="both"/>
        <w:textAlignment w:val="auto"/>
        <w:rPr>
          <w:rFonts w:hint="default" w:ascii="方正小标宋简体" w:hAnsi="方正小标宋简体" w:eastAsia="仿宋_GB2312" w:cs="方正小标宋简体"/>
          <w:spacing w:val="0"/>
          <w:w w:val="100"/>
          <w:sz w:val="32"/>
          <w:szCs w:val="32"/>
          <w:lang w:val="en-US" w:eastAsia="zh-CN"/>
        </w:rPr>
      </w:pPr>
      <w:r>
        <w:rPr>
          <w:rFonts w:hint="eastAsia" w:ascii="仿宋_GB2312" w:eastAsia="仿宋_GB2312"/>
          <w:sz w:val="32"/>
          <w:szCs w:val="32"/>
        </w:rPr>
        <w:t>淄</w:t>
      </w:r>
      <w:r>
        <w:rPr>
          <w:rFonts w:hint="eastAsia" w:ascii="仿宋_GB2312" w:eastAsia="仿宋_GB2312"/>
          <w:sz w:val="32"/>
          <w:szCs w:val="32"/>
          <w:lang w:eastAsia="zh-CN"/>
        </w:rPr>
        <w:t>经开</w:t>
      </w:r>
      <w:r>
        <w:rPr>
          <w:rFonts w:hint="eastAsia" w:ascii="仿宋_GB2312" w:eastAsia="仿宋_GB2312"/>
          <w:sz w:val="32"/>
          <w:szCs w:val="32"/>
        </w:rPr>
        <w:t>财〔201</w:t>
      </w:r>
      <w:r>
        <w:rPr>
          <w:rFonts w:hint="eastAsia" w:ascii="仿宋_GB2312" w:eastAsia="仿宋_GB2312"/>
          <w:sz w:val="32"/>
          <w:szCs w:val="32"/>
          <w:lang w:val="en-US" w:eastAsia="zh-CN"/>
        </w:rPr>
        <w:t>9</w:t>
      </w:r>
      <w:r>
        <w:rPr>
          <w:rFonts w:hint="eastAsia" w:ascii="仿宋_GB2312" w:eastAsia="仿宋_GB2312"/>
          <w:sz w:val="32"/>
          <w:szCs w:val="32"/>
        </w:rPr>
        <w:t>〕</w:t>
      </w:r>
      <w:r>
        <w:rPr>
          <w:rFonts w:hint="eastAsia" w:ascii="仿宋_GB2312" w:eastAsia="仿宋_GB2312"/>
          <w:sz w:val="32"/>
          <w:szCs w:val="32"/>
          <w:lang w:val="en-US" w:eastAsia="zh-CN"/>
        </w:rPr>
        <w:t>14</w:t>
      </w:r>
      <w:r>
        <w:rPr>
          <w:rFonts w:hint="eastAsia" w:ascii="仿宋_GB2312" w:eastAsia="仿宋_GB2312"/>
          <w:sz w:val="32"/>
          <w:szCs w:val="32"/>
        </w:rPr>
        <w:t>号</w:t>
      </w:r>
      <w:r>
        <w:rPr>
          <w:rFonts w:hint="eastAsia" w:ascii="仿宋_GB2312" w:eastAsia="仿宋_GB2312"/>
          <w:sz w:val="32"/>
          <w:szCs w:val="32"/>
          <w:lang w:val="en-US" w:eastAsia="zh-CN"/>
        </w:rPr>
        <w:t xml:space="preserve">                   签发人：张彬</w:t>
      </w:r>
    </w:p>
    <w:p>
      <w:pPr>
        <w:rPr>
          <w:rFonts w:hint="eastAsia" w:ascii="方正小标宋简体" w:hAnsi="方正小标宋简体" w:eastAsia="方正小标宋简体" w:cs="方正小标宋简体"/>
          <w:sz w:val="44"/>
          <w:szCs w:val="44"/>
          <w:lang w:eastAsia="zh-CN"/>
        </w:rPr>
      </w:pPr>
      <w:r>
        <w:rPr>
          <w:sz w:val="21"/>
        </w:rPr>
        <mc:AlternateContent>
          <mc:Choice Requires="wps">
            <w:drawing>
              <wp:inline distT="0" distB="0" distL="114300" distR="114300">
                <wp:extent cx="5615940" cy="0"/>
                <wp:effectExtent l="0" t="13970" r="3810" b="24130"/>
                <wp:docPr id="3" name="直接连接符 3"/>
                <wp:cNvGraphicFramePr/>
                <a:graphic xmlns:a="http://schemas.openxmlformats.org/drawingml/2006/main">
                  <a:graphicData uri="http://schemas.microsoft.com/office/word/2010/wordprocessingShape">
                    <wps:wsp>
                      <wps:cNvCnPr/>
                      <wps:spPr>
                        <a:xfrm>
                          <a:off x="1270635" y="3382645"/>
                          <a:ext cx="5615940" cy="0"/>
                        </a:xfrm>
                        <a:prstGeom prst="line">
                          <a:avLst/>
                        </a:prstGeom>
                        <a:noFill/>
                        <a:ln w="28575" cap="flat" cmpd="sng" algn="ctr">
                          <a:solidFill>
                            <a:srgbClr val="FF0000"/>
                          </a:solidFill>
                          <a:prstDash val="solid"/>
                        </a:ln>
                        <a:effectLst/>
                      </wps:spPr>
                      <wps:bodyPr/>
                    </wps:wsp>
                  </a:graphicData>
                </a:graphic>
              </wp:inline>
            </w:drawing>
          </mc:Choice>
          <mc:Fallback>
            <w:pict>
              <v:line id="_x0000_s1026" o:spid="_x0000_s1026" o:spt="20" style="height:0pt;width:442.2pt;" filled="f" stroked="t" coordsize="21600,21600" o:gfxdata="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SNejB0QAAAAIBAAAPAAAAAAAAAAEAIAAAACIAAABk&#10;cnMvZG93bnJldi54bWxQSwECFAAUAAAACACHTuJAly30bNQBAABnAwAADgAAAAAAAAABACAAAAAg&#10;AQAAZHJzL2Uyb0RvYy54bWxQSwUGAAAAAAYABgBZAQAAZgUAAAAA&#10;">
                <v:fill on="f" focussize="0,0"/>
                <v:stroke weight="2.25pt" color="#FF0000" joinstyle="round"/>
                <v:imagedata o:title=""/>
                <o:lock v:ext="edit" aspectratio="f"/>
                <w10:wrap type="none"/>
                <w10:anchorlock/>
              </v:line>
            </w:pict>
          </mc:Fallback>
        </mc:AlternateConten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关于加强物资管理、规范财务报销的通知</w:t>
      </w:r>
    </w:p>
    <w:p>
      <w:pPr>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lang w:eastAsia="zh-CN"/>
        </w:rPr>
      </w:pPr>
      <w:r>
        <w:rPr>
          <w:rFonts w:hint="eastAsia" w:ascii="仿宋_GB2312" w:hAnsi="仿宋_GB2312" w:eastAsia="仿宋_GB2312" w:cs="仿宋_GB2312"/>
          <w:sz w:val="32"/>
          <w:szCs w:val="32"/>
          <w:lang w:eastAsia="zh-CN"/>
        </w:rPr>
        <w:t>北郊镇、各局室、中心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w:t>
      </w:r>
      <w:r>
        <w:rPr>
          <w:rFonts w:hint="eastAsia" w:ascii="仿宋_GB2312" w:hAnsi="仿宋_GB2312" w:eastAsia="仿宋_GB2312" w:cs="仿宋_GB2312"/>
          <w:sz w:val="32"/>
          <w:szCs w:val="32"/>
          <w:lang w:val="en-US" w:eastAsia="zh-CN"/>
        </w:rPr>
        <w:t>为加强我区各预算单位存货资产管理，规范各项支出明细，严肃财经纪律，现将有关事项通知如下：</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一、加强存货资产管理，完善资产管理制度</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（一）提高思想认识，强化存货管理意识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各预算</w:t>
      </w:r>
      <w:r>
        <w:rPr>
          <w:rFonts w:hint="default" w:ascii="仿宋_GB2312" w:hAnsi="仿宋_GB2312" w:eastAsia="仿宋_GB2312" w:cs="仿宋_GB2312"/>
          <w:sz w:val="32"/>
          <w:szCs w:val="32"/>
          <w:lang w:eastAsia="zh-CN"/>
        </w:rPr>
        <w:t>单位要自上而下地提高对存货管理的认识，特别是单位领导人和</w:t>
      </w:r>
      <w:r>
        <w:rPr>
          <w:rFonts w:hint="eastAsia" w:ascii="仿宋_GB2312" w:hAnsi="仿宋_GB2312" w:eastAsia="仿宋_GB2312" w:cs="仿宋_GB2312"/>
          <w:sz w:val="32"/>
          <w:szCs w:val="32"/>
          <w:lang w:eastAsia="zh-CN"/>
        </w:rPr>
        <w:t>财务负责人</w:t>
      </w:r>
      <w:r>
        <w:rPr>
          <w:rFonts w:hint="default" w:ascii="仿宋_GB2312" w:hAnsi="仿宋_GB2312" w:eastAsia="仿宋_GB2312" w:cs="仿宋_GB2312"/>
          <w:sz w:val="32"/>
          <w:szCs w:val="32"/>
          <w:lang w:eastAsia="zh-CN"/>
        </w:rPr>
        <w:t>首先要带头树立对存货管理重要性的认识。要增强行政事业单位存货管理意识，</w:t>
      </w:r>
      <w:r>
        <w:rPr>
          <w:rFonts w:hint="eastAsia" w:ascii="仿宋_GB2312" w:hAnsi="仿宋_GB2312" w:eastAsia="仿宋_GB2312" w:cs="仿宋_GB2312"/>
          <w:sz w:val="32"/>
          <w:szCs w:val="32"/>
          <w:lang w:eastAsia="zh-CN"/>
        </w:rPr>
        <w:t>规范本单位存货管理制度</w:t>
      </w:r>
      <w:r>
        <w:rPr>
          <w:rFonts w:hint="default" w:ascii="仿宋_GB2312" w:hAnsi="仿宋_GB2312" w:eastAsia="仿宋_GB2312" w:cs="仿宋_GB2312"/>
          <w:sz w:val="32"/>
          <w:szCs w:val="32"/>
          <w:lang w:eastAsia="zh-CN"/>
        </w:rPr>
        <w:t>，把对存货管理重要性的认识贯彻到行政事业单位的每一项具体业务环节当中。</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default" w:ascii="楷体" w:hAnsi="楷体" w:eastAsia="楷体" w:cs="楷体"/>
          <w:sz w:val="32"/>
          <w:szCs w:val="32"/>
          <w:lang w:eastAsia="zh-CN"/>
        </w:rPr>
      </w:pPr>
      <w:r>
        <w:rPr>
          <w:rFonts w:hint="default" w:ascii="楷体" w:hAnsi="楷体" w:eastAsia="楷体" w:cs="楷体"/>
          <w:sz w:val="32"/>
          <w:szCs w:val="32"/>
          <w:lang w:eastAsia="zh-CN"/>
        </w:rPr>
        <w:t>（</w:t>
      </w:r>
      <w:r>
        <w:rPr>
          <w:rFonts w:hint="eastAsia" w:ascii="楷体" w:hAnsi="楷体" w:eastAsia="楷体" w:cs="楷体"/>
          <w:sz w:val="32"/>
          <w:szCs w:val="32"/>
          <w:lang w:eastAsia="zh-CN"/>
        </w:rPr>
        <w:t>二</w:t>
      </w:r>
      <w:r>
        <w:rPr>
          <w:rFonts w:hint="default" w:ascii="楷体" w:hAnsi="楷体" w:eastAsia="楷体" w:cs="楷体"/>
          <w:sz w:val="32"/>
          <w:szCs w:val="32"/>
          <w:lang w:eastAsia="zh-CN"/>
        </w:rPr>
        <w:t>）加强存货日常管理，保证账实相符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加强日常管理是保证存货内部控制制度有效执行的重要基础。一是要建立完整和有效的存货内部控制制度，建立健全完整的存货物资</w:t>
      </w:r>
      <w:r>
        <w:rPr>
          <w:rFonts w:hint="eastAsia" w:ascii="仿宋_GB2312" w:hAnsi="仿宋_GB2312" w:eastAsia="仿宋_GB2312" w:cs="仿宋_GB2312"/>
          <w:sz w:val="32"/>
          <w:szCs w:val="32"/>
          <w:lang w:eastAsia="zh-CN"/>
        </w:rPr>
        <w:t>入库</w:t>
      </w:r>
      <w:r>
        <w:rPr>
          <w:rFonts w:hint="default" w:ascii="仿宋_GB2312" w:hAnsi="仿宋_GB2312" w:eastAsia="仿宋_GB2312" w:cs="仿宋_GB2312"/>
          <w:sz w:val="32"/>
          <w:szCs w:val="32"/>
          <w:lang w:eastAsia="zh-CN"/>
        </w:rPr>
        <w:t>、领用手续，定期与总账进行核对，从制度上保证存货物资账账相符、账实相符。二是建立定期的存货清查制度，各</w:t>
      </w:r>
      <w:r>
        <w:rPr>
          <w:rFonts w:hint="eastAsia" w:ascii="仿宋_GB2312" w:hAnsi="仿宋_GB2312" w:eastAsia="仿宋_GB2312" w:cs="仿宋_GB2312"/>
          <w:sz w:val="32"/>
          <w:szCs w:val="32"/>
          <w:lang w:eastAsia="zh-CN"/>
        </w:rPr>
        <w:t>预算</w:t>
      </w:r>
      <w:r>
        <w:rPr>
          <w:rFonts w:hint="default" w:ascii="仿宋_GB2312" w:hAnsi="仿宋_GB2312" w:eastAsia="仿宋_GB2312" w:cs="仿宋_GB2312"/>
          <w:sz w:val="32"/>
          <w:szCs w:val="32"/>
          <w:lang w:eastAsia="zh-CN"/>
        </w:rPr>
        <w:t>单位至少要在每年的年末对其存货进行一次全面的清查核实，对于发生的存货盘盈、盘亏情况，要及时查明原因，以便明确事故的相关责任人，并按现行的规章制度及时处理。三是对</w:t>
      </w:r>
      <w:r>
        <w:rPr>
          <w:rFonts w:hint="eastAsia" w:ascii="仿宋_GB2312" w:hAnsi="仿宋_GB2312" w:eastAsia="仿宋_GB2312" w:cs="仿宋_GB2312"/>
          <w:sz w:val="32"/>
          <w:szCs w:val="32"/>
          <w:lang w:eastAsia="zh-CN"/>
        </w:rPr>
        <w:t>各</w:t>
      </w:r>
      <w:r>
        <w:rPr>
          <w:rFonts w:hint="default" w:ascii="仿宋_GB2312" w:hAnsi="仿宋_GB2312" w:eastAsia="仿宋_GB2312" w:cs="仿宋_GB2312"/>
          <w:sz w:val="32"/>
          <w:szCs w:val="32"/>
          <w:lang w:eastAsia="zh-CN"/>
        </w:rPr>
        <w:t>单位的存货占用状况和结构进行合理的分析，核实存货的规模，防止存货积压。</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default" w:ascii="楷体" w:hAnsi="楷体" w:eastAsia="楷体" w:cs="楷体"/>
          <w:sz w:val="32"/>
          <w:szCs w:val="32"/>
          <w:lang w:eastAsia="zh-CN"/>
        </w:rPr>
      </w:pPr>
      <w:r>
        <w:rPr>
          <w:rFonts w:hint="default" w:ascii="楷体" w:hAnsi="楷体" w:eastAsia="楷体" w:cs="楷体"/>
          <w:sz w:val="32"/>
          <w:szCs w:val="32"/>
          <w:lang w:eastAsia="zh-CN"/>
        </w:rPr>
        <w:t>（</w:t>
      </w:r>
      <w:r>
        <w:rPr>
          <w:rFonts w:hint="eastAsia" w:ascii="楷体" w:hAnsi="楷体" w:eastAsia="楷体" w:cs="楷体"/>
          <w:sz w:val="32"/>
          <w:szCs w:val="32"/>
          <w:lang w:eastAsia="zh-CN"/>
        </w:rPr>
        <w:t>三</w:t>
      </w:r>
      <w:r>
        <w:rPr>
          <w:rFonts w:hint="default" w:ascii="楷体" w:hAnsi="楷体" w:eastAsia="楷体" w:cs="楷体"/>
          <w:sz w:val="32"/>
          <w:szCs w:val="32"/>
          <w:lang w:eastAsia="zh-CN"/>
        </w:rPr>
        <w:t>）提高信息化水平，为存货管理提供信息</w:t>
      </w:r>
      <w:r>
        <w:rPr>
          <w:rFonts w:hint="eastAsia" w:ascii="楷体" w:hAnsi="楷体" w:eastAsia="楷体" w:cs="楷体"/>
          <w:sz w:val="32"/>
          <w:szCs w:val="32"/>
          <w:lang w:eastAsia="zh-CN"/>
        </w:rPr>
        <w:t>支持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信息化是存</w:t>
      </w:r>
      <w:r>
        <w:rPr>
          <w:rFonts w:hint="eastAsia" w:ascii="仿宋_GB2312" w:hAnsi="仿宋_GB2312" w:eastAsia="仿宋_GB2312" w:cs="仿宋_GB2312"/>
          <w:sz w:val="32"/>
          <w:szCs w:val="32"/>
          <w:lang w:eastAsia="zh-CN"/>
        </w:rPr>
        <w:t>货</w:t>
      </w:r>
      <w:r>
        <w:rPr>
          <w:rFonts w:hint="default" w:ascii="仿宋_GB2312" w:hAnsi="仿宋_GB2312" w:eastAsia="仿宋_GB2312" w:cs="仿宋_GB2312"/>
          <w:sz w:val="32"/>
          <w:szCs w:val="32"/>
          <w:lang w:eastAsia="zh-CN"/>
        </w:rPr>
        <w:t>管理的必要平台。</w:t>
      </w:r>
      <w:r>
        <w:rPr>
          <w:rFonts w:hint="eastAsia" w:ascii="仿宋_GB2312" w:hAnsi="仿宋_GB2312" w:eastAsia="仿宋_GB2312" w:cs="仿宋_GB2312"/>
          <w:sz w:val="32"/>
          <w:szCs w:val="32"/>
          <w:lang w:eastAsia="zh-CN"/>
        </w:rPr>
        <w:t>各预算</w:t>
      </w:r>
      <w:r>
        <w:rPr>
          <w:rFonts w:hint="default" w:ascii="仿宋_GB2312" w:hAnsi="仿宋_GB2312" w:eastAsia="仿宋_GB2312" w:cs="仿宋_GB2312"/>
          <w:sz w:val="32"/>
          <w:szCs w:val="32"/>
          <w:lang w:eastAsia="zh-CN"/>
        </w:rPr>
        <w:t>单位要建立起</w:t>
      </w:r>
      <w:r>
        <w:rPr>
          <w:rFonts w:hint="eastAsia" w:ascii="仿宋_GB2312" w:hAnsi="仿宋_GB2312" w:eastAsia="仿宋_GB2312" w:cs="仿宋_GB2312"/>
          <w:sz w:val="32"/>
          <w:szCs w:val="32"/>
          <w:lang w:eastAsia="zh-CN"/>
        </w:rPr>
        <w:t>存货管理的电子台账，</w:t>
      </w:r>
      <w:r>
        <w:rPr>
          <w:rFonts w:hint="default" w:ascii="仿宋_GB2312" w:hAnsi="仿宋_GB2312" w:eastAsia="仿宋_GB2312" w:cs="仿宋_GB2312"/>
          <w:sz w:val="32"/>
          <w:szCs w:val="32"/>
          <w:lang w:eastAsia="zh-CN"/>
        </w:rPr>
        <w:t>将存货的采购、入库、领用等各项业务全部通过</w:t>
      </w:r>
      <w:r>
        <w:rPr>
          <w:rFonts w:hint="eastAsia" w:ascii="仿宋_GB2312" w:hAnsi="仿宋_GB2312" w:eastAsia="仿宋_GB2312" w:cs="仿宋_GB2312"/>
          <w:sz w:val="32"/>
          <w:szCs w:val="32"/>
          <w:lang w:eastAsia="zh-CN"/>
        </w:rPr>
        <w:t>台账</w:t>
      </w:r>
      <w:r>
        <w:rPr>
          <w:rFonts w:hint="default" w:ascii="仿宋_GB2312" w:hAnsi="仿宋_GB2312" w:eastAsia="仿宋_GB2312" w:cs="仿宋_GB2312"/>
          <w:sz w:val="32"/>
          <w:szCs w:val="32"/>
          <w:lang w:eastAsia="zh-CN"/>
        </w:rPr>
        <w:t>加以反映</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lang w:eastAsia="zh-CN"/>
        </w:rPr>
        <w:t>以实现对存货的电子化管理与实时监控。</w:t>
      </w:r>
    </w:p>
    <w:p>
      <w:pPr>
        <w:keepNext w:val="0"/>
        <w:keepLines w:val="0"/>
        <w:pageBreakBefore w:val="0"/>
        <w:widowControl w:val="0"/>
        <w:kinsoku/>
        <w:wordWrap/>
        <w:overflowPunct/>
        <w:topLinePunct w:val="0"/>
        <w:autoSpaceDE/>
        <w:autoSpaceDN/>
        <w:bidi w:val="0"/>
        <w:adjustRightInd/>
        <w:snapToGrid/>
        <w:spacing w:line="500" w:lineRule="exact"/>
        <w:ind w:firstLine="320" w:firstLineChars="100"/>
        <w:textAlignment w:val="auto"/>
        <w:rPr>
          <w:rFonts w:hint="default" w:ascii="楷体" w:hAnsi="楷体" w:eastAsia="楷体" w:cs="楷体"/>
          <w:sz w:val="32"/>
          <w:szCs w:val="32"/>
          <w:lang w:eastAsia="zh-CN"/>
        </w:rPr>
      </w:pPr>
      <w:r>
        <w:rPr>
          <w:rFonts w:hint="default" w:ascii="楷体" w:hAnsi="楷体" w:eastAsia="楷体" w:cs="楷体"/>
          <w:sz w:val="32"/>
          <w:szCs w:val="32"/>
          <w:lang w:eastAsia="zh-CN"/>
        </w:rPr>
        <w:t>（</w:t>
      </w:r>
      <w:r>
        <w:rPr>
          <w:rFonts w:hint="eastAsia" w:ascii="楷体" w:hAnsi="楷体" w:eastAsia="楷体" w:cs="楷体"/>
          <w:sz w:val="32"/>
          <w:szCs w:val="32"/>
          <w:lang w:eastAsia="zh-CN"/>
        </w:rPr>
        <w:t>四</w:t>
      </w:r>
      <w:r>
        <w:rPr>
          <w:rFonts w:hint="default" w:ascii="楷体" w:hAnsi="楷体" w:eastAsia="楷体" w:cs="楷体"/>
          <w:sz w:val="32"/>
          <w:szCs w:val="32"/>
          <w:lang w:eastAsia="zh-CN"/>
        </w:rPr>
        <w:t>）建立责任追究机制，强化各</w:t>
      </w:r>
      <w:r>
        <w:rPr>
          <w:rFonts w:hint="eastAsia" w:ascii="楷体" w:hAnsi="楷体" w:eastAsia="楷体" w:cs="楷体"/>
          <w:sz w:val="32"/>
          <w:szCs w:val="32"/>
          <w:lang w:eastAsia="zh-CN"/>
        </w:rPr>
        <w:t>单位</w:t>
      </w:r>
      <w:r>
        <w:rPr>
          <w:rFonts w:hint="default" w:ascii="楷体" w:hAnsi="楷体" w:eastAsia="楷体" w:cs="楷体"/>
          <w:sz w:val="32"/>
          <w:szCs w:val="32"/>
          <w:lang w:eastAsia="zh-CN"/>
        </w:rPr>
        <w:t>存货管理责任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仿宋_GB2312" w:hAnsi="仿宋_GB2312" w:eastAsia="仿宋_GB2312" w:cs="仿宋_GB2312"/>
          <w:sz w:val="32"/>
          <w:szCs w:val="32"/>
          <w:lang w:eastAsia="zh-CN"/>
        </w:rPr>
      </w:pPr>
      <w:r>
        <w:rPr>
          <w:rFonts w:hint="default" w:ascii="仿宋_GB2312" w:hAnsi="仿宋_GB2312" w:eastAsia="仿宋_GB2312" w:cs="仿宋_GB2312"/>
          <w:sz w:val="32"/>
          <w:szCs w:val="32"/>
          <w:lang w:eastAsia="zh-CN"/>
        </w:rPr>
        <w:t>要改变“重采购、轻管理”的现象，</w:t>
      </w:r>
      <w:r>
        <w:rPr>
          <w:rFonts w:hint="eastAsia" w:ascii="仿宋_GB2312" w:hAnsi="仿宋_GB2312" w:eastAsia="仿宋_GB2312" w:cs="仿宋_GB2312"/>
          <w:sz w:val="32"/>
          <w:szCs w:val="32"/>
          <w:lang w:eastAsia="zh-CN"/>
        </w:rPr>
        <w:t>财政部门</w:t>
      </w:r>
      <w:r>
        <w:rPr>
          <w:rFonts w:hint="default" w:ascii="仿宋_GB2312" w:hAnsi="仿宋_GB2312" w:eastAsia="仿宋_GB2312" w:cs="仿宋_GB2312"/>
          <w:sz w:val="32"/>
          <w:szCs w:val="32"/>
          <w:lang w:eastAsia="zh-CN"/>
        </w:rPr>
        <w:t>应定期或不定期地对存货进行盘点，核对账、表、物，以确保账账、账表、账物的相符；要进一步明确资产保管者、使用者的职责，强化管理责任；要加强对各存货管理责任的监督和检查，将资产管理工作纳入部门和个人绩效考核的内容，以确保存货的安全和完整。对于疏于管理，造成存货流失的部门和个人，要分清责任，并进行追究。</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Chars="200" w:firstLine="320" w:firstLineChars="1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规范票据报销，严肃单位财经纪律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（一）保证报销发票的合法性</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原始票据要求真实、合法、准确、完整。</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报销票据必须是国家税务部门或财政统一监制的合法票据，白条、收据不得入账。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（二）保证报销发票合理性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1、发票上付款单位必须填写全称，不得空白或简写。以实名制开具的发票（如火车票等）除外。</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2、必须盖有收款单位发票专用章。</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（三）保证报销发票真实性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1、经办人取得各类发票时，应严格审核其真伪、内容是否合规。不合规定的发票，财务人员一律不予报销。</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购货发票应详细填写商品名称、规格型号、数量、单价和金额。货物为批量购入的、购货名称为办公用品、文具或以代码冠名的发票，应附加盖开票单位发票专用章的明细清单。清单书写要字迹清楚，总金额必须与发票金额相符。用公务卡结算的必须附公务卡结算小票。</w:t>
      </w:r>
    </w:p>
    <w:p>
      <w:pPr>
        <w:numPr>
          <w:ilvl w:val="0"/>
          <w:numId w:val="0"/>
        </w:numPr>
        <w:ind w:firstLine="640" w:firstLineChars="200"/>
        <w:rPr>
          <w:rFonts w:hint="eastAsia" w:ascii="仿宋" w:hAnsi="仿宋" w:eastAsia="仿宋" w:cs="仿宋"/>
          <w:sz w:val="32"/>
          <w:szCs w:val="32"/>
          <w:lang w:val="en-US" w:eastAsia="zh-CN"/>
        </w:rPr>
      </w:pP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附件：1、存货资产入库单</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2、存货资产领用登记表</w:t>
      </w:r>
    </w:p>
    <w:p>
      <w:pPr>
        <w:numPr>
          <w:ilvl w:val="0"/>
          <w:numId w:val="0"/>
        </w:numPr>
        <w:ind w:firstLine="640" w:firstLineChars="200"/>
        <w:rPr>
          <w:rFonts w:hint="default" w:ascii="仿宋" w:hAnsi="仿宋" w:eastAsia="仿宋" w:cs="仿宋"/>
          <w:sz w:val="32"/>
          <w:szCs w:val="32"/>
          <w:lang w:val="en-US" w:eastAsia="zh-CN"/>
        </w:rPr>
      </w:pP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联系人：贾昆莹      联系电话：15092327871</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淄博经济开发区财政局</w:t>
      </w:r>
    </w:p>
    <w:p>
      <w:pPr>
        <w:numPr>
          <w:ilvl w:val="0"/>
          <w:numId w:val="0"/>
        </w:num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2019年4月29日</w:t>
      </w: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ind w:firstLine="640" w:firstLineChars="200"/>
        <w:rPr>
          <w:rFonts w:hint="default" w:ascii="仿宋_GB2312" w:hAnsi="仿宋_GB2312" w:eastAsia="仿宋_GB2312" w:cs="仿宋_GB2312"/>
          <w:sz w:val="32"/>
          <w:szCs w:val="32"/>
          <w:lang w:eastAsia="zh-CN"/>
        </w:rPr>
      </w:pPr>
    </w:p>
    <w:p>
      <w:pPr>
        <w:rPr>
          <w:rFonts w:hint="default" w:ascii="仿宋_GB2312" w:hAnsi="仿宋_GB2312" w:eastAsia="仿宋_GB2312" w:cs="仿宋_GB2312"/>
          <w:sz w:val="32"/>
          <w:szCs w:val="32"/>
          <w:lang w:eastAsia="zh-CN"/>
        </w:rPr>
      </w:pPr>
    </w:p>
    <w:tbl>
      <w:tblPr>
        <w:tblStyle w:val="5"/>
        <w:tblpPr w:leftFromText="180" w:rightFromText="180" w:vertAnchor="text" w:horzAnchor="page" w:tblpX="1847" w:tblpY="2367"/>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Times New Roman" w:hAnsi="Times New Roman" w:eastAsia="仿宋_GB2312"/>
                <w:sz w:val="28"/>
                <w:szCs w:val="28"/>
              </w:rPr>
            </w:pPr>
            <w:r>
              <w:rPr>
                <w:rFonts w:ascii="Times New Roman" w:hAnsi="Times New Roman" w:eastAsia="仿宋_GB2312"/>
                <w:sz w:val="28"/>
                <w:szCs w:val="28"/>
              </w:rPr>
              <w:t xml:space="preserve">淄博经济开发区财政局                 </w:t>
            </w:r>
            <w:r>
              <w:rPr>
                <w:rFonts w:hint="eastAsia" w:ascii="Times New Roman" w:hAnsi="Times New Roman" w:eastAsia="仿宋_GB2312"/>
                <w:sz w:val="28"/>
                <w:szCs w:val="28"/>
                <w:lang w:val="en-US" w:eastAsia="zh-CN"/>
              </w:rPr>
              <w:t xml:space="preserve"> </w:t>
            </w:r>
            <w:r>
              <w:rPr>
                <w:rFonts w:ascii="Times New Roman" w:hAnsi="Times New Roman" w:eastAsia="仿宋_GB2312"/>
                <w:sz w:val="28"/>
                <w:szCs w:val="28"/>
              </w:rPr>
              <w:t xml:space="preserve"> 201</w:t>
            </w:r>
            <w:r>
              <w:rPr>
                <w:rFonts w:hint="eastAsia" w:ascii="Times New Roman" w:hAnsi="Times New Roman" w:eastAsia="仿宋_GB2312"/>
                <w:sz w:val="28"/>
                <w:szCs w:val="28"/>
                <w:lang w:val="en-US" w:eastAsia="zh-CN"/>
              </w:rPr>
              <w:t>9</w:t>
            </w:r>
            <w:r>
              <w:rPr>
                <w:rFonts w:ascii="Times New Roman" w:hAnsi="Times New Roman" w:eastAsia="仿宋_GB2312"/>
                <w:sz w:val="28"/>
                <w:szCs w:val="28"/>
              </w:rPr>
              <w:t>年</w:t>
            </w:r>
            <w:r>
              <w:rPr>
                <w:rFonts w:hint="eastAsia" w:ascii="Times New Roman" w:hAnsi="Times New Roman" w:eastAsia="仿宋_GB2312"/>
                <w:sz w:val="28"/>
                <w:szCs w:val="28"/>
                <w:lang w:val="en-US" w:eastAsia="zh-CN"/>
              </w:rPr>
              <w:t>4</w:t>
            </w:r>
            <w:r>
              <w:rPr>
                <w:rFonts w:ascii="Times New Roman" w:hAnsi="Times New Roman" w:eastAsia="仿宋_GB2312"/>
                <w:sz w:val="28"/>
                <w:szCs w:val="28"/>
              </w:rPr>
              <w:t>月</w:t>
            </w:r>
            <w:r>
              <w:rPr>
                <w:rFonts w:hint="eastAsia" w:ascii="Times New Roman" w:hAnsi="Times New Roman" w:eastAsia="仿宋_GB2312"/>
                <w:sz w:val="28"/>
                <w:szCs w:val="28"/>
                <w:lang w:val="en-US" w:eastAsia="zh-CN"/>
              </w:rPr>
              <w:t>29</w:t>
            </w:r>
            <w:r>
              <w:rPr>
                <w:rFonts w:ascii="Times New Roman" w:hAnsi="Times New Roman" w:eastAsia="仿宋_GB2312"/>
                <w:sz w:val="28"/>
                <w:szCs w:val="28"/>
              </w:rPr>
              <w:t>日印发</w:t>
            </w:r>
          </w:p>
        </w:tc>
      </w:tr>
    </w:tbl>
    <w:p>
      <w:pPr>
        <w:numPr>
          <w:ilvl w:val="0"/>
          <w:numId w:val="0"/>
        </w:numPr>
        <w:rPr>
          <w:rFonts w:hint="default" w:ascii="仿宋" w:hAnsi="仿宋" w:eastAsia="仿宋" w:cs="仿宋"/>
          <w:sz w:val="32"/>
          <w:szCs w:val="32"/>
          <w:lang w:val="en-US" w:eastAsia="zh-CN"/>
        </w:rPr>
      </w:pPr>
      <w:bookmarkStart w:id="0" w:name="_GoBack"/>
      <w:bookmarkEnd w:id="0"/>
    </w:p>
    <w:sectPr>
      <w:footerReference r:id="rId3" w:type="default"/>
      <w:pgSz w:w="11906" w:h="16838"/>
      <w:pgMar w:top="2041" w:right="1531" w:bottom="1871"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882857"/>
    <w:multiLevelType w:val="singleLevel"/>
    <w:tmpl w:val="A0882857"/>
    <w:lvl w:ilvl="0" w:tentative="0">
      <w:start w:val="2"/>
      <w:numFmt w:val="chineseCounting"/>
      <w:suff w:val="nothing"/>
      <w:lvlText w:val="%1、"/>
      <w:lvlJc w:val="left"/>
      <w:rPr>
        <w:rFonts w:hint="eastAsia"/>
      </w:rPr>
    </w:lvl>
  </w:abstractNum>
  <w:abstractNum w:abstractNumId="1">
    <w:nsid w:val="B9E536B2"/>
    <w:multiLevelType w:val="singleLevel"/>
    <w:tmpl w:val="B9E536B2"/>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8544E4"/>
    <w:rsid w:val="125F36A2"/>
    <w:rsid w:val="2FAD2BC0"/>
    <w:rsid w:val="361E3630"/>
    <w:rsid w:val="3E4A3EAD"/>
    <w:rsid w:val="4D742174"/>
    <w:rsid w:val="4E765BDA"/>
    <w:rsid w:val="661000F2"/>
    <w:rsid w:val="75027E03"/>
    <w:rsid w:val="7ABC29C0"/>
    <w:rsid w:val="7B8475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放开那个女孩 让我来</cp:lastModifiedBy>
  <cp:lastPrinted>2019-04-30T05:52:00Z</cp:lastPrinted>
  <dcterms:modified xsi:type="dcterms:W3CDTF">2019-04-30T05:57:03Z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