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hint="eastAsia" w:ascii="方正小标宋简体" w:hAnsi="黑体" w:eastAsia="方正小标宋简体"/>
          <w:sz w:val="44"/>
          <w:szCs w:val="44"/>
        </w:rPr>
      </w:pPr>
      <w:r>
        <w:rPr>
          <w:rFonts w:hint="eastAsia" w:ascii="方正小标宋简体" w:hAnsi="黑体" w:eastAsia="方正小标宋简体"/>
          <w:sz w:val="44"/>
          <w:szCs w:val="44"/>
          <w:lang w:val="en-US" w:eastAsia="zh-CN"/>
        </w:rPr>
        <w:t>淄博经开区财政局</w:t>
      </w:r>
      <w:r>
        <w:rPr>
          <w:rFonts w:hint="eastAsia" w:ascii="方正小标宋简体" w:hAnsi="黑体" w:eastAsia="方正小标宋简体"/>
          <w:sz w:val="44"/>
          <w:szCs w:val="44"/>
        </w:rPr>
        <w:t>2019年政府信息公开</w:t>
      </w:r>
    </w:p>
    <w:p>
      <w:pPr>
        <w:spacing w:line="640" w:lineRule="exact"/>
        <w:jc w:val="center"/>
        <w:rPr>
          <w:rFonts w:hint="eastAsia" w:ascii="仿宋_GB2312" w:hAnsi="宋体" w:eastAsia="仿宋_GB2312" w:cs="仿宋_GB2312"/>
          <w:i w:val="0"/>
          <w:iCs w:val="0"/>
          <w:caps w:val="0"/>
          <w:color w:val="000000"/>
          <w:spacing w:val="0"/>
          <w:sz w:val="32"/>
          <w:szCs w:val="32"/>
          <w:shd w:val="clear" w:fill="FFFFFF"/>
        </w:rPr>
      </w:pPr>
      <w:bookmarkStart w:id="0" w:name="_GoBack"/>
      <w:bookmarkEnd w:id="0"/>
      <w:r>
        <w:rPr>
          <w:rFonts w:hint="eastAsia" w:ascii="方正小标宋简体" w:hAnsi="黑体" w:eastAsia="方正小标宋简体"/>
          <w:sz w:val="44"/>
          <w:szCs w:val="44"/>
        </w:rPr>
        <w:t>工作年度报告</w:t>
      </w:r>
    </w:p>
    <w:p>
      <w:pPr>
        <w:pStyle w:val="2"/>
        <w:keepNext w:val="0"/>
        <w:keepLines w:val="0"/>
        <w:widowControl/>
        <w:suppressLineNumbers w:val="0"/>
        <w:shd w:val="clear" w:fill="FFFFFF"/>
        <w:spacing w:line="405" w:lineRule="atLeast"/>
        <w:ind w:left="0" w:firstLine="645"/>
        <w:jc w:val="both"/>
        <w:rPr>
          <w:rFonts w:hint="eastAsia" w:ascii="仿宋_GB2312" w:hAnsi="宋体" w:eastAsia="仿宋_GB2312" w:cs="仿宋_GB2312"/>
          <w:i w:val="0"/>
          <w:iCs w:val="0"/>
          <w:caps w:val="0"/>
          <w:color w:val="000000"/>
          <w:spacing w:val="0"/>
          <w:sz w:val="32"/>
          <w:szCs w:val="32"/>
          <w:shd w:val="clear" w:fill="FFFFFF"/>
        </w:rPr>
      </w:pPr>
      <w:r>
        <w:rPr>
          <w:rFonts w:hint="eastAsia" w:ascii="仿宋_GB2312" w:hAnsi="宋体" w:eastAsia="仿宋_GB2312" w:cs="仿宋_GB2312"/>
          <w:i w:val="0"/>
          <w:iCs w:val="0"/>
          <w:caps w:val="0"/>
          <w:color w:val="000000"/>
          <w:spacing w:val="0"/>
          <w:sz w:val="32"/>
          <w:szCs w:val="32"/>
          <w:shd w:val="clear" w:fill="FFFFFF"/>
        </w:rPr>
        <w:t>根据《中华人民共和国政府信息公开条例》和《关于政府信息公开工作年度报告有关事项的通知》（国办公开办函〔2019〕60号）要求，特向社会公布2019年财政局信息公开工作年度报告。全文包括总体情况、主动公开政府信息情况、收到和处理政府信息公开申请情况、政府信息公开行政复议、行政诉讼情况，存在的主要问题及改进情况、其他需要报告的事项等，数据统计期限为2019年1月1日到2019年12月31日止。</w:t>
      </w:r>
    </w:p>
    <w:p>
      <w:pPr>
        <w:pStyle w:val="2"/>
        <w:keepNext w:val="0"/>
        <w:keepLines w:val="0"/>
        <w:widowControl/>
        <w:suppressLineNumbers w:val="0"/>
        <w:shd w:val="clear" w:fill="FFFFFF"/>
        <w:spacing w:line="405" w:lineRule="atLeast"/>
        <w:ind w:left="0" w:firstLine="645"/>
        <w:jc w:val="both"/>
        <w:rPr>
          <w:rFonts w:hint="eastAsia" w:ascii="微软雅黑" w:hAnsi="微软雅黑" w:eastAsia="微软雅黑" w:cs="微软雅黑"/>
          <w:i w:val="0"/>
          <w:iCs w:val="0"/>
          <w:caps w:val="0"/>
          <w:color w:val="333333"/>
          <w:spacing w:val="0"/>
          <w:sz w:val="27"/>
          <w:szCs w:val="27"/>
        </w:rPr>
      </w:pPr>
      <w:r>
        <w:rPr>
          <w:rStyle w:val="5"/>
          <w:rFonts w:ascii="黑体" w:hAnsi="宋体" w:eastAsia="黑体" w:cs="黑体"/>
          <w:b/>
          <w:bCs/>
          <w:i w:val="0"/>
          <w:iCs w:val="0"/>
          <w:caps w:val="0"/>
          <w:color w:val="000000"/>
          <w:spacing w:val="0"/>
          <w:sz w:val="31"/>
          <w:szCs w:val="31"/>
          <w:shd w:val="clear" w:fill="FFFFFF"/>
        </w:rPr>
        <w:t>一、总体情况</w:t>
      </w:r>
    </w:p>
    <w:p>
      <w:pPr>
        <w:pStyle w:val="2"/>
        <w:keepNext w:val="0"/>
        <w:keepLines w:val="0"/>
        <w:widowControl/>
        <w:suppressLineNumbers w:val="0"/>
        <w:shd w:val="clear" w:fill="FFFFFF"/>
        <w:spacing w:line="600" w:lineRule="atLeast"/>
        <w:ind w:left="0" w:firstLine="645"/>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i w:val="0"/>
          <w:iCs w:val="0"/>
          <w:caps w:val="0"/>
          <w:color w:val="333333"/>
          <w:spacing w:val="0"/>
          <w:sz w:val="31"/>
          <w:szCs w:val="31"/>
          <w:shd w:val="clear" w:fill="FFFFFF"/>
        </w:rPr>
        <w:t>2019年，淄博经开区区财政局根据《中华人民共和国政府信息公开条例》和《关于进一步做好政府信息公开年度报告编制和发布工作的通知》文件的要求，不断推进我局政务公开工作。</w:t>
      </w:r>
    </w:p>
    <w:p>
      <w:pPr>
        <w:pStyle w:val="2"/>
        <w:keepNext w:val="0"/>
        <w:keepLines w:val="0"/>
        <w:widowControl/>
        <w:suppressLineNumbers w:val="0"/>
        <w:shd w:val="clear" w:fill="FFFFFF"/>
        <w:spacing w:line="600" w:lineRule="atLeast"/>
        <w:ind w:left="0" w:firstLine="645"/>
        <w:rPr>
          <w:rFonts w:hint="eastAsia" w:ascii="微软雅黑" w:hAnsi="微软雅黑" w:eastAsia="微软雅黑" w:cs="微软雅黑"/>
          <w:i w:val="0"/>
          <w:iCs w:val="0"/>
          <w:caps w:val="0"/>
          <w:color w:val="333333"/>
          <w:spacing w:val="0"/>
          <w:sz w:val="27"/>
          <w:szCs w:val="27"/>
        </w:rPr>
      </w:pPr>
      <w:r>
        <w:rPr>
          <w:rFonts w:ascii="楷体_GB2312" w:hAnsi="微软雅黑" w:eastAsia="楷体_GB2312" w:cs="楷体_GB2312"/>
          <w:i w:val="0"/>
          <w:iCs w:val="0"/>
          <w:caps w:val="0"/>
          <w:color w:val="333333"/>
          <w:spacing w:val="0"/>
          <w:sz w:val="31"/>
          <w:szCs w:val="31"/>
          <w:shd w:val="clear" w:fill="FFFFFF"/>
        </w:rPr>
        <w:t>（一）加强组织领导，明确工作任务。</w:t>
      </w:r>
    </w:p>
    <w:p>
      <w:pPr>
        <w:pStyle w:val="2"/>
        <w:keepNext w:val="0"/>
        <w:keepLines w:val="0"/>
        <w:widowControl/>
        <w:suppressLineNumbers w:val="0"/>
        <w:shd w:val="clear" w:fill="FFFFFF"/>
        <w:spacing w:line="600" w:lineRule="atLeast"/>
        <w:ind w:left="0" w:firstLine="645"/>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i w:val="0"/>
          <w:iCs w:val="0"/>
          <w:caps w:val="0"/>
          <w:color w:val="333333"/>
          <w:spacing w:val="0"/>
          <w:sz w:val="31"/>
          <w:szCs w:val="31"/>
          <w:shd w:val="clear" w:fill="FFFFFF"/>
        </w:rPr>
        <w:t>我局高度重视政务公开工作，及时向社会公开政务动态、宣传政策法规，为加强政务信息公开工作的组织领导，确保政务信息公开工作顺利推行，局长为政务公开工作的第一负责人，政务信息公开工作的日常工作由局办公室工作人员负责落实，层层压实责任，不断提高政务公开水平。</w:t>
      </w:r>
    </w:p>
    <w:p>
      <w:pPr>
        <w:pStyle w:val="2"/>
        <w:keepNext w:val="0"/>
        <w:keepLines w:val="0"/>
        <w:widowControl/>
        <w:suppressLineNumbers w:val="0"/>
        <w:shd w:val="clear" w:fill="FFFFFF"/>
        <w:spacing w:line="600" w:lineRule="atLeast"/>
        <w:ind w:left="0" w:firstLine="645"/>
        <w:rPr>
          <w:rFonts w:hint="eastAsia" w:ascii="微软雅黑" w:hAnsi="微软雅黑" w:eastAsia="微软雅黑" w:cs="微软雅黑"/>
          <w:i w:val="0"/>
          <w:iCs w:val="0"/>
          <w:caps w:val="0"/>
          <w:color w:val="333333"/>
          <w:spacing w:val="0"/>
          <w:sz w:val="27"/>
          <w:szCs w:val="27"/>
        </w:rPr>
      </w:pPr>
      <w:r>
        <w:rPr>
          <w:rFonts w:hint="eastAsia" w:ascii="楷体_GB2312" w:hAnsi="微软雅黑" w:eastAsia="楷体_GB2312" w:cs="楷体_GB2312"/>
          <w:i w:val="0"/>
          <w:iCs w:val="0"/>
          <w:caps w:val="0"/>
          <w:color w:val="333333"/>
          <w:spacing w:val="0"/>
          <w:sz w:val="31"/>
          <w:szCs w:val="31"/>
          <w:shd w:val="clear" w:fill="FFFFFF"/>
        </w:rPr>
        <w:t>（二）做好政务公开标准化规范化试点财政预决算模块信息更新工作。</w:t>
      </w:r>
    </w:p>
    <w:p>
      <w:pPr>
        <w:pStyle w:val="2"/>
        <w:keepNext w:val="0"/>
        <w:keepLines w:val="0"/>
        <w:widowControl/>
        <w:suppressLineNumbers w:val="0"/>
        <w:shd w:val="clear" w:fill="FFFFFF"/>
        <w:spacing w:line="600" w:lineRule="atLeast"/>
        <w:ind w:left="0" w:firstLine="645"/>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i w:val="0"/>
          <w:iCs w:val="0"/>
          <w:caps w:val="0"/>
          <w:color w:val="333333"/>
          <w:spacing w:val="0"/>
          <w:sz w:val="31"/>
          <w:szCs w:val="31"/>
          <w:shd w:val="clear" w:fill="FFFFFF"/>
        </w:rPr>
        <w:t>一是安排专人具体负责政务公开工作，及时收集公开信息内容，并确保及时更新基层政务公开标准化规范化专题信息。二是按照“五公开”要求，从工作动态、信息公开、政策法规、机构人事、依法行政方面进行公开。</w:t>
      </w:r>
      <w:r>
        <w:rPr>
          <w:rFonts w:hint="eastAsia" w:ascii="仿宋_GB2312" w:hAnsi="微软雅黑" w:eastAsia="仿宋_GB2312" w:cs="仿宋_GB2312"/>
          <w:b w:val="0"/>
          <w:bCs w:val="0"/>
          <w:i w:val="0"/>
          <w:iCs w:val="0"/>
          <w:caps w:val="0"/>
          <w:color w:val="333333"/>
          <w:spacing w:val="0"/>
          <w:sz w:val="31"/>
          <w:szCs w:val="31"/>
          <w:shd w:val="clear" w:fill="FFFFFF"/>
        </w:rPr>
        <w:t>三是公开信息履行保密审核、业务复核以及公开发布审批程序，切实推进信息依法、全面、规范公开。</w:t>
      </w:r>
    </w:p>
    <w:p>
      <w:pPr>
        <w:pStyle w:val="2"/>
        <w:keepNext w:val="0"/>
        <w:keepLines w:val="0"/>
        <w:widowControl/>
        <w:suppressLineNumbers w:val="0"/>
        <w:shd w:val="clear" w:fill="FFFFFF"/>
        <w:spacing w:line="600" w:lineRule="atLeast"/>
        <w:ind w:left="0" w:firstLine="645"/>
        <w:rPr>
          <w:rFonts w:hint="eastAsia" w:ascii="微软雅黑" w:hAnsi="微软雅黑" w:eastAsia="微软雅黑" w:cs="微软雅黑"/>
          <w:i w:val="0"/>
          <w:iCs w:val="0"/>
          <w:caps w:val="0"/>
          <w:color w:val="333333"/>
          <w:spacing w:val="0"/>
          <w:sz w:val="27"/>
          <w:szCs w:val="27"/>
        </w:rPr>
      </w:pPr>
      <w:r>
        <w:rPr>
          <w:rFonts w:hint="eastAsia" w:ascii="楷体_GB2312" w:hAnsi="微软雅黑" w:eastAsia="楷体_GB2312" w:cs="楷体_GB2312"/>
          <w:i w:val="0"/>
          <w:iCs w:val="0"/>
          <w:caps w:val="0"/>
          <w:color w:val="333333"/>
          <w:spacing w:val="0"/>
          <w:sz w:val="31"/>
          <w:szCs w:val="31"/>
          <w:shd w:val="clear" w:fill="FFFFFF"/>
        </w:rPr>
        <w:t>（三）紧抓重点，强化重点领域公开。</w:t>
      </w:r>
    </w:p>
    <w:p>
      <w:pPr>
        <w:pStyle w:val="2"/>
        <w:keepNext w:val="0"/>
        <w:keepLines w:val="0"/>
        <w:widowControl/>
        <w:suppressLineNumbers w:val="0"/>
        <w:shd w:val="clear" w:fill="FFFFFF"/>
        <w:spacing w:line="600" w:lineRule="atLeast"/>
        <w:ind w:left="0" w:firstLine="645"/>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i w:val="0"/>
          <w:iCs w:val="0"/>
          <w:caps w:val="0"/>
          <w:color w:val="333333"/>
          <w:spacing w:val="0"/>
          <w:sz w:val="31"/>
          <w:szCs w:val="31"/>
          <w:shd w:val="clear" w:fill="FFFFFF"/>
        </w:rPr>
        <w:t>深入推进预决算和“三公经费”公开。积极扩大预算公开范围，拓展预算公开领域，细化预算公开内容，推进基层预算信息公开，规范预算公开方式，预算公开工作取得长足进步。建立财政收支月报机制，及时发布财政收支月报信息，公开财政收支情况。推进政府采购项目的执行情况公开，对于采购项目招投标信息进行公开。</w:t>
      </w:r>
    </w:p>
    <w:p>
      <w:pPr>
        <w:pStyle w:val="2"/>
        <w:keepNext w:val="0"/>
        <w:keepLines w:val="0"/>
        <w:widowControl/>
        <w:suppressLineNumbers w:val="0"/>
        <w:shd w:val="clear" w:fill="FFFFFF"/>
        <w:spacing w:line="600" w:lineRule="atLeast"/>
        <w:ind w:left="0" w:firstLine="645"/>
        <w:jc w:val="both"/>
        <w:rPr>
          <w:rFonts w:hint="eastAsia" w:ascii="微软雅黑" w:hAnsi="微软雅黑" w:eastAsia="微软雅黑" w:cs="微软雅黑"/>
          <w:i w:val="0"/>
          <w:iCs w:val="0"/>
          <w:caps w:val="0"/>
          <w:color w:val="333333"/>
          <w:spacing w:val="0"/>
          <w:sz w:val="27"/>
          <w:szCs w:val="27"/>
        </w:rPr>
      </w:pPr>
      <w:r>
        <w:rPr>
          <w:rStyle w:val="5"/>
          <w:rFonts w:hint="eastAsia" w:ascii="黑体" w:hAnsi="宋体" w:eastAsia="黑体" w:cs="黑体"/>
          <w:b/>
          <w:bCs/>
          <w:i w:val="0"/>
          <w:iCs w:val="0"/>
          <w:caps w:val="0"/>
          <w:color w:val="000000"/>
          <w:spacing w:val="0"/>
          <w:sz w:val="31"/>
          <w:szCs w:val="31"/>
          <w:shd w:val="clear" w:fill="FFFFFF"/>
        </w:rPr>
        <w:t>二、主动公开政府信息情况</w:t>
      </w:r>
    </w:p>
    <w:tbl>
      <w:tblPr>
        <w:tblW w:w="9015" w:type="dxa"/>
        <w:tblCellSpacing w:w="0"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3254"/>
        <w:gridCol w:w="1620"/>
        <w:gridCol w:w="1482"/>
        <w:gridCol w:w="26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blCellSpacing w:w="0" w:type="dxa"/>
        </w:trPr>
        <w:tc>
          <w:tcPr>
            <w:tcW w:w="8790" w:type="dxa"/>
            <w:gridSpan w:val="4"/>
            <w:tcBorders>
              <w:top w:val="single" w:color="auto" w:sz="6" w:space="0"/>
              <w:left w:val="single" w:color="auto" w:sz="6" w:space="0"/>
              <w:bottom w:val="single" w:color="auto" w:sz="6" w:space="0"/>
              <w:right w:val="single" w:color="auto" w:sz="6" w:space="0"/>
            </w:tcBorders>
            <w:shd w:val="clear" w:color="auto" w:fill="C6D9F1"/>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555"/>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735" w:hRule="atLeast"/>
          <w:tblCellSpacing w:w="0" w:type="dxa"/>
        </w:trPr>
        <w:tc>
          <w:tcPr>
            <w:tcW w:w="3165" w:type="dxa"/>
            <w:tcBorders>
              <w:top w:val="nil"/>
              <w:left w:val="single" w:color="auto" w:sz="6" w:space="0"/>
              <w:bottom w:val="single" w:color="auto" w:sz="6" w:space="0"/>
              <w:right w:val="single" w:color="auto"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信息内容</w:t>
            </w:r>
          </w:p>
        </w:tc>
        <w:tc>
          <w:tcPr>
            <w:tcW w:w="1500" w:type="dxa"/>
            <w:tcBorders>
              <w:top w:val="single" w:color="auto" w:sz="6" w:space="0"/>
              <w:left w:val="nil"/>
              <w:bottom w:val="single" w:color="auto" w:sz="6" w:space="0"/>
              <w:right w:val="single" w:color="auto"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8"/>
                <w:szCs w:val="28"/>
                <w:bdr w:val="none" w:color="auto" w:sz="0" w:space="0"/>
              </w:rPr>
              <w:t>本年新</w:t>
            </w:r>
            <w:r>
              <w:rPr>
                <w:rFonts w:hint="eastAsia" w:ascii="宋体" w:hAnsi="宋体" w:eastAsia="宋体" w:cs="宋体"/>
                <w:i w:val="0"/>
                <w:iCs w:val="0"/>
                <w:caps w:val="0"/>
                <w:color w:val="000000"/>
                <w:spacing w:val="0"/>
                <w:sz w:val="28"/>
                <w:szCs w:val="28"/>
                <w:bdr w:val="none" w:color="auto" w:sz="0" w:space="0"/>
              </w:rPr>
              <w:br w:type="textWrapping"/>
            </w:r>
            <w:r>
              <w:rPr>
                <w:rFonts w:hint="eastAsia" w:ascii="宋体" w:hAnsi="宋体" w:eastAsia="宋体" w:cs="宋体"/>
                <w:i w:val="0"/>
                <w:iCs w:val="0"/>
                <w:caps w:val="0"/>
                <w:color w:val="000000"/>
                <w:spacing w:val="0"/>
                <w:sz w:val="28"/>
                <w:szCs w:val="28"/>
                <w:bdr w:val="none" w:color="auto" w:sz="0" w:space="0"/>
              </w:rPr>
              <w:t>制作数量</w:t>
            </w:r>
          </w:p>
        </w:tc>
        <w:tc>
          <w:tcPr>
            <w:tcW w:w="1440" w:type="dxa"/>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8"/>
                <w:szCs w:val="28"/>
                <w:bdr w:val="none" w:color="auto" w:sz="0" w:space="0"/>
              </w:rPr>
              <w:t>本年新公开数量</w:t>
            </w:r>
          </w:p>
        </w:tc>
        <w:tc>
          <w:tcPr>
            <w:tcW w:w="2010" w:type="dxa"/>
            <w:tcBorders>
              <w:top w:val="nil"/>
              <w:left w:val="nil"/>
              <w:bottom w:val="single" w:color="auto" w:sz="6" w:space="0"/>
              <w:right w:val="single" w:color="auto"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8"/>
                <w:szCs w:val="28"/>
                <w:bdr w:val="none" w:color="auto" w:sz="0" w:space="0"/>
              </w:rPr>
              <w:t>对外公开总数量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495" w:hRule="atLeast"/>
          <w:tblCellSpacing w:w="0" w:type="dxa"/>
        </w:trPr>
        <w:tc>
          <w:tcPr>
            <w:tcW w:w="3165" w:type="dxa"/>
            <w:tcBorders>
              <w:top w:val="nil"/>
              <w:left w:val="single" w:color="auto" w:sz="6" w:space="0"/>
              <w:bottom w:val="single" w:color="auto" w:sz="6" w:space="0"/>
              <w:right w:val="single" w:color="auto"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规章</w:t>
            </w:r>
          </w:p>
        </w:tc>
        <w:tc>
          <w:tcPr>
            <w:tcW w:w="1500" w:type="dxa"/>
            <w:tcBorders>
              <w:top w:val="nil"/>
              <w:left w:val="nil"/>
              <w:bottom w:val="single" w:color="auto" w:sz="6" w:space="0"/>
              <w:right w:val="single" w:color="auto"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144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2010" w:type="dxa"/>
            <w:tcBorders>
              <w:top w:val="nil"/>
              <w:left w:val="nil"/>
              <w:bottom w:val="single" w:color="auto" w:sz="6" w:space="0"/>
              <w:right w:val="single" w:color="auto"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450" w:hRule="atLeast"/>
          <w:tblCellSpacing w:w="0" w:type="dxa"/>
        </w:trPr>
        <w:tc>
          <w:tcPr>
            <w:tcW w:w="3165" w:type="dxa"/>
            <w:tcBorders>
              <w:top w:val="nil"/>
              <w:left w:val="single" w:color="auto" w:sz="6" w:space="0"/>
              <w:bottom w:val="single" w:color="auto" w:sz="6" w:space="0"/>
              <w:right w:val="single" w:color="auto"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shd w:val="clear" w:fill="FFFF00"/>
              </w:rPr>
              <w:t>规范性文件</w:t>
            </w:r>
          </w:p>
        </w:tc>
        <w:tc>
          <w:tcPr>
            <w:tcW w:w="1500" w:type="dxa"/>
            <w:tcBorders>
              <w:top w:val="nil"/>
              <w:left w:val="nil"/>
              <w:bottom w:val="single" w:color="auto" w:sz="6" w:space="0"/>
              <w:right w:val="single" w:color="auto" w:sz="6" w:space="0"/>
            </w:tcBorders>
            <w:shd w:val="clear" w:color="auto" w:fill="E6F4FF"/>
            <w:noWrap/>
            <w:tcMar>
              <w:top w:w="0" w:type="dxa"/>
              <w:left w:w="105" w:type="dxa"/>
              <w:bottom w:w="0" w:type="dxa"/>
              <w:right w:w="105" w:type="dxa"/>
            </w:tcMar>
            <w:vAlign w:val="center"/>
          </w:tcPr>
          <w:p>
            <w:pPr>
              <w:keepNext w:val="0"/>
              <w:keepLines w:val="0"/>
              <w:widowControl/>
              <w:suppressLineNumbers w:val="0"/>
              <w:ind w:lef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lang w:val="en-US" w:eastAsia="zh-CN" w:bidi="ar"/>
              </w:rPr>
              <w:t>5</w:t>
            </w:r>
          </w:p>
        </w:tc>
        <w:tc>
          <w:tcPr>
            <w:tcW w:w="144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keepNext w:val="0"/>
              <w:keepLines w:val="0"/>
              <w:widowControl/>
              <w:suppressLineNumbers w:val="0"/>
              <w:ind w:lef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lang w:val="en-US" w:eastAsia="zh-CN" w:bidi="ar"/>
              </w:rPr>
              <w:t>5</w:t>
            </w:r>
          </w:p>
        </w:tc>
        <w:tc>
          <w:tcPr>
            <w:tcW w:w="2010" w:type="dxa"/>
            <w:tcBorders>
              <w:top w:val="nil"/>
              <w:left w:val="nil"/>
              <w:bottom w:val="single" w:color="auto" w:sz="6" w:space="0"/>
              <w:right w:val="single" w:color="auto" w:sz="6" w:space="0"/>
            </w:tcBorders>
            <w:shd w:val="clear" w:color="auto" w:fill="E6F4FF"/>
            <w:noWrap/>
            <w:tcMar>
              <w:top w:w="0" w:type="dxa"/>
              <w:left w:w="105" w:type="dxa"/>
              <w:bottom w:w="0" w:type="dxa"/>
              <w:right w:w="105" w:type="dxa"/>
            </w:tcMar>
            <w:vAlign w:val="center"/>
          </w:tcPr>
          <w:p>
            <w:pPr>
              <w:keepNext w:val="0"/>
              <w:keepLines w:val="0"/>
              <w:widowControl/>
              <w:suppressLineNumbers w:val="0"/>
              <w:ind w:lef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5" w:hRule="atLeast"/>
          <w:tblCellSpacing w:w="0" w:type="dxa"/>
        </w:trPr>
        <w:tc>
          <w:tcPr>
            <w:tcW w:w="8790" w:type="dxa"/>
            <w:gridSpan w:val="4"/>
            <w:tcBorders>
              <w:top w:val="nil"/>
              <w:left w:val="single" w:color="auto" w:sz="6" w:space="0"/>
              <w:bottom w:val="single" w:color="auto" w:sz="6" w:space="0"/>
              <w:right w:val="single" w:color="auto" w:sz="6" w:space="0"/>
            </w:tcBorders>
            <w:shd w:val="clear" w:color="auto" w:fill="C6D9F1"/>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8"/>
                <w:szCs w:val="28"/>
                <w:bdr w:val="none" w:color="auto" w:sz="0" w:space="0"/>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615" w:hRule="atLeast"/>
          <w:tblCellSpacing w:w="0" w:type="dxa"/>
        </w:trPr>
        <w:tc>
          <w:tcPr>
            <w:tcW w:w="3165" w:type="dxa"/>
            <w:tcBorders>
              <w:top w:val="nil"/>
              <w:left w:val="single" w:color="auto" w:sz="6" w:space="0"/>
              <w:bottom w:val="single" w:color="auto" w:sz="6" w:space="0"/>
              <w:right w:val="single" w:color="auto"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信息内容</w:t>
            </w:r>
          </w:p>
        </w:tc>
        <w:tc>
          <w:tcPr>
            <w:tcW w:w="1500" w:type="dxa"/>
            <w:tcBorders>
              <w:top w:val="single" w:color="auto" w:sz="6" w:space="0"/>
              <w:left w:val="nil"/>
              <w:bottom w:val="single" w:color="auto" w:sz="6" w:space="0"/>
              <w:right w:val="single" w:color="auto"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8"/>
                <w:szCs w:val="28"/>
                <w:bdr w:val="none" w:color="auto" w:sz="0" w:space="0"/>
              </w:rPr>
              <w:t>上一年项目数量</w:t>
            </w:r>
          </w:p>
        </w:tc>
        <w:tc>
          <w:tcPr>
            <w:tcW w:w="1440" w:type="dxa"/>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8"/>
                <w:szCs w:val="28"/>
                <w:bdr w:val="none" w:color="auto" w:sz="0" w:space="0"/>
              </w:rPr>
              <w:t>本年增/减</w:t>
            </w:r>
          </w:p>
        </w:tc>
        <w:tc>
          <w:tcPr>
            <w:tcW w:w="2010" w:type="dxa"/>
            <w:tcBorders>
              <w:top w:val="nil"/>
              <w:left w:val="nil"/>
              <w:bottom w:val="single" w:color="auto" w:sz="6" w:space="0"/>
              <w:right w:val="single" w:color="auto"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8"/>
                <w:szCs w:val="28"/>
                <w:bdr w:val="none" w:color="auto" w:sz="0" w:space="0"/>
                <w:shd w:val="clear" w:fill="FFFF00"/>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10" w:hRule="atLeast"/>
          <w:tblCellSpacing w:w="0" w:type="dxa"/>
        </w:trPr>
        <w:tc>
          <w:tcPr>
            <w:tcW w:w="3165" w:type="dxa"/>
            <w:tcBorders>
              <w:top w:val="nil"/>
              <w:left w:val="single" w:color="auto" w:sz="6" w:space="0"/>
              <w:bottom w:val="single" w:color="auto" w:sz="6" w:space="0"/>
              <w:right w:val="single" w:color="auto"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shd w:val="clear" w:fill="FFFF00"/>
              </w:rPr>
              <w:t>行政许可</w:t>
            </w:r>
          </w:p>
        </w:tc>
        <w:tc>
          <w:tcPr>
            <w:tcW w:w="1500" w:type="dxa"/>
            <w:tcBorders>
              <w:top w:val="nil"/>
              <w:left w:val="nil"/>
              <w:bottom w:val="single" w:color="auto" w:sz="6" w:space="0"/>
              <w:right w:val="single" w:color="auto"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8"/>
                <w:szCs w:val="28"/>
                <w:bdr w:val="none" w:color="auto" w:sz="0" w:space="0"/>
                <w:shd w:val="clear" w:fill="FFFF00"/>
              </w:rPr>
              <w:t>0</w:t>
            </w:r>
          </w:p>
        </w:tc>
        <w:tc>
          <w:tcPr>
            <w:tcW w:w="1440" w:type="dxa"/>
            <w:tcBorders>
              <w:top w:val="nil"/>
              <w:left w:val="nil"/>
              <w:bottom w:val="single" w:color="auto" w:sz="6" w:space="0"/>
              <w:right w:val="single" w:color="auto"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8"/>
                <w:szCs w:val="28"/>
                <w:bdr w:val="none" w:color="auto" w:sz="0" w:space="0"/>
                <w:shd w:val="clear" w:fill="FFFF00"/>
              </w:rPr>
              <w:t>18</w:t>
            </w:r>
          </w:p>
        </w:tc>
        <w:tc>
          <w:tcPr>
            <w:tcW w:w="2010" w:type="dxa"/>
            <w:tcBorders>
              <w:top w:val="nil"/>
              <w:left w:val="nil"/>
              <w:bottom w:val="single" w:color="auto" w:sz="6" w:space="0"/>
              <w:right w:val="single" w:color="auto"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8"/>
                <w:szCs w:val="28"/>
                <w:bdr w:val="none" w:color="auto" w:sz="0" w:space="0"/>
                <w:shd w:val="clear" w:fill="FFFF0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blCellSpacing w:w="0" w:type="dxa"/>
        </w:trPr>
        <w:tc>
          <w:tcPr>
            <w:tcW w:w="3165" w:type="dxa"/>
            <w:tcBorders>
              <w:top w:val="nil"/>
              <w:left w:val="single" w:color="auto" w:sz="6" w:space="0"/>
              <w:bottom w:val="single" w:color="auto" w:sz="6" w:space="0"/>
              <w:right w:val="single" w:color="auto"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其他对外管理服务事项</w:t>
            </w:r>
          </w:p>
        </w:tc>
        <w:tc>
          <w:tcPr>
            <w:tcW w:w="1500" w:type="dxa"/>
            <w:tcBorders>
              <w:top w:val="nil"/>
              <w:left w:val="nil"/>
              <w:bottom w:val="single" w:color="auto" w:sz="6" w:space="0"/>
              <w:right w:val="single" w:color="auto"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1440" w:type="dxa"/>
            <w:tcBorders>
              <w:top w:val="nil"/>
              <w:left w:val="nil"/>
              <w:bottom w:val="single" w:color="auto" w:sz="6" w:space="0"/>
              <w:right w:val="single" w:color="auto"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2010" w:type="dxa"/>
            <w:tcBorders>
              <w:top w:val="nil"/>
              <w:left w:val="nil"/>
              <w:bottom w:val="single" w:color="auto" w:sz="6" w:space="0"/>
              <w:right w:val="single" w:color="auto"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90" w:hRule="atLeast"/>
          <w:tblCellSpacing w:w="0" w:type="dxa"/>
        </w:trPr>
        <w:tc>
          <w:tcPr>
            <w:tcW w:w="8790" w:type="dxa"/>
            <w:gridSpan w:val="4"/>
            <w:tcBorders>
              <w:top w:val="nil"/>
              <w:left w:val="single" w:color="auto" w:sz="6" w:space="0"/>
              <w:bottom w:val="single" w:color="auto" w:sz="6" w:space="0"/>
              <w:right w:val="single" w:color="auto" w:sz="6" w:space="0"/>
            </w:tcBorders>
            <w:shd w:val="clear" w:color="auto" w:fill="C6D9F1"/>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8"/>
                <w:szCs w:val="28"/>
                <w:bdr w:val="none" w:color="auto" w:sz="0" w:space="0"/>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615" w:hRule="atLeast"/>
          <w:tblCellSpacing w:w="0" w:type="dxa"/>
        </w:trPr>
        <w:tc>
          <w:tcPr>
            <w:tcW w:w="3165" w:type="dxa"/>
            <w:tcBorders>
              <w:top w:val="nil"/>
              <w:left w:val="single" w:color="auto" w:sz="6" w:space="0"/>
              <w:bottom w:val="single" w:color="auto" w:sz="6" w:space="0"/>
              <w:right w:val="single" w:color="auto"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信息内容</w:t>
            </w:r>
          </w:p>
        </w:tc>
        <w:tc>
          <w:tcPr>
            <w:tcW w:w="1500" w:type="dxa"/>
            <w:tcBorders>
              <w:top w:val="single" w:color="auto" w:sz="6" w:space="0"/>
              <w:left w:val="nil"/>
              <w:bottom w:val="single" w:color="auto" w:sz="6" w:space="0"/>
              <w:right w:val="single" w:color="auto"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8"/>
                <w:szCs w:val="28"/>
                <w:bdr w:val="none" w:color="auto" w:sz="0" w:space="0"/>
              </w:rPr>
              <w:t>上一年项目数量</w:t>
            </w:r>
          </w:p>
        </w:tc>
        <w:tc>
          <w:tcPr>
            <w:tcW w:w="1440" w:type="dxa"/>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8"/>
                <w:szCs w:val="28"/>
                <w:bdr w:val="none" w:color="auto" w:sz="0" w:space="0"/>
              </w:rPr>
              <w:t>本年增/减</w:t>
            </w:r>
          </w:p>
        </w:tc>
        <w:tc>
          <w:tcPr>
            <w:tcW w:w="2010" w:type="dxa"/>
            <w:tcBorders>
              <w:top w:val="nil"/>
              <w:left w:val="nil"/>
              <w:bottom w:val="single" w:color="auto" w:sz="6" w:space="0"/>
              <w:right w:val="single" w:color="auto"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8"/>
                <w:szCs w:val="28"/>
                <w:bdr w:val="none" w:color="auto" w:sz="0" w:space="0"/>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420" w:hRule="atLeast"/>
          <w:tblCellSpacing w:w="0" w:type="dxa"/>
        </w:trPr>
        <w:tc>
          <w:tcPr>
            <w:tcW w:w="3165" w:type="dxa"/>
            <w:tcBorders>
              <w:top w:val="nil"/>
              <w:left w:val="single" w:color="auto" w:sz="6" w:space="0"/>
              <w:bottom w:val="single" w:color="auto" w:sz="6" w:space="0"/>
              <w:right w:val="single" w:color="auto"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行政处罚</w:t>
            </w:r>
          </w:p>
        </w:tc>
        <w:tc>
          <w:tcPr>
            <w:tcW w:w="1500" w:type="dxa"/>
            <w:tcBorders>
              <w:top w:val="nil"/>
              <w:left w:val="nil"/>
              <w:bottom w:val="single" w:color="auto" w:sz="6" w:space="0"/>
              <w:right w:val="single" w:color="auto"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1440" w:type="dxa"/>
            <w:tcBorders>
              <w:top w:val="nil"/>
              <w:left w:val="nil"/>
              <w:bottom w:val="single" w:color="auto" w:sz="6" w:space="0"/>
              <w:right w:val="single" w:color="auto"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2010" w:type="dxa"/>
            <w:tcBorders>
              <w:top w:val="nil"/>
              <w:left w:val="nil"/>
              <w:bottom w:val="single" w:color="auto" w:sz="6" w:space="0"/>
              <w:right w:val="single" w:color="auto"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90" w:hRule="atLeast"/>
          <w:tblCellSpacing w:w="0" w:type="dxa"/>
        </w:trPr>
        <w:tc>
          <w:tcPr>
            <w:tcW w:w="3165" w:type="dxa"/>
            <w:tcBorders>
              <w:top w:val="nil"/>
              <w:left w:val="single" w:color="auto" w:sz="6" w:space="0"/>
              <w:bottom w:val="single" w:color="auto" w:sz="6" w:space="0"/>
              <w:right w:val="single" w:color="auto"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行政强制</w:t>
            </w:r>
          </w:p>
        </w:tc>
        <w:tc>
          <w:tcPr>
            <w:tcW w:w="1500" w:type="dxa"/>
            <w:tcBorders>
              <w:top w:val="nil"/>
              <w:left w:val="nil"/>
              <w:bottom w:val="single" w:color="auto" w:sz="6" w:space="0"/>
              <w:right w:val="single" w:color="auto"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1440" w:type="dxa"/>
            <w:tcBorders>
              <w:top w:val="nil"/>
              <w:left w:val="nil"/>
              <w:bottom w:val="single" w:color="auto" w:sz="6" w:space="0"/>
              <w:right w:val="single" w:color="auto"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2115" w:type="dxa"/>
            <w:tcBorders>
              <w:top w:val="nil"/>
              <w:left w:val="nil"/>
              <w:bottom w:val="single" w:color="auto" w:sz="6" w:space="0"/>
              <w:right w:val="single" w:color="auto"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465" w:hRule="atLeast"/>
          <w:tblCellSpacing w:w="0" w:type="dxa"/>
        </w:trPr>
        <w:tc>
          <w:tcPr>
            <w:tcW w:w="8790" w:type="dxa"/>
            <w:gridSpan w:val="4"/>
            <w:tcBorders>
              <w:top w:val="nil"/>
              <w:left w:val="single" w:color="auto" w:sz="6" w:space="0"/>
              <w:bottom w:val="single" w:color="auto" w:sz="6" w:space="0"/>
              <w:right w:val="single" w:color="auto" w:sz="6" w:space="0"/>
            </w:tcBorders>
            <w:shd w:val="clear" w:color="auto" w:fill="C6D9F1"/>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8"/>
                <w:szCs w:val="28"/>
                <w:bdr w:val="none" w:color="auto" w:sz="0" w:space="0"/>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600" w:hRule="atLeast"/>
          <w:tblCellSpacing w:w="0" w:type="dxa"/>
        </w:trPr>
        <w:tc>
          <w:tcPr>
            <w:tcW w:w="3165" w:type="dxa"/>
            <w:tcBorders>
              <w:top w:val="nil"/>
              <w:left w:val="single" w:color="auto" w:sz="6" w:space="0"/>
              <w:bottom w:val="single" w:color="auto" w:sz="6" w:space="0"/>
              <w:right w:val="single" w:color="auto"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信息内容</w:t>
            </w:r>
          </w:p>
        </w:tc>
        <w:tc>
          <w:tcPr>
            <w:tcW w:w="1500" w:type="dxa"/>
            <w:tcBorders>
              <w:top w:val="nil"/>
              <w:left w:val="nil"/>
              <w:bottom w:val="single" w:color="auto" w:sz="6" w:space="0"/>
              <w:right w:val="single" w:color="auto"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8"/>
                <w:szCs w:val="28"/>
                <w:bdr w:val="none" w:color="auto" w:sz="0" w:space="0"/>
              </w:rPr>
              <w:t>上一年项目数量</w:t>
            </w:r>
          </w:p>
        </w:tc>
        <w:tc>
          <w:tcPr>
            <w:tcW w:w="3675" w:type="dxa"/>
            <w:gridSpan w:val="2"/>
            <w:tcBorders>
              <w:top w:val="single" w:color="auto" w:sz="6" w:space="0"/>
              <w:left w:val="nil"/>
              <w:bottom w:val="single" w:color="auto" w:sz="6" w:space="0"/>
              <w:right w:val="single" w:color="000000"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8"/>
                <w:szCs w:val="28"/>
                <w:bdr w:val="none" w:color="auto" w:sz="0" w:space="0"/>
              </w:rPr>
              <w:t>本年增/减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40" w:hRule="atLeast"/>
          <w:tblCellSpacing w:w="0" w:type="dxa"/>
        </w:trPr>
        <w:tc>
          <w:tcPr>
            <w:tcW w:w="3165" w:type="dxa"/>
            <w:tcBorders>
              <w:top w:val="nil"/>
              <w:left w:val="single" w:color="auto" w:sz="6" w:space="0"/>
              <w:bottom w:val="single" w:color="auto" w:sz="6" w:space="0"/>
              <w:right w:val="single" w:color="auto"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行政事业性收费</w:t>
            </w:r>
          </w:p>
        </w:tc>
        <w:tc>
          <w:tcPr>
            <w:tcW w:w="1500" w:type="dxa"/>
            <w:tcBorders>
              <w:top w:val="nil"/>
              <w:left w:val="nil"/>
              <w:bottom w:val="single" w:color="auto" w:sz="6" w:space="0"/>
              <w:right w:val="single" w:color="auto"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1</w:t>
            </w:r>
          </w:p>
        </w:tc>
        <w:tc>
          <w:tcPr>
            <w:tcW w:w="3675" w:type="dxa"/>
            <w:gridSpan w:val="2"/>
            <w:tcBorders>
              <w:top w:val="nil"/>
              <w:left w:val="nil"/>
              <w:bottom w:val="single" w:color="auto" w:sz="6" w:space="0"/>
              <w:right w:val="single" w:color="000000"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5" w:hRule="atLeast"/>
          <w:tblCellSpacing w:w="0" w:type="dxa"/>
        </w:trPr>
        <w:tc>
          <w:tcPr>
            <w:tcW w:w="8790" w:type="dxa"/>
            <w:gridSpan w:val="4"/>
            <w:tcBorders>
              <w:top w:val="nil"/>
              <w:left w:val="single" w:color="auto" w:sz="6" w:space="0"/>
              <w:bottom w:val="single" w:color="auto" w:sz="6" w:space="0"/>
              <w:right w:val="single" w:color="auto" w:sz="6" w:space="0"/>
            </w:tcBorders>
            <w:shd w:val="clear" w:color="auto" w:fill="C6D9F1"/>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第二十条第（九）项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600" w:hRule="atLeast"/>
          <w:tblCellSpacing w:w="0" w:type="dxa"/>
        </w:trPr>
        <w:tc>
          <w:tcPr>
            <w:tcW w:w="3165" w:type="dxa"/>
            <w:tcBorders>
              <w:top w:val="nil"/>
              <w:left w:val="single" w:color="auto" w:sz="6" w:space="0"/>
              <w:bottom w:val="single" w:color="auto" w:sz="6" w:space="0"/>
              <w:right w:val="single" w:color="auto"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信息内容</w:t>
            </w:r>
          </w:p>
        </w:tc>
        <w:tc>
          <w:tcPr>
            <w:tcW w:w="1500" w:type="dxa"/>
            <w:tcBorders>
              <w:top w:val="nil"/>
              <w:left w:val="nil"/>
              <w:bottom w:val="single" w:color="auto" w:sz="6" w:space="0"/>
              <w:right w:val="single" w:color="auto"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8"/>
                <w:szCs w:val="28"/>
                <w:bdr w:val="none" w:color="auto" w:sz="0" w:space="0"/>
              </w:rPr>
              <w:t>采购项目数量</w:t>
            </w:r>
          </w:p>
        </w:tc>
        <w:tc>
          <w:tcPr>
            <w:tcW w:w="3675" w:type="dxa"/>
            <w:gridSpan w:val="2"/>
            <w:tcBorders>
              <w:top w:val="single" w:color="auto" w:sz="6" w:space="0"/>
              <w:left w:val="nil"/>
              <w:bottom w:val="single" w:color="auto" w:sz="6" w:space="0"/>
              <w:right w:val="single" w:color="000000"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8"/>
                <w:szCs w:val="28"/>
                <w:bdr w:val="none" w:color="auto" w:sz="0" w:space="0"/>
              </w:rPr>
              <w:t>采购总金额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25" w:hRule="atLeast"/>
          <w:tblCellSpacing w:w="0" w:type="dxa"/>
        </w:trPr>
        <w:tc>
          <w:tcPr>
            <w:tcW w:w="3165" w:type="dxa"/>
            <w:tcBorders>
              <w:top w:val="nil"/>
              <w:left w:val="single" w:color="auto" w:sz="6" w:space="0"/>
              <w:bottom w:val="single" w:color="auto" w:sz="6" w:space="0"/>
              <w:right w:val="single" w:color="auto"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政府集中采购</w:t>
            </w:r>
          </w:p>
        </w:tc>
        <w:tc>
          <w:tcPr>
            <w:tcW w:w="1575" w:type="dxa"/>
            <w:tcBorders>
              <w:top w:val="nil"/>
              <w:left w:val="nil"/>
              <w:bottom w:val="single" w:color="auto" w:sz="6" w:space="0"/>
              <w:right w:val="single" w:color="auto"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8"/>
                <w:szCs w:val="28"/>
                <w:bdr w:val="none" w:color="auto" w:sz="0" w:space="0"/>
              </w:rPr>
              <w:t>3</w:t>
            </w:r>
          </w:p>
        </w:tc>
        <w:tc>
          <w:tcPr>
            <w:tcW w:w="3735" w:type="dxa"/>
            <w:gridSpan w:val="2"/>
            <w:tcBorders>
              <w:top w:val="nil"/>
              <w:left w:val="nil"/>
              <w:bottom w:val="single" w:color="auto" w:sz="6" w:space="0"/>
              <w:right w:val="single" w:color="000000" w:sz="6" w:space="0"/>
            </w:tcBorders>
            <w:shd w:val="clear" w:color="auto" w:fill="E6F4FF"/>
            <w:noWrap/>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r>
    </w:tbl>
    <w:p>
      <w:pPr>
        <w:pStyle w:val="2"/>
        <w:keepNext w:val="0"/>
        <w:keepLines w:val="0"/>
        <w:widowControl/>
        <w:suppressLineNumbers w:val="0"/>
        <w:shd w:val="clear" w:fill="FFFFFF"/>
        <w:spacing w:line="300" w:lineRule="atLeast"/>
        <w:ind w:left="0" w:firstLine="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000000"/>
          <w:spacing w:val="0"/>
          <w:sz w:val="28"/>
          <w:szCs w:val="28"/>
          <w:shd w:val="clear" w:fill="FFFFFF"/>
        </w:rPr>
        <w:t> </w:t>
      </w:r>
    </w:p>
    <w:p>
      <w:pPr>
        <w:pStyle w:val="2"/>
        <w:keepNext w:val="0"/>
        <w:keepLines w:val="0"/>
        <w:widowControl/>
        <w:suppressLineNumbers w:val="0"/>
        <w:shd w:val="clear" w:fill="FFFFFF"/>
        <w:spacing w:line="600" w:lineRule="atLeast"/>
        <w:ind w:left="0" w:firstLine="0"/>
        <w:jc w:val="both"/>
        <w:rPr>
          <w:rFonts w:hint="eastAsia" w:ascii="微软雅黑" w:hAnsi="微软雅黑" w:eastAsia="微软雅黑" w:cs="微软雅黑"/>
          <w:i w:val="0"/>
          <w:iCs w:val="0"/>
          <w:caps w:val="0"/>
          <w:color w:val="333333"/>
          <w:spacing w:val="0"/>
          <w:sz w:val="27"/>
          <w:szCs w:val="27"/>
        </w:rPr>
      </w:pPr>
      <w:r>
        <w:rPr>
          <w:rStyle w:val="5"/>
          <w:rFonts w:hint="eastAsia" w:ascii="黑体" w:hAnsi="宋体" w:eastAsia="黑体" w:cs="黑体"/>
          <w:b/>
          <w:bCs/>
          <w:i w:val="0"/>
          <w:iCs w:val="0"/>
          <w:caps w:val="0"/>
          <w:color w:val="000000"/>
          <w:spacing w:val="0"/>
          <w:sz w:val="31"/>
          <w:szCs w:val="31"/>
          <w:shd w:val="clear" w:fill="FFFFFF"/>
        </w:rPr>
        <w:t>三、收到和处理政府信息公开申请情况</w:t>
      </w:r>
    </w:p>
    <w:tbl>
      <w:tblPr>
        <w:tblW w:w="9075" w:type="dxa"/>
        <w:tblCellSpacing w:w="0"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800"/>
        <w:gridCol w:w="1065"/>
        <w:gridCol w:w="2498"/>
        <w:gridCol w:w="533"/>
        <w:gridCol w:w="725"/>
        <w:gridCol w:w="747"/>
        <w:gridCol w:w="770"/>
        <w:gridCol w:w="759"/>
        <w:gridCol w:w="533"/>
        <w:gridCol w:w="6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CellSpacing w:w="0" w:type="dxa"/>
        </w:trPr>
        <w:tc>
          <w:tcPr>
            <w:tcW w:w="4260" w:type="dxa"/>
            <w:gridSpan w:val="3"/>
            <w:vMerge w:val="restart"/>
            <w:tcBorders>
              <w:top w:val="single" w:color="auto" w:sz="6" w:space="0"/>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（本列数据的勾稽关系为：第一项加第二项之和，等于第三项加第四项之和）</w:t>
            </w:r>
          </w:p>
        </w:tc>
        <w:tc>
          <w:tcPr>
            <w:tcW w:w="4815" w:type="dxa"/>
            <w:gridSpan w:val="7"/>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8"/>
                <w:szCs w:val="28"/>
                <w:bdr w:val="none" w:color="auto" w:sz="0" w:space="0"/>
              </w:rPr>
              <w:t>申请人情况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CellSpacing w:w="0" w:type="dxa"/>
        </w:trPr>
        <w:tc>
          <w:tcPr>
            <w:tcW w:w="4260" w:type="dxa"/>
            <w:gridSpan w:val="3"/>
            <w:vMerge w:val="continue"/>
            <w:tcBorders>
              <w:top w:val="single" w:color="auto" w:sz="6" w:space="0"/>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c>
          <w:tcPr>
            <w:tcW w:w="555" w:type="dxa"/>
            <w:vMerge w:val="restart"/>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4"/>
                <w:szCs w:val="24"/>
                <w:bdr w:val="none" w:color="auto" w:sz="0" w:space="0"/>
              </w:rPr>
              <w:t>自然人</w:t>
            </w:r>
          </w:p>
        </w:tc>
        <w:tc>
          <w:tcPr>
            <w:tcW w:w="3690" w:type="dxa"/>
            <w:gridSpan w:val="5"/>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4"/>
                <w:szCs w:val="24"/>
                <w:bdr w:val="none" w:color="auto" w:sz="0" w:space="0"/>
              </w:rPr>
              <w:t>法人或其他组织</w:t>
            </w:r>
          </w:p>
        </w:tc>
        <w:tc>
          <w:tcPr>
            <w:tcW w:w="570" w:type="dxa"/>
            <w:vMerge w:val="restart"/>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4"/>
                <w:szCs w:val="24"/>
                <w:bdr w:val="none" w:color="auto" w:sz="0" w:space="0"/>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CellSpacing w:w="0" w:type="dxa"/>
        </w:trPr>
        <w:tc>
          <w:tcPr>
            <w:tcW w:w="4260" w:type="dxa"/>
            <w:gridSpan w:val="3"/>
            <w:vMerge w:val="continue"/>
            <w:tcBorders>
              <w:top w:val="single" w:color="auto" w:sz="6" w:space="0"/>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c>
          <w:tcPr>
            <w:tcW w:w="555" w:type="dxa"/>
            <w:vMerge w:val="continue"/>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4"/>
                <w:szCs w:val="24"/>
                <w:bdr w:val="none" w:color="auto" w:sz="0" w:space="0"/>
              </w:rPr>
              <w:t>商业企业</w:t>
            </w:r>
          </w:p>
        </w:tc>
        <w:tc>
          <w:tcPr>
            <w:tcW w:w="78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4"/>
                <w:szCs w:val="24"/>
                <w:bdr w:val="none" w:color="auto" w:sz="0" w:space="0"/>
              </w:rPr>
              <w:t>科研机构</w:t>
            </w:r>
          </w:p>
        </w:tc>
        <w:tc>
          <w:tcPr>
            <w:tcW w:w="810" w:type="dxa"/>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4"/>
                <w:szCs w:val="24"/>
                <w:bdr w:val="none" w:color="auto" w:sz="0" w:space="0"/>
              </w:rPr>
              <w:t>社会公益组织</w:t>
            </w:r>
          </w:p>
        </w:tc>
        <w:tc>
          <w:tcPr>
            <w:tcW w:w="795" w:type="dxa"/>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4"/>
                <w:szCs w:val="24"/>
                <w:bdr w:val="none" w:color="auto" w:sz="0" w:space="0"/>
              </w:rPr>
              <w:t>法律服务机构</w:t>
            </w:r>
          </w:p>
        </w:tc>
        <w:tc>
          <w:tcPr>
            <w:tcW w:w="555" w:type="dxa"/>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center"/>
              <w:rPr>
                <w:color w:val="333333"/>
                <w:sz w:val="24"/>
                <w:szCs w:val="24"/>
              </w:rPr>
            </w:pPr>
            <w:r>
              <w:rPr>
                <w:rFonts w:hint="eastAsia" w:ascii="宋体" w:hAnsi="宋体" w:eastAsia="宋体" w:cs="宋体"/>
                <w:i w:val="0"/>
                <w:iCs w:val="0"/>
                <w:caps w:val="0"/>
                <w:color w:val="000000"/>
                <w:spacing w:val="0"/>
                <w:sz w:val="24"/>
                <w:szCs w:val="24"/>
                <w:bdr w:val="none" w:color="auto" w:sz="0" w:space="0"/>
              </w:rPr>
              <w:t>其他</w:t>
            </w:r>
          </w:p>
        </w:tc>
        <w:tc>
          <w:tcPr>
            <w:tcW w:w="570" w:type="dxa"/>
            <w:vMerge w:val="continue"/>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CellSpacing w:w="0" w:type="dxa"/>
        </w:trPr>
        <w:tc>
          <w:tcPr>
            <w:tcW w:w="4260" w:type="dxa"/>
            <w:gridSpan w:val="3"/>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一、本年新收政府信息公开申请数量</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4"/>
                <w:szCs w:val="24"/>
                <w:bdr w:val="none" w:color="auto" w:sz="0" w:space="0"/>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4"/>
                <w:szCs w:val="24"/>
                <w:bdr w:val="none" w:color="auto" w:sz="0" w:space="0"/>
              </w:rPr>
              <w:t>0</w:t>
            </w:r>
          </w:p>
        </w:tc>
        <w:tc>
          <w:tcPr>
            <w:tcW w:w="78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4"/>
                <w:szCs w:val="24"/>
                <w:bdr w:val="none" w:color="auto" w:sz="0" w:space="0"/>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4"/>
                <w:szCs w:val="24"/>
                <w:bdr w:val="none" w:color="auto" w:sz="0" w:space="0"/>
              </w:rPr>
              <w:t>0</w:t>
            </w:r>
          </w:p>
        </w:tc>
        <w:tc>
          <w:tcPr>
            <w:tcW w:w="79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4"/>
                <w:szCs w:val="24"/>
                <w:bdr w:val="none" w:color="auto" w:sz="0" w:space="0"/>
              </w:rPr>
              <w:t>0</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4"/>
                <w:szCs w:val="24"/>
                <w:bdr w:val="none" w:color="auto" w:sz="0" w:space="0"/>
              </w:rPr>
              <w:t>0</w:t>
            </w:r>
          </w:p>
        </w:tc>
        <w:tc>
          <w:tcPr>
            <w:tcW w:w="57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0" w:type="dxa"/>
        </w:trPr>
        <w:tc>
          <w:tcPr>
            <w:tcW w:w="4260" w:type="dxa"/>
            <w:gridSpan w:val="3"/>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二、上年结转政府信息公开申请数量</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8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9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57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CellSpacing w:w="0" w:type="dxa"/>
        </w:trPr>
        <w:tc>
          <w:tcPr>
            <w:tcW w:w="645" w:type="dxa"/>
            <w:vMerge w:val="restart"/>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三、本年度办理结果</w:t>
            </w:r>
          </w:p>
        </w:tc>
        <w:tc>
          <w:tcPr>
            <w:tcW w:w="3615" w:type="dxa"/>
            <w:gridSpan w:val="2"/>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（一）予以公开</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8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9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570" w:type="dxa"/>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CellSpacing w:w="0" w:type="dxa"/>
        </w:trPr>
        <w:tc>
          <w:tcPr>
            <w:tcW w:w="645" w:type="dxa"/>
            <w:vMerge w:val="continue"/>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c>
          <w:tcPr>
            <w:tcW w:w="3615" w:type="dxa"/>
            <w:gridSpan w:val="2"/>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（二）部分公开（区分处理的，只计这一情形，不计其他情形）</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8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9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57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CellSpacing w:w="0" w:type="dxa"/>
        </w:trPr>
        <w:tc>
          <w:tcPr>
            <w:tcW w:w="645" w:type="dxa"/>
            <w:vMerge w:val="continue"/>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c>
          <w:tcPr>
            <w:tcW w:w="570" w:type="dxa"/>
            <w:vMerge w:val="restart"/>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（三）不予公开</w:t>
            </w:r>
          </w:p>
        </w:tc>
        <w:tc>
          <w:tcPr>
            <w:tcW w:w="304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1.属于国家秘密</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0 </w:t>
            </w:r>
          </w:p>
        </w:tc>
        <w:tc>
          <w:tcPr>
            <w:tcW w:w="78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0 </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0 </w:t>
            </w:r>
          </w:p>
        </w:tc>
        <w:tc>
          <w:tcPr>
            <w:tcW w:w="79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0 </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570" w:type="dxa"/>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CellSpacing w:w="0" w:type="dxa"/>
        </w:trPr>
        <w:tc>
          <w:tcPr>
            <w:tcW w:w="645" w:type="dxa"/>
            <w:vMerge w:val="continue"/>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c>
          <w:tcPr>
            <w:tcW w:w="570" w:type="dxa"/>
            <w:vMerge w:val="continue"/>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c>
          <w:tcPr>
            <w:tcW w:w="304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2.其他法律行政法规禁止公开</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8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9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57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CellSpacing w:w="0" w:type="dxa"/>
        </w:trPr>
        <w:tc>
          <w:tcPr>
            <w:tcW w:w="645" w:type="dxa"/>
            <w:vMerge w:val="continue"/>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c>
          <w:tcPr>
            <w:tcW w:w="570" w:type="dxa"/>
            <w:vMerge w:val="continue"/>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c>
          <w:tcPr>
            <w:tcW w:w="304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3.危及“三安全一稳定”</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8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9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57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0" w:type="dxa"/>
        </w:trPr>
        <w:tc>
          <w:tcPr>
            <w:tcW w:w="645" w:type="dxa"/>
            <w:vMerge w:val="continue"/>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c>
          <w:tcPr>
            <w:tcW w:w="570" w:type="dxa"/>
            <w:vMerge w:val="continue"/>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c>
          <w:tcPr>
            <w:tcW w:w="304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4.保护第三方合法权益</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0 </w:t>
            </w:r>
          </w:p>
        </w:tc>
        <w:tc>
          <w:tcPr>
            <w:tcW w:w="78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0 </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0 </w:t>
            </w:r>
          </w:p>
        </w:tc>
        <w:tc>
          <w:tcPr>
            <w:tcW w:w="79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0 </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57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CellSpacing w:w="0" w:type="dxa"/>
        </w:trPr>
        <w:tc>
          <w:tcPr>
            <w:tcW w:w="645" w:type="dxa"/>
            <w:vMerge w:val="continue"/>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c>
          <w:tcPr>
            <w:tcW w:w="570" w:type="dxa"/>
            <w:vMerge w:val="continue"/>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c>
          <w:tcPr>
            <w:tcW w:w="304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5.属于三类内部事务信息</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8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9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57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CellSpacing w:w="0" w:type="dxa"/>
        </w:trPr>
        <w:tc>
          <w:tcPr>
            <w:tcW w:w="645" w:type="dxa"/>
            <w:vMerge w:val="continue"/>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c>
          <w:tcPr>
            <w:tcW w:w="570" w:type="dxa"/>
            <w:vMerge w:val="continue"/>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c>
          <w:tcPr>
            <w:tcW w:w="304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6.属于四类过程性信息</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8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9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57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CellSpacing w:w="0" w:type="dxa"/>
        </w:trPr>
        <w:tc>
          <w:tcPr>
            <w:tcW w:w="645" w:type="dxa"/>
            <w:vMerge w:val="continue"/>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c>
          <w:tcPr>
            <w:tcW w:w="570" w:type="dxa"/>
            <w:vMerge w:val="continue"/>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c>
          <w:tcPr>
            <w:tcW w:w="304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7.属于行政执法案卷</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8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9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57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CellSpacing w:w="0" w:type="dxa"/>
        </w:trPr>
        <w:tc>
          <w:tcPr>
            <w:tcW w:w="645" w:type="dxa"/>
            <w:vMerge w:val="continue"/>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c>
          <w:tcPr>
            <w:tcW w:w="570" w:type="dxa"/>
            <w:vMerge w:val="continue"/>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c>
          <w:tcPr>
            <w:tcW w:w="304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8.属于行政查询事项</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0 </w:t>
            </w:r>
          </w:p>
        </w:tc>
        <w:tc>
          <w:tcPr>
            <w:tcW w:w="78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0 </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0 </w:t>
            </w:r>
          </w:p>
        </w:tc>
        <w:tc>
          <w:tcPr>
            <w:tcW w:w="79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0 </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57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CellSpacing w:w="0" w:type="dxa"/>
        </w:trPr>
        <w:tc>
          <w:tcPr>
            <w:tcW w:w="645" w:type="dxa"/>
            <w:vMerge w:val="continue"/>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c>
          <w:tcPr>
            <w:tcW w:w="570" w:type="dxa"/>
            <w:vMerge w:val="restart"/>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（四）无法提供</w:t>
            </w:r>
          </w:p>
        </w:tc>
        <w:tc>
          <w:tcPr>
            <w:tcW w:w="304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1.本机关不掌握相关政府信息</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8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9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57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CellSpacing w:w="0" w:type="dxa"/>
        </w:trPr>
        <w:tc>
          <w:tcPr>
            <w:tcW w:w="645" w:type="dxa"/>
            <w:vMerge w:val="continue"/>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c>
          <w:tcPr>
            <w:tcW w:w="570" w:type="dxa"/>
            <w:vMerge w:val="continue"/>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c>
          <w:tcPr>
            <w:tcW w:w="304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2.没有现成信息需要另行制作</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8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9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57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CellSpacing w:w="0" w:type="dxa"/>
        </w:trPr>
        <w:tc>
          <w:tcPr>
            <w:tcW w:w="645" w:type="dxa"/>
            <w:vMerge w:val="continue"/>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c>
          <w:tcPr>
            <w:tcW w:w="570" w:type="dxa"/>
            <w:vMerge w:val="continue"/>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c>
          <w:tcPr>
            <w:tcW w:w="304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3.补正后申请内容仍不明确</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8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9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57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CellSpacing w:w="0" w:type="dxa"/>
        </w:trPr>
        <w:tc>
          <w:tcPr>
            <w:tcW w:w="645" w:type="dxa"/>
            <w:vMerge w:val="continue"/>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c>
          <w:tcPr>
            <w:tcW w:w="570" w:type="dxa"/>
            <w:vMerge w:val="restart"/>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（五）不予处理</w:t>
            </w:r>
          </w:p>
        </w:tc>
        <w:tc>
          <w:tcPr>
            <w:tcW w:w="304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1.信访举报投诉类申请</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0 </w:t>
            </w:r>
          </w:p>
        </w:tc>
        <w:tc>
          <w:tcPr>
            <w:tcW w:w="78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0 </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0 </w:t>
            </w:r>
          </w:p>
        </w:tc>
        <w:tc>
          <w:tcPr>
            <w:tcW w:w="79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0 </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57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CellSpacing w:w="0" w:type="dxa"/>
        </w:trPr>
        <w:tc>
          <w:tcPr>
            <w:tcW w:w="645" w:type="dxa"/>
            <w:vMerge w:val="continue"/>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c>
          <w:tcPr>
            <w:tcW w:w="570" w:type="dxa"/>
            <w:vMerge w:val="continue"/>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c>
          <w:tcPr>
            <w:tcW w:w="304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2.重复申请</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8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9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57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CellSpacing w:w="0" w:type="dxa"/>
        </w:trPr>
        <w:tc>
          <w:tcPr>
            <w:tcW w:w="645" w:type="dxa"/>
            <w:vMerge w:val="continue"/>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c>
          <w:tcPr>
            <w:tcW w:w="570" w:type="dxa"/>
            <w:vMerge w:val="continue"/>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c>
          <w:tcPr>
            <w:tcW w:w="304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3.要求提供公开出版物</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8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9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57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CellSpacing w:w="0" w:type="dxa"/>
        </w:trPr>
        <w:tc>
          <w:tcPr>
            <w:tcW w:w="645" w:type="dxa"/>
            <w:vMerge w:val="continue"/>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c>
          <w:tcPr>
            <w:tcW w:w="570" w:type="dxa"/>
            <w:vMerge w:val="continue"/>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c>
          <w:tcPr>
            <w:tcW w:w="304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4.无正当理由大量反复申请</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8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9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57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CellSpacing w:w="0" w:type="dxa"/>
        </w:trPr>
        <w:tc>
          <w:tcPr>
            <w:tcW w:w="645" w:type="dxa"/>
            <w:vMerge w:val="continue"/>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c>
          <w:tcPr>
            <w:tcW w:w="570" w:type="dxa"/>
            <w:vMerge w:val="continue"/>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c>
          <w:tcPr>
            <w:tcW w:w="304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5.要求行政机关确认或重新出具已获取信息</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0 </w:t>
            </w:r>
          </w:p>
        </w:tc>
        <w:tc>
          <w:tcPr>
            <w:tcW w:w="78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0 </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0 </w:t>
            </w:r>
          </w:p>
        </w:tc>
        <w:tc>
          <w:tcPr>
            <w:tcW w:w="79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0 </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57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CellSpacing w:w="0" w:type="dxa"/>
        </w:trPr>
        <w:tc>
          <w:tcPr>
            <w:tcW w:w="645" w:type="dxa"/>
            <w:vMerge w:val="continue"/>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c>
          <w:tcPr>
            <w:tcW w:w="3615" w:type="dxa"/>
            <w:gridSpan w:val="2"/>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（六）其他处理</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8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9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57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CellSpacing w:w="0" w:type="dxa"/>
        </w:trPr>
        <w:tc>
          <w:tcPr>
            <w:tcW w:w="645" w:type="dxa"/>
            <w:vMerge w:val="continue"/>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c>
          <w:tcPr>
            <w:tcW w:w="3615" w:type="dxa"/>
            <w:gridSpan w:val="2"/>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（七）总计</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8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9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57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CellSpacing w:w="0" w:type="dxa"/>
        </w:trPr>
        <w:tc>
          <w:tcPr>
            <w:tcW w:w="4260" w:type="dxa"/>
            <w:gridSpan w:val="3"/>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四、结转下年度继续办理</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8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79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57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 0</w:t>
            </w:r>
          </w:p>
        </w:tc>
      </w:tr>
    </w:tbl>
    <w:p>
      <w:pPr>
        <w:pStyle w:val="2"/>
        <w:keepNext w:val="0"/>
        <w:keepLines w:val="0"/>
        <w:widowControl/>
        <w:suppressLineNumbers w:val="0"/>
        <w:shd w:val="clear" w:fill="FFFFFF"/>
        <w:spacing w:line="300" w:lineRule="atLeast"/>
        <w:ind w:left="0" w:firstLine="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000000"/>
          <w:spacing w:val="0"/>
          <w:sz w:val="28"/>
          <w:szCs w:val="28"/>
          <w:shd w:val="clear" w:fill="FFFFFF"/>
        </w:rPr>
        <w:t> </w:t>
      </w:r>
    </w:p>
    <w:p>
      <w:pPr>
        <w:pStyle w:val="2"/>
        <w:keepNext w:val="0"/>
        <w:keepLines w:val="0"/>
        <w:widowControl/>
        <w:suppressLineNumbers w:val="0"/>
        <w:shd w:val="clear" w:fill="FFFFFF"/>
        <w:spacing w:line="300" w:lineRule="atLeast"/>
        <w:ind w:left="0" w:firstLine="0"/>
        <w:jc w:val="both"/>
        <w:rPr>
          <w:rFonts w:hint="eastAsia" w:ascii="微软雅黑" w:hAnsi="微软雅黑" w:eastAsia="微软雅黑" w:cs="微软雅黑"/>
          <w:i w:val="0"/>
          <w:iCs w:val="0"/>
          <w:caps w:val="0"/>
          <w:color w:val="333333"/>
          <w:spacing w:val="0"/>
          <w:sz w:val="27"/>
          <w:szCs w:val="27"/>
        </w:rPr>
      </w:pPr>
      <w:r>
        <w:rPr>
          <w:rStyle w:val="5"/>
          <w:rFonts w:hint="eastAsia" w:ascii="宋体" w:hAnsi="宋体" w:eastAsia="宋体" w:cs="宋体"/>
          <w:b/>
          <w:bCs/>
          <w:i w:val="0"/>
          <w:iCs w:val="0"/>
          <w:caps w:val="0"/>
          <w:color w:val="000000"/>
          <w:spacing w:val="0"/>
          <w:sz w:val="28"/>
          <w:szCs w:val="28"/>
          <w:shd w:val="clear" w:fill="FFFFFF"/>
        </w:rPr>
        <w:t>四、政府信息公开行政复议、行政诉讼情况</w:t>
      </w:r>
    </w:p>
    <w:p>
      <w:pPr>
        <w:pStyle w:val="2"/>
        <w:keepNext w:val="0"/>
        <w:keepLines w:val="0"/>
        <w:widowControl/>
        <w:suppressLineNumbers w:val="0"/>
        <w:shd w:val="clear" w:fill="FFFFFF"/>
        <w:spacing w:line="300" w:lineRule="atLeast"/>
        <w:ind w:left="0" w:firstLine="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000000"/>
          <w:spacing w:val="0"/>
          <w:sz w:val="28"/>
          <w:szCs w:val="28"/>
          <w:shd w:val="clear" w:fill="FFFFFF"/>
        </w:rPr>
        <w:t> </w:t>
      </w:r>
    </w:p>
    <w:tbl>
      <w:tblPr>
        <w:tblW w:w="9075" w:type="dxa"/>
        <w:tblCellSpacing w:w="0"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600"/>
        <w:gridCol w:w="600"/>
        <w:gridCol w:w="600"/>
        <w:gridCol w:w="600"/>
        <w:gridCol w:w="675"/>
        <w:gridCol w:w="555"/>
        <w:gridCol w:w="600"/>
        <w:gridCol w:w="600"/>
        <w:gridCol w:w="600"/>
        <w:gridCol w:w="615"/>
        <w:gridCol w:w="600"/>
        <w:gridCol w:w="600"/>
        <w:gridCol w:w="600"/>
        <w:gridCol w:w="600"/>
        <w:gridCol w:w="6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rPr>
          <w:tblCellSpacing w:w="0" w:type="dxa"/>
        </w:trPr>
        <w:tc>
          <w:tcPr>
            <w:tcW w:w="3075" w:type="dxa"/>
            <w:gridSpan w:val="5"/>
            <w:tcBorders>
              <w:top w:val="single" w:color="auto" w:sz="6" w:space="0"/>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行政复议</w:t>
            </w:r>
          </w:p>
        </w:tc>
        <w:tc>
          <w:tcPr>
            <w:tcW w:w="6000" w:type="dxa"/>
            <w:gridSpan w:val="10"/>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CellSpacing w:w="0" w:type="dxa"/>
        </w:trPr>
        <w:tc>
          <w:tcPr>
            <w:tcW w:w="600" w:type="dxa"/>
            <w:vMerge w:val="restart"/>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结果维持</w:t>
            </w:r>
          </w:p>
        </w:tc>
        <w:tc>
          <w:tcPr>
            <w:tcW w:w="600" w:type="dxa"/>
            <w:vMerge w:val="restart"/>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结果纠正</w:t>
            </w:r>
          </w:p>
        </w:tc>
        <w:tc>
          <w:tcPr>
            <w:tcW w:w="600" w:type="dxa"/>
            <w:vMerge w:val="restart"/>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其他结果</w:t>
            </w:r>
          </w:p>
        </w:tc>
        <w:tc>
          <w:tcPr>
            <w:tcW w:w="600" w:type="dxa"/>
            <w:vMerge w:val="restart"/>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尚未审结</w:t>
            </w:r>
          </w:p>
        </w:tc>
        <w:tc>
          <w:tcPr>
            <w:tcW w:w="660" w:type="dxa"/>
            <w:vMerge w:val="restart"/>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总计</w:t>
            </w:r>
          </w:p>
        </w:tc>
        <w:tc>
          <w:tcPr>
            <w:tcW w:w="2970" w:type="dxa"/>
            <w:gridSpan w:val="5"/>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未经复议直接起诉</w:t>
            </w:r>
          </w:p>
        </w:tc>
        <w:tc>
          <w:tcPr>
            <w:tcW w:w="3030" w:type="dxa"/>
            <w:gridSpan w:val="5"/>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复议后起诉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CellSpacing w:w="0" w:type="dxa"/>
        </w:trPr>
        <w:tc>
          <w:tcPr>
            <w:tcW w:w="600" w:type="dxa"/>
            <w:vMerge w:val="continue"/>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c>
          <w:tcPr>
            <w:tcW w:w="600" w:type="dxa"/>
            <w:vMerge w:val="continue"/>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c>
          <w:tcPr>
            <w:tcW w:w="600" w:type="dxa"/>
            <w:vMerge w:val="continue"/>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c>
          <w:tcPr>
            <w:tcW w:w="600" w:type="dxa"/>
            <w:vMerge w:val="continue"/>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c>
          <w:tcPr>
            <w:tcW w:w="660" w:type="dxa"/>
            <w:vMerge w:val="continue"/>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eastAsia" w:ascii="微软雅黑" w:hAnsi="微软雅黑" w:eastAsia="微软雅黑" w:cs="微软雅黑"/>
                <w:i w:val="0"/>
                <w:iCs w:val="0"/>
                <w:caps w:val="0"/>
                <w:color w:val="000000"/>
                <w:spacing w:val="0"/>
                <w:sz w:val="27"/>
                <w:szCs w:val="27"/>
              </w:rPr>
            </w:pP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结果维持</w:t>
            </w:r>
          </w:p>
        </w:tc>
        <w:tc>
          <w:tcPr>
            <w:tcW w:w="60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结果纠正</w:t>
            </w:r>
          </w:p>
        </w:tc>
        <w:tc>
          <w:tcPr>
            <w:tcW w:w="600" w:type="dxa"/>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其他结果</w:t>
            </w:r>
          </w:p>
        </w:tc>
        <w:tc>
          <w:tcPr>
            <w:tcW w:w="600" w:type="dxa"/>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尚未审结</w:t>
            </w:r>
          </w:p>
        </w:tc>
        <w:tc>
          <w:tcPr>
            <w:tcW w:w="600" w:type="dxa"/>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总计</w:t>
            </w:r>
          </w:p>
        </w:tc>
        <w:tc>
          <w:tcPr>
            <w:tcW w:w="600" w:type="dxa"/>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结果维持</w:t>
            </w:r>
          </w:p>
        </w:tc>
        <w:tc>
          <w:tcPr>
            <w:tcW w:w="600" w:type="dxa"/>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结果纠正</w:t>
            </w:r>
          </w:p>
        </w:tc>
        <w:tc>
          <w:tcPr>
            <w:tcW w:w="600" w:type="dxa"/>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其他结果</w:t>
            </w:r>
          </w:p>
        </w:tc>
        <w:tc>
          <w:tcPr>
            <w:tcW w:w="600" w:type="dxa"/>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尚未审结</w:t>
            </w:r>
          </w:p>
        </w:tc>
        <w:tc>
          <w:tcPr>
            <w:tcW w:w="600" w:type="dxa"/>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blCellSpacing w:w="0" w:type="dxa"/>
        </w:trPr>
        <w:tc>
          <w:tcPr>
            <w:tcW w:w="600" w:type="dxa"/>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60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60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60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66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60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60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60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60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60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60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60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60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c>
          <w:tcPr>
            <w:tcW w:w="60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line="300" w:lineRule="atLeast"/>
              <w:ind w:left="0" w:firstLine="0"/>
              <w:jc w:val="both"/>
              <w:rPr>
                <w:color w:val="333333"/>
                <w:sz w:val="24"/>
                <w:szCs w:val="24"/>
              </w:rPr>
            </w:pPr>
            <w:r>
              <w:rPr>
                <w:rFonts w:hint="eastAsia" w:ascii="宋体" w:hAnsi="宋体" w:eastAsia="宋体" w:cs="宋体"/>
                <w:i w:val="0"/>
                <w:iCs w:val="0"/>
                <w:caps w:val="0"/>
                <w:color w:val="000000"/>
                <w:spacing w:val="0"/>
                <w:sz w:val="28"/>
                <w:szCs w:val="28"/>
                <w:bdr w:val="none" w:color="auto" w:sz="0" w:space="0"/>
              </w:rPr>
              <w:t>0</w:t>
            </w:r>
          </w:p>
        </w:tc>
      </w:tr>
    </w:tbl>
    <w:p>
      <w:pPr>
        <w:pStyle w:val="2"/>
        <w:keepNext w:val="0"/>
        <w:keepLines w:val="0"/>
        <w:widowControl/>
        <w:suppressLineNumbers w:val="0"/>
        <w:shd w:val="clear" w:fill="FFFFFF"/>
        <w:spacing w:line="300" w:lineRule="atLeast"/>
        <w:ind w:left="0" w:firstLine="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000000"/>
          <w:spacing w:val="0"/>
          <w:sz w:val="28"/>
          <w:szCs w:val="28"/>
          <w:shd w:val="clear" w:fill="FFFFFF"/>
        </w:rPr>
        <w:t> </w:t>
      </w:r>
    </w:p>
    <w:p>
      <w:pPr>
        <w:pStyle w:val="2"/>
        <w:keepNext w:val="0"/>
        <w:keepLines w:val="0"/>
        <w:widowControl/>
        <w:suppressLineNumbers w:val="0"/>
        <w:shd w:val="clear" w:fill="FFFFFF"/>
        <w:spacing w:line="660" w:lineRule="atLeast"/>
        <w:ind w:left="0" w:firstLine="645"/>
        <w:jc w:val="both"/>
        <w:rPr>
          <w:rFonts w:hint="eastAsia" w:ascii="微软雅黑" w:hAnsi="微软雅黑" w:eastAsia="微软雅黑" w:cs="微软雅黑"/>
          <w:i w:val="0"/>
          <w:iCs w:val="0"/>
          <w:caps w:val="0"/>
          <w:color w:val="333333"/>
          <w:spacing w:val="0"/>
          <w:sz w:val="27"/>
          <w:szCs w:val="27"/>
        </w:rPr>
      </w:pPr>
      <w:r>
        <w:rPr>
          <w:rFonts w:hint="eastAsia" w:ascii="黑体" w:hAnsi="宋体" w:eastAsia="黑体" w:cs="黑体"/>
          <w:b w:val="0"/>
          <w:bCs w:val="0"/>
          <w:i w:val="0"/>
          <w:iCs w:val="0"/>
          <w:caps w:val="0"/>
          <w:color w:val="000000"/>
          <w:spacing w:val="0"/>
          <w:sz w:val="31"/>
          <w:szCs w:val="31"/>
          <w:shd w:val="clear" w:fill="FFFFFF"/>
        </w:rPr>
        <w:t>五、存在的主要问题及改进情况</w:t>
      </w:r>
    </w:p>
    <w:p>
      <w:pPr>
        <w:pStyle w:val="2"/>
        <w:keepNext w:val="0"/>
        <w:keepLines w:val="0"/>
        <w:widowControl/>
        <w:suppressLineNumbers w:val="0"/>
        <w:shd w:val="clear" w:fill="FFFFFF"/>
        <w:spacing w:line="660" w:lineRule="atLeast"/>
        <w:ind w:left="0" w:firstLine="645"/>
        <w:jc w:val="both"/>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b w:val="0"/>
          <w:bCs w:val="0"/>
          <w:i w:val="0"/>
          <w:iCs w:val="0"/>
          <w:caps w:val="0"/>
          <w:color w:val="333333"/>
          <w:spacing w:val="0"/>
          <w:sz w:val="31"/>
          <w:szCs w:val="31"/>
          <w:shd w:val="clear" w:fill="FFFFFF"/>
        </w:rPr>
        <w:t>1、</w:t>
      </w:r>
      <w:r>
        <w:rPr>
          <w:rFonts w:hint="eastAsia" w:ascii="仿宋_GB2312" w:hAnsi="微软雅黑" w:eastAsia="仿宋_GB2312" w:cs="仿宋_GB2312"/>
          <w:i w:val="0"/>
          <w:iCs w:val="0"/>
          <w:caps w:val="0"/>
          <w:color w:val="333333"/>
          <w:spacing w:val="0"/>
          <w:sz w:val="31"/>
          <w:szCs w:val="31"/>
          <w:shd w:val="clear" w:fill="FFFFFF"/>
        </w:rPr>
        <w:t>是个别科室对开展政府信息公开工作的重要性的认识有待进一步提高。</w:t>
      </w:r>
    </w:p>
    <w:p>
      <w:pPr>
        <w:pStyle w:val="2"/>
        <w:keepNext w:val="0"/>
        <w:keepLines w:val="0"/>
        <w:widowControl/>
        <w:suppressLineNumbers w:val="0"/>
        <w:shd w:val="clear" w:fill="FFFFFF"/>
        <w:spacing w:line="660" w:lineRule="atLeast"/>
        <w:ind w:left="0" w:firstLine="645"/>
        <w:jc w:val="both"/>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b w:val="0"/>
          <w:bCs w:val="0"/>
          <w:i w:val="0"/>
          <w:iCs w:val="0"/>
          <w:caps w:val="0"/>
          <w:color w:val="333333"/>
          <w:spacing w:val="0"/>
          <w:sz w:val="31"/>
          <w:szCs w:val="31"/>
          <w:shd w:val="clear" w:fill="FFFFFF"/>
        </w:rPr>
        <w:t>2.</w:t>
      </w:r>
      <w:r>
        <w:rPr>
          <w:rFonts w:hint="eastAsia" w:ascii="仿宋_GB2312" w:hAnsi="微软雅黑" w:eastAsia="仿宋_GB2312" w:cs="仿宋_GB2312"/>
          <w:i w:val="0"/>
          <w:iCs w:val="0"/>
          <w:caps w:val="0"/>
          <w:color w:val="333333"/>
          <w:spacing w:val="0"/>
          <w:sz w:val="31"/>
          <w:szCs w:val="31"/>
          <w:shd w:val="clear" w:fill="FFFFFF"/>
        </w:rPr>
        <w:t>信息公开实效有待提升。</w:t>
      </w:r>
      <w:r>
        <w:rPr>
          <w:rFonts w:hint="eastAsia" w:ascii="仿宋_GB2312" w:hAnsi="微软雅黑" w:eastAsia="仿宋_GB2312" w:cs="仿宋_GB2312"/>
          <w:b w:val="0"/>
          <w:bCs w:val="0"/>
          <w:i w:val="0"/>
          <w:iCs w:val="0"/>
          <w:caps w:val="0"/>
          <w:color w:val="333333"/>
          <w:spacing w:val="0"/>
          <w:sz w:val="31"/>
          <w:szCs w:val="31"/>
          <w:shd w:val="clear" w:fill="FFFFFF"/>
        </w:rPr>
        <w:t>由于日常事务性工作繁重、缺少固定专人抓政务公开建设，导致信息更新不及时、时效性不高、发布的信息种类相对单一等问题，相关配套制度还需进一步完善</w:t>
      </w:r>
    </w:p>
    <w:p>
      <w:pPr>
        <w:pStyle w:val="2"/>
        <w:keepNext w:val="0"/>
        <w:keepLines w:val="0"/>
        <w:widowControl/>
        <w:suppressLineNumbers w:val="0"/>
        <w:shd w:val="clear" w:fill="FFFFFF"/>
        <w:spacing w:line="660" w:lineRule="atLeast"/>
        <w:ind w:left="0" w:firstLine="645"/>
        <w:jc w:val="both"/>
        <w:rPr>
          <w:rFonts w:hint="eastAsia" w:ascii="微软雅黑" w:hAnsi="微软雅黑" w:eastAsia="微软雅黑" w:cs="微软雅黑"/>
          <w:i w:val="0"/>
          <w:iCs w:val="0"/>
          <w:caps w:val="0"/>
          <w:color w:val="333333"/>
          <w:spacing w:val="0"/>
          <w:sz w:val="27"/>
          <w:szCs w:val="27"/>
        </w:rPr>
      </w:pPr>
      <w:r>
        <w:rPr>
          <w:rFonts w:hint="eastAsia" w:ascii="黑体" w:hAnsi="宋体" w:eastAsia="黑体" w:cs="黑体"/>
          <w:b w:val="0"/>
          <w:bCs w:val="0"/>
          <w:i w:val="0"/>
          <w:iCs w:val="0"/>
          <w:caps w:val="0"/>
          <w:color w:val="000000"/>
          <w:spacing w:val="0"/>
          <w:sz w:val="31"/>
          <w:szCs w:val="31"/>
          <w:shd w:val="clear" w:fill="FFFFFF"/>
        </w:rPr>
        <w:t>六、其他需要报告的事项</w:t>
      </w:r>
    </w:p>
    <w:p>
      <w:pPr>
        <w:pStyle w:val="2"/>
        <w:keepNext w:val="0"/>
        <w:keepLines w:val="0"/>
        <w:widowControl/>
        <w:suppressLineNumbers w:val="0"/>
        <w:shd w:val="clear" w:fill="FFFFFF"/>
        <w:spacing w:line="495" w:lineRule="atLeast"/>
        <w:ind w:left="0" w:firstLine="645"/>
        <w:jc w:val="both"/>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b w:val="0"/>
          <w:bCs w:val="0"/>
          <w:i w:val="0"/>
          <w:iCs w:val="0"/>
          <w:caps w:val="0"/>
          <w:color w:val="333333"/>
          <w:spacing w:val="0"/>
          <w:sz w:val="31"/>
          <w:szCs w:val="31"/>
          <w:shd w:val="clear" w:fill="FFFFFF"/>
        </w:rPr>
        <w:t>1、依法申请公开政府信息的情况</w:t>
      </w:r>
    </w:p>
    <w:p>
      <w:pPr>
        <w:pStyle w:val="2"/>
        <w:keepNext w:val="0"/>
        <w:keepLines w:val="0"/>
        <w:widowControl/>
        <w:suppressLineNumbers w:val="0"/>
        <w:shd w:val="clear" w:fill="FFFFFF"/>
        <w:spacing w:line="495" w:lineRule="atLeast"/>
        <w:ind w:left="0" w:firstLine="645"/>
        <w:jc w:val="both"/>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b w:val="0"/>
          <w:bCs w:val="0"/>
          <w:i w:val="0"/>
          <w:iCs w:val="0"/>
          <w:caps w:val="0"/>
          <w:color w:val="333333"/>
          <w:spacing w:val="0"/>
          <w:sz w:val="31"/>
          <w:szCs w:val="31"/>
          <w:shd w:val="clear" w:fill="FFFFFF"/>
        </w:rPr>
        <w:t>2019年度我局没有依法申请公开的信息，未发生有关政务信息公开方面的申请行政复议、提高行政诉讼情况。</w:t>
      </w:r>
    </w:p>
    <w:p>
      <w:pPr>
        <w:pStyle w:val="2"/>
        <w:keepNext w:val="0"/>
        <w:keepLines w:val="0"/>
        <w:widowControl/>
        <w:suppressLineNumbers w:val="0"/>
        <w:shd w:val="clear" w:fill="FFFFFF"/>
        <w:spacing w:line="495" w:lineRule="atLeast"/>
        <w:ind w:left="0" w:firstLine="645"/>
        <w:jc w:val="both"/>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b w:val="0"/>
          <w:bCs w:val="0"/>
          <w:i w:val="0"/>
          <w:iCs w:val="0"/>
          <w:caps w:val="0"/>
          <w:color w:val="333333"/>
          <w:spacing w:val="0"/>
          <w:sz w:val="31"/>
          <w:szCs w:val="31"/>
          <w:shd w:val="clear" w:fill="FFFFFF"/>
        </w:rPr>
        <w:t>2、行政复议和行政诉讼的情况</w:t>
      </w:r>
    </w:p>
    <w:p>
      <w:pPr>
        <w:pStyle w:val="2"/>
        <w:keepNext w:val="0"/>
        <w:keepLines w:val="0"/>
        <w:widowControl/>
        <w:suppressLineNumbers w:val="0"/>
        <w:shd w:val="clear" w:fill="FFFFFF"/>
        <w:spacing w:line="495" w:lineRule="atLeast"/>
        <w:ind w:left="0" w:firstLine="645"/>
        <w:jc w:val="both"/>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b w:val="0"/>
          <w:bCs w:val="0"/>
          <w:i w:val="0"/>
          <w:iCs w:val="0"/>
          <w:caps w:val="0"/>
          <w:color w:val="333333"/>
          <w:spacing w:val="0"/>
          <w:sz w:val="31"/>
          <w:szCs w:val="31"/>
          <w:shd w:val="clear" w:fill="FFFFFF"/>
        </w:rPr>
        <w:t>全年未发生与区财政局有关的因政务信息公开申请行政复议、提起行政诉讼的案（事）件。</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632E3B"/>
    <w:rsid w:val="21632E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2021-05-19T02:49:00Z</dcterms:created>
  <dc:creator>七七八八</dc:creator>
  <cp:lastModifiedBy>七七八八</cp:lastModifiedBy>
  <dcterms:modified xsi:type="dcterms:W3CDTF">2021-05-19T02:50:58Z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8952FDE8970646589C89C60C2E48DBEC</vt:lpwstr>
  </property>
</Properties>
</file>