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经开区公安分局2021年政府信息公开</w:t>
      </w:r>
    </w:p>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经开区公安分局按照区委、区政府的工作部署，认真贯彻落实上级信息公开相关文件精神，进一步完善政府信息公开体制机制建设，规范公开内容，丰富公开形式，全面提升信息公开水平,不断推进政府信息公开工作深入开展。“淄博市公安局经开区分局”政府网站、微信公众号平安淄博经开等多种渠道，主动为市民提供公安政府信息公开服务。在推进政府信息公开制度的过程中，提高了工作效率和依法行政水平，方便了群众办事。</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年，经开区公安分局政府信息公开工作运行正常，政府信息公开咨询等工作均获得群众好评。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（一）主动公开政府信息情况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、主动公开政府信息数量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经开区公安分局进一步加大主动公开力度，努力提高公安工作透明度。其中淄博经济开发区政务公开网站，主动公开《政府信息公开条例》第二十条规定的法定主动公开内容：履职依据、机构职能、领导信息、会议公开、行政权力、财政资金、重点领域信息公开、业务动态、政务公开保障机制、警营开放日等各类信息</w:t>
      </w:r>
      <w:r>
        <w:rPr>
          <w:rFonts w:hint="default" w:ascii="Times New Roman" w:hAnsi="Times New Roman" w:eastAsia="仿宋_GB2312" w:cs="Times New Roman"/>
          <w:sz w:val="32"/>
          <w:szCs w:val="32"/>
        </w:rPr>
        <w:t>13</w:t>
      </w:r>
      <w:r>
        <w:rPr>
          <w:rFonts w:hint="eastAsia" w:ascii="仿宋_GB2312" w:hAnsi="仿宋_GB2312" w:eastAsia="仿宋_GB2312" w:cs="仿宋_GB2312"/>
          <w:sz w:val="32"/>
          <w:szCs w:val="32"/>
        </w:rPr>
        <w:t>条；微信公众号平安淄博经开粉丝数</w:t>
      </w:r>
      <w:r>
        <w:rPr>
          <w:rFonts w:hint="default" w:ascii="Times New Roman" w:hAnsi="Times New Roman" w:eastAsia="仿宋_GB2312" w:cs="Times New Roman"/>
          <w:sz w:val="32"/>
          <w:szCs w:val="32"/>
        </w:rPr>
        <w:t>0.6233</w:t>
      </w:r>
      <w:r>
        <w:rPr>
          <w:rFonts w:hint="eastAsia" w:ascii="仿宋_GB2312" w:hAnsi="仿宋_GB2312" w:eastAsia="仿宋_GB2312" w:cs="仿宋_GB2312"/>
          <w:sz w:val="32"/>
          <w:szCs w:val="32"/>
        </w:rPr>
        <w:t>万，发布“反电诈课堂”、“警方提示”等各类资讯</w:t>
      </w:r>
      <w:r>
        <w:rPr>
          <w:rFonts w:hint="default" w:ascii="Times New Roman" w:hAnsi="Times New Roman" w:eastAsia="仿宋_GB2312" w:cs="Times New Roman"/>
          <w:sz w:val="32"/>
          <w:szCs w:val="32"/>
        </w:rPr>
        <w:t>241</w:t>
      </w:r>
      <w:r>
        <w:rPr>
          <w:rFonts w:hint="eastAsia" w:ascii="仿宋_GB2312" w:hAnsi="仿宋_GB2312" w:eastAsia="仿宋_GB2312" w:cs="仿宋_GB2312"/>
          <w:sz w:val="32"/>
          <w:szCs w:val="32"/>
        </w:rPr>
        <w:t>余条，更好地服务了经开区群众；抖音号“平安淄博经开”粉丝数</w:t>
      </w:r>
      <w:r>
        <w:rPr>
          <w:rFonts w:hint="default" w:ascii="Times New Roman" w:hAnsi="Times New Roman" w:eastAsia="仿宋_GB2312" w:cs="Times New Roman"/>
          <w:sz w:val="32"/>
          <w:szCs w:val="32"/>
        </w:rPr>
        <w:t>1.7</w:t>
      </w:r>
      <w:r>
        <w:rPr>
          <w:rFonts w:hint="eastAsia" w:ascii="仿宋_GB2312" w:hAnsi="仿宋_GB2312" w:eastAsia="仿宋_GB2312" w:cs="仿宋_GB2312"/>
          <w:sz w:val="32"/>
          <w:szCs w:val="32"/>
        </w:rPr>
        <w:t>万,</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年共发布各类宣传视频</w:t>
      </w:r>
      <w:r>
        <w:rPr>
          <w:rFonts w:hint="default" w:ascii="Times New Roman" w:hAnsi="Times New Roman" w:eastAsia="仿宋_GB2312" w:cs="Times New Roman"/>
          <w:sz w:val="32"/>
          <w:szCs w:val="32"/>
        </w:rPr>
        <w:t>170</w:t>
      </w:r>
      <w:r>
        <w:rPr>
          <w:rFonts w:hint="eastAsia" w:ascii="仿宋_GB2312" w:hAnsi="仿宋_GB2312" w:eastAsia="仿宋_GB2312" w:cs="仿宋_GB2312"/>
          <w:sz w:val="32"/>
          <w:szCs w:val="32"/>
        </w:rPr>
        <w:t>条，最高阅读量超过</w:t>
      </w:r>
      <w:r>
        <w:rPr>
          <w:rFonts w:hint="default" w:ascii="Times New Roman" w:hAnsi="Times New Roman" w:eastAsia="仿宋_GB2312" w:cs="Times New Roman"/>
          <w:sz w:val="32"/>
          <w:szCs w:val="32"/>
        </w:rPr>
        <w:t>585</w:t>
      </w:r>
      <w:r>
        <w:rPr>
          <w:rFonts w:hint="eastAsia" w:ascii="仿宋_GB2312" w:hAnsi="仿宋_GB2312" w:eastAsia="仿宋_GB2312" w:cs="仿宋_GB2312"/>
          <w:sz w:val="32"/>
          <w:szCs w:val="32"/>
        </w:rPr>
        <w:t>万，全方位展现了经开公安工作。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、主要公开渠道</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经开区公安分局主动公开政府信息的渠道主要有：淄博经济开发区（http://www.zbjkq.gov.cn/gongkai/channel_c14261/），</w:t>
      </w:r>
      <w:r>
        <w:rPr>
          <w:rFonts w:hint="eastAsia" w:ascii="仿宋_GB2312" w:hAnsi="仿宋_GB2312" w:eastAsia="仿宋_GB2312" w:cs="仿宋_GB2312"/>
          <w:sz w:val="32"/>
          <w:szCs w:val="32"/>
        </w:rPr>
        <w:t>省市级各大新闻媒体，平安淄博警方微博、平安淄博经开微信公众号、平安淄博经开官方抖音号、平安淄博经开微信视频号等。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年，经开区公安分局在办理政府信息公开申请的过程中，严格执行“工作机构受理，业务部门承办，重大问题会商，法制部门合法性审查”的依申请公开工作程序，依法及时答复公众申请。</w:t>
      </w:r>
      <w:r>
        <w:rPr>
          <w:rFonts w:hint="default" w:ascii="Times New Roman" w:hAnsi="Times New Roman" w:eastAsia="楷体" w:cs="Times New Roman"/>
          <w:sz w:val="32"/>
          <w:szCs w:val="32"/>
        </w:rPr>
        <w:t>2021</w:t>
      </w:r>
      <w:r>
        <w:rPr>
          <w:rFonts w:hint="eastAsia" w:ascii="仿宋_GB2312" w:hAnsi="仿宋_GB2312" w:eastAsia="仿宋_GB2312" w:cs="仿宋_GB2312"/>
          <w:sz w:val="32"/>
          <w:szCs w:val="32"/>
        </w:rPr>
        <w:t>年，共收到政府信息公开申请</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件，全部按时办结。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组织领导情况。建立由局领导牵头，各有关业务部门领导参加的政府信息公开工作领导小组，办公室设在党建政务组。其他部门负责具体实施各项推进工作。政府信息公开办公室负责分局信息公开的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发布解读、回应社会关切以及互动交流情况。一是积极提供政府信息解读服务，在涉及到广大群众利益的规范性文件或便民措施出台时，为了便于群众理解，第一时间进行政策解读。二是及时更新《政府信息公开目录》、修改《政府信息公开指南》。对如何申请本局信息公开、信息公开领导机构、申请内容、申请和答复程序等进行了详细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（四）平台建设情况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年，进一步研究应用</w:t>
      </w:r>
      <w:r>
        <w:rPr>
          <w:rFonts w:hint="eastAsia" w:ascii="Times New Roman" w:hAnsi="Times New Roman" w:eastAsia="仿宋_GB2312" w:cs="Times New Roman"/>
          <w:sz w:val="32"/>
          <w:szCs w:val="32"/>
        </w:rPr>
        <w:t>2020</w:t>
      </w:r>
      <w:r>
        <w:rPr>
          <w:rFonts w:hint="eastAsia" w:ascii="仿宋_GB2312" w:hAnsi="仿宋_GB2312" w:eastAsia="仿宋_GB2312" w:cs="仿宋_GB2312"/>
          <w:sz w:val="32"/>
          <w:szCs w:val="32"/>
        </w:rPr>
        <w:t>年新改版的“融公开”新平台，熟练应用各更功能模块，丰富公开功能形式并将政府网站作为信息公开的主渠道，同时充分利用平安淄博经开微信公众号、平安淄博经开抖音等平台主动公开政府信息，更好的群众提供政府信息公开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领导。分局形成了各工作组各司其职，上下畅通的联络机制，更好地保障了政务公开信息及时有效发布。二是召开专题培训会议。为更好的贯彻执行区政府政务公开工作要求，进一步提高分局政务公开工作人员素质，分局各相关人员积极参加市局组织的政府信息公开专题培训会议，增强政务公开工作意识，总结经验，查缺补漏，不断增强工作能力与水平。三是充分发挥考核机制的督促作用。分局根据区政府政务公开工作考核要求，积极完善各类信息，提高政务公开信息发布的质量和时效，以压力促战力，以考核促落实。</w:t>
      </w:r>
    </w:p>
    <w:p>
      <w:pPr>
        <w:numPr>
          <w:numId w:val="0"/>
        </w:numPr>
        <w:ind w:leftChars="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4"/>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3053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0.4020</w:t>
            </w:r>
          </w:p>
        </w:tc>
      </w:tr>
    </w:tbl>
    <w:p>
      <w:pPr>
        <w:numPr>
          <w:numId w:val="0"/>
        </w:numPr>
        <w:ind w:leftChars="0"/>
        <w:jc w:val="left"/>
      </w:pPr>
      <w:r>
        <w:rPr>
          <w:rFonts w:hint="eastAsia" w:ascii="黑体" w:hAnsi="黑体" w:eastAsia="黑体" w:cs="黑体"/>
          <w:b w:val="0"/>
          <w:bCs w:val="0"/>
          <w:sz w:val="32"/>
          <w:szCs w:val="32"/>
          <w:lang w:val="en-US" w:eastAsia="zh-CN"/>
        </w:rPr>
        <w:t>三、收到和处理政府信息公开申请情况</w:t>
      </w:r>
    </w:p>
    <w:p/>
    <w:tbl>
      <w:tblPr>
        <w:tblStyle w:val="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2</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default"/>
                <w:sz w:val="18"/>
                <w:szCs w:val="18"/>
                <w:lang w:val="en-US" w:eastAsia="zh-CN"/>
              </w:rPr>
            </w:pPr>
            <w:r>
              <w:rPr>
                <w:rFonts w:hint="eastAsia"/>
                <w:sz w:val="18"/>
                <w:szCs w:val="18"/>
                <w:lang w:val="en-US" w:eastAsia="zh-CN"/>
              </w:rPr>
              <w:t>1</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default"/>
                <w:sz w:val="18"/>
                <w:szCs w:val="18"/>
                <w:lang w:val="en-US" w:eastAsia="zh-CN"/>
              </w:rPr>
            </w:pPr>
            <w:r>
              <w:rPr>
                <w:rFonts w:hint="eastAsia"/>
                <w:sz w:val="18"/>
                <w:szCs w:val="18"/>
                <w:lang w:val="en-US" w:eastAsia="zh-CN"/>
              </w:rPr>
              <w:t>1</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default"/>
                <w:sz w:val="18"/>
                <w:szCs w:val="18"/>
                <w:lang w:val="en-US" w:eastAsia="zh-CN"/>
              </w:rPr>
            </w:pPr>
            <w:r>
              <w:rPr>
                <w:rFonts w:hint="eastAsia"/>
                <w:sz w:val="18"/>
                <w:szCs w:val="18"/>
                <w:lang w:val="en-US" w:eastAsia="zh-CN"/>
              </w:rPr>
              <w:t>2</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sz w:val="18"/>
                <w:szCs w:val="18"/>
                <w:lang w:val="en-US" w:eastAsia="zh-CN"/>
              </w:rPr>
            </w:pP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4"/>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4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7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10"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58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0"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4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1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578"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88"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一是分局部分单位对政务公开工作不够重视，公开信息报送不够及时、主动；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二是主动公开的政府信息与公众的需求还存在一些距离，公开的数量需要进一步加强。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三是公安内容公布的局限性。公安工作信息内容敏感，而且大部分涉密，公开程度受限。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一是加强督察，保证信息公开及时准确。定期开展信息公开工作的检查、讲评，督促各科室及时报送、及时更新信息，保证公开信息的完整性、准确性和及时性。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强培训学习。进一步加强对政府信息公开工作的宣传力度和组织有关人员进行培训学习，继续深入学习《中华人民共和国政府信息公开条例》，加深干部职工对信息公开工作的认识，进一步提高政府信息公开工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三是建立健全长效工作机制。建立健全政府信息公开内容审查、更新维护、培训宣传等工作制度，确保政府信息公开工作深入、持续、高效地开展。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F3ED9"/>
    <w:rsid w:val="379F7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Calibri"/>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2022-01-26T08:00:33Z</dcterms:created>
  <dc:creator>Lenovo009</dc:creator>
  <cp:lastModifiedBy>一依</cp:lastModifiedBy>
  <dcterms:modified xsi:type="dcterms:W3CDTF">2022-01-26T09:22:40Z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A7BE51FB6B3B403881672511A838FD82</vt:lpwstr>
  </property>
</Properties>
</file>