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jc w:val="center"/>
        <w:textAlignment w:val="auto"/>
        <w:rPr>
          <w:rFonts w:hint="eastAsia" w:ascii="方正小标宋简体" w:hAnsi="微软雅黑" w:eastAsia="方正小标宋简体" w:cs="宋体"/>
          <w:color w:val="000000"/>
          <w:kern w:val="0"/>
          <w:sz w:val="44"/>
          <w:szCs w:val="44"/>
          <w:lang w:val="en-US" w:eastAsia="zh-CN"/>
        </w:rPr>
      </w:pPr>
      <w:r>
        <w:rPr>
          <w:rFonts w:hint="eastAsia" w:ascii="方正小标宋简体" w:hAnsi="微软雅黑" w:eastAsia="方正小标宋简体" w:cs="宋体"/>
          <w:color w:val="000000"/>
          <w:kern w:val="0"/>
          <w:sz w:val="44"/>
          <w:szCs w:val="44"/>
          <w:lang w:val="en-US" w:eastAsia="zh-CN"/>
        </w:rPr>
        <w:t>淄博经济开发区管理委员会建设局</w:t>
      </w:r>
    </w:p>
    <w:p>
      <w:pPr>
        <w:keepNext w:val="0"/>
        <w:keepLines w:val="0"/>
        <w:pageBreakBefore w:val="0"/>
        <w:widowControl/>
        <w:shd w:val="clear" w:color="auto" w:fill="FFFFFF"/>
        <w:kinsoku/>
        <w:wordWrap/>
        <w:overflowPunct/>
        <w:topLinePunct w:val="0"/>
        <w:autoSpaceDE/>
        <w:autoSpaceDN/>
        <w:bidi w:val="0"/>
        <w:adjustRightInd w:val="0"/>
        <w:snapToGrid w:val="0"/>
        <w:spacing w:line="240" w:lineRule="auto"/>
        <w:jc w:val="center"/>
        <w:textAlignment w:val="auto"/>
        <w:rPr>
          <w:rFonts w:ascii="微软雅黑" w:hAnsi="微软雅黑" w:eastAsia="微软雅黑" w:cs="宋体"/>
          <w:color w:val="000000"/>
          <w:kern w:val="0"/>
          <w:sz w:val="27"/>
          <w:szCs w:val="27"/>
        </w:rPr>
      </w:pPr>
      <w:r>
        <w:rPr>
          <w:rFonts w:hint="eastAsia" w:ascii="方正小标宋简体" w:hAnsi="微软雅黑" w:eastAsia="方正小标宋简体" w:cs="宋体"/>
          <w:color w:val="000000"/>
          <w:kern w:val="0"/>
          <w:sz w:val="44"/>
          <w:szCs w:val="44"/>
        </w:rPr>
        <w:t>2020年政府信息公开工作年度报告</w:t>
      </w:r>
    </w:p>
    <w:p>
      <w:pPr>
        <w:widowControl/>
        <w:numPr>
          <w:ilvl w:val="0"/>
          <w:numId w:val="0"/>
        </w:numPr>
        <w:shd w:val="clear" w:color="auto" w:fill="FFFFFF"/>
        <w:ind w:firstLine="640" w:firstLineChars="200"/>
        <w:jc w:val="left"/>
        <w:rPr>
          <w:rFonts w:hint="eastAsia" w:ascii="仿宋_GB2312" w:hAnsi="仿宋_GB2312" w:eastAsia="仿宋_GB2312" w:cs="仿宋_GB2312"/>
          <w:color w:val="C0504D" w:themeColor="accent2"/>
          <w:kern w:val="0"/>
          <w:sz w:val="32"/>
          <w:szCs w:val="32"/>
          <w14:textFill>
            <w14:solidFill>
              <w14:schemeClr w14:val="accent2"/>
            </w14:solidFill>
          </w14:textFill>
        </w:rPr>
      </w:pPr>
    </w:p>
    <w:p>
      <w:pPr>
        <w:widowControl/>
        <w:numPr>
          <w:ilvl w:val="0"/>
          <w:numId w:val="0"/>
        </w:numPr>
        <w:shd w:val="clear" w:color="auto" w:fill="FFFFFF"/>
        <w:ind w:firstLine="640" w:firstLineChars="200"/>
        <w:jc w:val="left"/>
        <w:rPr>
          <w:rFonts w:hint="eastAsia" w:ascii="宋体" w:hAnsi="宋体" w:eastAsia="宋体" w:cs="宋体"/>
          <w:color w:val="auto"/>
          <w:kern w:val="0"/>
          <w:sz w:val="32"/>
          <w:szCs w:val="32"/>
        </w:rPr>
      </w:pPr>
      <w:r>
        <w:rPr>
          <w:rFonts w:hint="eastAsia" w:ascii="仿宋_GB2312" w:hAnsi="仿宋_GB2312" w:eastAsia="仿宋_GB2312" w:cs="仿宋_GB2312"/>
          <w:color w:val="auto"/>
          <w:kern w:val="0"/>
          <w:sz w:val="32"/>
          <w:szCs w:val="32"/>
        </w:rPr>
        <w:t>报告是根据新修订的《中华人民共和国政府信息公开条例》、《国务院办公厅政府信息与政务公开办公室关于政府信息公开工作年度报告有关事项的通知》（国办公开办函〔2019〕60号）和省、市有关工作要求，编制并向社会公开。本报告全文包括2020年政府信息公开工作要点落实情况，主动公开政府信息情况及相关统计数据，依申请公开情况，政府信息公开行政复议、行政诉讼和投诉情况，以及上年度政府信息公开工作中存在的主要问题及改进措施等。本报告所列数据的统计时限自2020年1月1日至2020年12月31日。</w:t>
      </w:r>
    </w:p>
    <w:p>
      <w:pPr>
        <w:widowControl/>
        <w:numPr>
          <w:ilvl w:val="0"/>
          <w:numId w:val="1"/>
        </w:numPr>
        <w:shd w:val="clear" w:color="auto" w:fill="FFFFFF"/>
        <w:ind w:firstLine="640" w:firstLineChars="20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总体情况</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b w:val="0"/>
          <w:i w:val="0"/>
          <w:caps w:val="0"/>
          <w:color w:val="auto"/>
          <w:spacing w:val="0"/>
          <w:sz w:val="32"/>
          <w:szCs w:val="32"/>
          <w:shd w:val="clear" w:fill="FFFFFF"/>
        </w:rPr>
      </w:pPr>
      <w:r>
        <w:rPr>
          <w:rFonts w:ascii="仿宋_GB2312" w:hAnsi="宋体" w:eastAsia="仿宋_GB2312" w:cs="仿宋_GB2312"/>
          <w:b w:val="0"/>
          <w:i w:val="0"/>
          <w:caps w:val="0"/>
          <w:color w:val="auto"/>
          <w:spacing w:val="0"/>
          <w:sz w:val="32"/>
          <w:szCs w:val="32"/>
          <w:shd w:val="clear" w:fill="FFFFFF"/>
        </w:rPr>
        <w:t>2020年，</w:t>
      </w:r>
      <w:r>
        <w:rPr>
          <w:rFonts w:hint="eastAsia" w:ascii="仿宋_GB2312" w:hAnsi="宋体" w:eastAsia="仿宋_GB2312" w:cs="仿宋_GB2312"/>
          <w:b w:val="0"/>
          <w:i w:val="0"/>
          <w:caps w:val="0"/>
          <w:color w:val="auto"/>
          <w:spacing w:val="0"/>
          <w:sz w:val="32"/>
          <w:szCs w:val="32"/>
          <w:shd w:val="clear" w:fill="FFFFFF"/>
          <w:lang w:val="en-US" w:eastAsia="zh-CN"/>
        </w:rPr>
        <w:t>经开区建设局</w:t>
      </w:r>
      <w:r>
        <w:rPr>
          <w:rFonts w:ascii="仿宋_GB2312" w:hAnsi="宋体" w:eastAsia="仿宋_GB2312" w:cs="仿宋_GB2312"/>
          <w:b w:val="0"/>
          <w:i w:val="0"/>
          <w:caps w:val="0"/>
          <w:color w:val="auto"/>
          <w:spacing w:val="0"/>
          <w:sz w:val="32"/>
          <w:szCs w:val="32"/>
          <w:shd w:val="clear" w:fill="FFFFFF"/>
        </w:rPr>
        <w:t>深入贯彻《中华人民共和国政府信息公开条例》，进一步加强组织领导，明确责任分工，细化分解任务，加大督导力度，不断推进组织建设、平台建设、制度建设，信息公开工作的积极性、主动性不断提高，信息公开的广度和深度不断增强，工作透明度进一步提高，有效地保障了公民知情权，促进了政府公信力的提升。现将信息公开落实情况报告如下。</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b w:val="0"/>
          <w:i w:val="0"/>
          <w:caps w:val="0"/>
          <w:color w:val="auto"/>
          <w:spacing w:val="0"/>
          <w:sz w:val="32"/>
          <w:szCs w:val="32"/>
          <w:shd w:val="clear" w:fill="FFFFFF"/>
        </w:rPr>
      </w:pPr>
      <w:r>
        <w:rPr>
          <w:rFonts w:hint="eastAsia" w:ascii="楷体_GB2312" w:hAnsi="楷体_GB2312" w:eastAsia="楷体_GB2312" w:cs="楷体_GB2312"/>
          <w:b w:val="0"/>
          <w:i w:val="0"/>
          <w:caps w:val="0"/>
          <w:color w:val="auto"/>
          <w:spacing w:val="0"/>
          <w:sz w:val="32"/>
          <w:szCs w:val="32"/>
          <w:shd w:val="clear" w:fill="FFFFFF"/>
        </w:rPr>
        <w:t>（一）强化组织领导。</w:t>
      </w:r>
      <w:r>
        <w:rPr>
          <w:rFonts w:hint="eastAsia" w:ascii="仿宋_GB2312" w:hAnsi="宋体" w:eastAsia="仿宋_GB2312" w:cs="仿宋_GB2312"/>
          <w:b w:val="0"/>
          <w:i w:val="0"/>
          <w:caps w:val="0"/>
          <w:color w:val="auto"/>
          <w:spacing w:val="0"/>
          <w:sz w:val="32"/>
          <w:szCs w:val="32"/>
          <w:shd w:val="clear" w:fill="FFFFFF"/>
        </w:rPr>
        <w:t>为进一步深化和规范政府信息公开工作，由局分管负责人具体指导、监督全局信息公开工作，各</w:t>
      </w:r>
      <w:r>
        <w:rPr>
          <w:rFonts w:hint="eastAsia" w:ascii="仿宋_GB2312" w:hAnsi="宋体" w:eastAsia="仿宋_GB2312" w:cs="仿宋_GB2312"/>
          <w:b w:val="0"/>
          <w:i w:val="0"/>
          <w:caps w:val="0"/>
          <w:color w:val="auto"/>
          <w:spacing w:val="0"/>
          <w:sz w:val="32"/>
          <w:szCs w:val="32"/>
          <w:shd w:val="clear" w:fill="FFFFFF"/>
          <w:lang w:val="en-US" w:eastAsia="zh-CN"/>
        </w:rPr>
        <w:t>科室</w:t>
      </w:r>
      <w:r>
        <w:rPr>
          <w:rFonts w:hint="eastAsia" w:ascii="仿宋_GB2312" w:hAnsi="宋体" w:eastAsia="仿宋_GB2312" w:cs="仿宋_GB2312"/>
          <w:b w:val="0"/>
          <w:i w:val="0"/>
          <w:caps w:val="0"/>
          <w:color w:val="auto"/>
          <w:spacing w:val="0"/>
          <w:sz w:val="32"/>
          <w:szCs w:val="32"/>
          <w:shd w:val="clear" w:fill="FFFFFF"/>
        </w:rPr>
        <w:t>按职责要求分工落实政府信息公开各项工作，办公室负责政务公开日常工作。</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仿宋_GB2312"/>
          <w:b w:val="0"/>
          <w:i w:val="0"/>
          <w:caps w:val="0"/>
          <w:color w:val="auto"/>
          <w:spacing w:val="0"/>
          <w:sz w:val="32"/>
          <w:szCs w:val="32"/>
          <w:shd w:val="clear" w:fill="FFFFFF"/>
        </w:rPr>
      </w:pPr>
      <w:r>
        <w:rPr>
          <w:rFonts w:hint="eastAsia" w:ascii="楷体_GB2312" w:hAnsi="楷体_GB2312" w:eastAsia="楷体_GB2312" w:cs="楷体_GB2312"/>
          <w:b w:val="0"/>
          <w:i w:val="0"/>
          <w:caps w:val="0"/>
          <w:color w:val="auto"/>
          <w:spacing w:val="0"/>
          <w:sz w:val="32"/>
          <w:szCs w:val="32"/>
          <w:shd w:val="clear" w:fill="FFFFFF"/>
        </w:rPr>
        <w:t>（二）建立工作机制。</w:t>
      </w:r>
      <w:r>
        <w:rPr>
          <w:rFonts w:hint="eastAsia" w:ascii="仿宋_GB2312" w:hAnsi="宋体" w:eastAsia="仿宋_GB2312" w:cs="仿宋_GB2312"/>
          <w:b w:val="0"/>
          <w:i w:val="0"/>
          <w:caps w:val="0"/>
          <w:color w:val="auto"/>
          <w:spacing w:val="0"/>
          <w:sz w:val="32"/>
          <w:szCs w:val="32"/>
          <w:shd w:val="clear" w:fill="FFFFFF"/>
        </w:rPr>
        <w:t>进一步强化公开保密审查制度，严格执行“谁公开、谁审查、谁负责”、“一事一审”等保密审查规定，完善政府信息公开年度报告编制和公布制度。</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楷体_GB2312" w:hAnsi="楷体_GB2312" w:eastAsia="楷体_GB2312" w:cs="楷体_GB2312"/>
          <w:b w:val="0"/>
          <w:i w:val="0"/>
          <w:caps w:val="0"/>
          <w:color w:val="auto"/>
          <w:spacing w:val="0"/>
          <w:sz w:val="32"/>
          <w:szCs w:val="32"/>
          <w:shd w:val="clear" w:fill="FFFFFF"/>
        </w:rPr>
      </w:pPr>
      <w:r>
        <w:rPr>
          <w:rFonts w:hint="eastAsia" w:ascii="楷体_GB2312" w:hAnsi="楷体_GB2312" w:eastAsia="楷体_GB2312" w:cs="楷体_GB2312"/>
          <w:b w:val="0"/>
          <w:i w:val="0"/>
          <w:caps w:val="0"/>
          <w:color w:val="auto"/>
          <w:spacing w:val="0"/>
          <w:sz w:val="32"/>
          <w:szCs w:val="32"/>
          <w:shd w:val="clear" w:fill="FFFFFF"/>
        </w:rPr>
        <w:t>（三）主动公开政府信息情况</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仿宋_GB2312"/>
          <w:b w:val="0"/>
          <w:i w:val="0"/>
          <w:caps w:val="0"/>
          <w:color w:val="auto"/>
          <w:spacing w:val="0"/>
          <w:sz w:val="32"/>
          <w:szCs w:val="32"/>
          <w:highlight w:val="none"/>
          <w:shd w:val="clear" w:fill="FFFFFF"/>
        </w:rPr>
      </w:pPr>
      <w:r>
        <w:rPr>
          <w:rFonts w:hint="eastAsia" w:ascii="仿宋_GB2312" w:hAnsi="宋体" w:eastAsia="仿宋_GB2312" w:cs="仿宋_GB2312"/>
          <w:b w:val="0"/>
          <w:i w:val="0"/>
          <w:caps w:val="0"/>
          <w:color w:val="auto"/>
          <w:spacing w:val="0"/>
          <w:sz w:val="32"/>
          <w:szCs w:val="32"/>
          <w:highlight w:val="none"/>
          <w:shd w:val="clear" w:fill="FFFFFF"/>
          <w:lang w:val="en-US" w:eastAsia="zh-CN"/>
        </w:rPr>
        <w:t>1.</w:t>
      </w:r>
      <w:r>
        <w:rPr>
          <w:rFonts w:hint="eastAsia" w:ascii="仿宋_GB2312" w:hAnsi="宋体" w:eastAsia="仿宋_GB2312" w:cs="仿宋_GB2312"/>
          <w:b w:val="0"/>
          <w:i w:val="0"/>
          <w:caps w:val="0"/>
          <w:color w:val="auto"/>
          <w:spacing w:val="0"/>
          <w:sz w:val="32"/>
          <w:szCs w:val="32"/>
          <w:highlight w:val="none"/>
          <w:shd w:val="clear" w:fill="FFFFFF"/>
        </w:rPr>
        <w:t>加强重点民生工作的公开力度。重点做好棚改、农村群众住房安全、农村公厕建设、旱厕管护等信息公开和工作宣传，深入细致做好群众工作，</w:t>
      </w:r>
      <w:r>
        <w:rPr>
          <w:rFonts w:hint="eastAsia" w:ascii="仿宋_GB2312" w:hAnsi="宋体" w:eastAsia="仿宋_GB2312" w:cs="仿宋_GB2312"/>
          <w:b w:val="0"/>
          <w:i w:val="0"/>
          <w:caps w:val="0"/>
          <w:color w:val="auto"/>
          <w:spacing w:val="0"/>
          <w:sz w:val="32"/>
          <w:szCs w:val="32"/>
          <w:highlight w:val="none"/>
          <w:shd w:val="clear" w:fill="FFFFFF"/>
          <w:lang w:val="en-US" w:eastAsia="zh-CN"/>
        </w:rPr>
        <w:t>及时在经开区网站、微信公众号等媒介公开相关信息。</w:t>
      </w:r>
      <w:r>
        <w:rPr>
          <w:rFonts w:hint="eastAsia" w:ascii="仿宋_GB2312" w:hAnsi="宋体" w:eastAsia="仿宋_GB2312" w:cs="仿宋_GB2312"/>
          <w:b w:val="0"/>
          <w:i w:val="0"/>
          <w:caps w:val="0"/>
          <w:color w:val="auto"/>
          <w:spacing w:val="0"/>
          <w:sz w:val="32"/>
          <w:szCs w:val="32"/>
          <w:highlight w:val="none"/>
          <w:shd w:val="clear" w:fill="FFFFFF"/>
        </w:rPr>
        <w:t>深入贯彻省、市精神，结合《淄博</w:t>
      </w:r>
      <w:r>
        <w:rPr>
          <w:rFonts w:hint="eastAsia" w:ascii="仿宋_GB2312" w:hAnsi="宋体" w:eastAsia="仿宋_GB2312" w:cs="仿宋_GB2312"/>
          <w:b w:val="0"/>
          <w:i w:val="0"/>
          <w:caps w:val="0"/>
          <w:color w:val="auto"/>
          <w:spacing w:val="0"/>
          <w:sz w:val="32"/>
          <w:szCs w:val="32"/>
          <w:highlight w:val="none"/>
          <w:shd w:val="clear" w:fill="FFFFFF"/>
          <w:lang w:val="en-US" w:eastAsia="zh-CN"/>
        </w:rPr>
        <w:t>经济开发区</w:t>
      </w:r>
      <w:r>
        <w:rPr>
          <w:rFonts w:hint="eastAsia" w:ascii="仿宋_GB2312" w:hAnsi="宋体" w:eastAsia="仿宋_GB2312" w:cs="仿宋_GB2312"/>
          <w:b w:val="0"/>
          <w:i w:val="0"/>
          <w:caps w:val="0"/>
          <w:color w:val="auto"/>
          <w:spacing w:val="0"/>
          <w:sz w:val="32"/>
          <w:szCs w:val="32"/>
          <w:highlight w:val="none"/>
          <w:shd w:val="clear" w:fill="FFFFFF"/>
        </w:rPr>
        <w:t>城市品质提升三年行动计划》，推进城市品质提升工作开展。2020年</w:t>
      </w:r>
      <w:r>
        <w:rPr>
          <w:rFonts w:hint="eastAsia" w:ascii="仿宋_GB2312" w:hAnsi="宋体" w:eastAsia="仿宋_GB2312" w:cs="仿宋_GB2312"/>
          <w:b w:val="0"/>
          <w:i w:val="0"/>
          <w:caps w:val="0"/>
          <w:color w:val="auto"/>
          <w:spacing w:val="0"/>
          <w:sz w:val="32"/>
          <w:szCs w:val="32"/>
          <w:highlight w:val="none"/>
          <w:shd w:val="clear" w:fill="FFFFFF"/>
          <w:lang w:val="en-US" w:eastAsia="zh-CN"/>
        </w:rPr>
        <w:t>经开区</w:t>
      </w:r>
      <w:r>
        <w:rPr>
          <w:rFonts w:hint="eastAsia" w:ascii="仿宋_GB2312" w:hAnsi="宋体" w:eastAsia="仿宋_GB2312" w:cs="仿宋_GB2312"/>
          <w:b w:val="0"/>
          <w:i w:val="0"/>
          <w:caps w:val="0"/>
          <w:color w:val="auto"/>
          <w:spacing w:val="0"/>
          <w:sz w:val="32"/>
          <w:szCs w:val="32"/>
          <w:highlight w:val="none"/>
          <w:shd w:val="clear" w:fill="FFFFFF"/>
        </w:rPr>
        <w:t>建设局交通管理方面共公示其他对外管理服务事项</w:t>
      </w:r>
      <w:r>
        <w:rPr>
          <w:rFonts w:hint="eastAsia" w:ascii="仿宋_GB2312" w:hAnsi="宋体" w:eastAsia="仿宋_GB2312" w:cs="仿宋_GB2312"/>
          <w:b w:val="0"/>
          <w:i w:val="0"/>
          <w:caps w:val="0"/>
          <w:color w:val="auto"/>
          <w:spacing w:val="0"/>
          <w:sz w:val="32"/>
          <w:szCs w:val="32"/>
          <w:highlight w:val="none"/>
          <w:shd w:val="clear" w:fill="FFFFFF"/>
          <w:lang w:val="en-US" w:eastAsia="zh-CN"/>
        </w:rPr>
        <w:t>2</w:t>
      </w:r>
      <w:r>
        <w:rPr>
          <w:rFonts w:hint="eastAsia" w:ascii="仿宋_GB2312" w:hAnsi="宋体" w:eastAsia="仿宋_GB2312" w:cs="仿宋_GB2312"/>
          <w:b w:val="0"/>
          <w:i w:val="0"/>
          <w:caps w:val="0"/>
          <w:color w:val="auto"/>
          <w:spacing w:val="0"/>
          <w:sz w:val="32"/>
          <w:szCs w:val="32"/>
          <w:highlight w:val="none"/>
          <w:shd w:val="clear" w:fill="FFFFFF"/>
        </w:rPr>
        <w:t>项，</w:t>
      </w:r>
      <w:r>
        <w:rPr>
          <w:rFonts w:hint="eastAsia" w:ascii="仿宋_GB2312" w:hAnsi="宋体" w:eastAsia="仿宋_GB2312" w:cs="仿宋_GB2312"/>
          <w:b w:val="0"/>
          <w:i w:val="0"/>
          <w:caps w:val="0"/>
          <w:color w:val="auto"/>
          <w:spacing w:val="0"/>
          <w:sz w:val="32"/>
          <w:szCs w:val="32"/>
          <w:highlight w:val="none"/>
          <w:shd w:val="clear" w:fill="FFFFFF"/>
          <w:lang w:eastAsia="zh-CN"/>
        </w:rPr>
        <w:t>《</w:t>
      </w:r>
      <w:r>
        <w:rPr>
          <w:rFonts w:hint="eastAsia" w:ascii="仿宋_GB2312" w:hAnsi="宋体" w:eastAsia="仿宋_GB2312" w:cs="仿宋_GB2312"/>
          <w:b w:val="0"/>
          <w:i w:val="0"/>
          <w:caps w:val="0"/>
          <w:color w:val="auto"/>
          <w:spacing w:val="0"/>
          <w:sz w:val="32"/>
          <w:szCs w:val="32"/>
          <w:highlight w:val="none"/>
          <w:shd w:val="clear" w:fill="FFFFFF"/>
          <w:lang w:val="en-US" w:eastAsia="zh-CN"/>
        </w:rPr>
        <w:t>淄博经济开发区限高限宽设施和检查卡点排查整治清单</w:t>
      </w:r>
      <w:r>
        <w:rPr>
          <w:rFonts w:hint="eastAsia" w:ascii="仿宋_GB2312" w:hAnsi="宋体" w:eastAsia="仿宋_GB2312" w:cs="仿宋_GB2312"/>
          <w:b w:val="0"/>
          <w:i w:val="0"/>
          <w:caps w:val="0"/>
          <w:color w:val="auto"/>
          <w:spacing w:val="0"/>
          <w:sz w:val="32"/>
          <w:szCs w:val="32"/>
          <w:highlight w:val="none"/>
          <w:shd w:val="clear" w:fill="FFFFFF"/>
          <w:lang w:eastAsia="zh-CN"/>
        </w:rPr>
        <w:t>》、《交通运输业务办理明白纸》。</w:t>
      </w:r>
      <w:r>
        <w:rPr>
          <w:rFonts w:hint="eastAsia" w:ascii="仿宋_GB2312" w:hAnsi="宋体" w:eastAsia="仿宋_GB2312" w:cs="仿宋_GB2312"/>
          <w:b w:val="0"/>
          <w:i w:val="0"/>
          <w:caps w:val="0"/>
          <w:color w:val="auto"/>
          <w:spacing w:val="0"/>
          <w:sz w:val="32"/>
          <w:szCs w:val="32"/>
          <w:highlight w:val="none"/>
          <w:shd w:val="clear" w:fill="FFFFFF"/>
        </w:rPr>
        <w:t>完成44家汽修企业的质量信誉考核工作，对新增企业进行实地检查共计44家次，办理车辆新增业务1028件，转户停运业务155件，审验业务586件，从业资格证报名25件，从业资格证审验0件，从业资格证换证3件，驾培业务审验64件。</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仿宋_GB2312"/>
          <w:b w:val="0"/>
          <w:i w:val="0"/>
          <w:caps w:val="0"/>
          <w:color w:val="auto"/>
          <w:spacing w:val="0"/>
          <w:sz w:val="32"/>
          <w:szCs w:val="32"/>
          <w:shd w:val="clear" w:fill="FFFFFF"/>
          <w:lang w:val="en-US" w:eastAsia="zh-CN"/>
        </w:rPr>
      </w:pPr>
      <w:r>
        <w:rPr>
          <w:rFonts w:hint="eastAsia" w:ascii="仿宋_GB2312" w:hAnsi="宋体" w:eastAsia="仿宋_GB2312" w:cs="仿宋_GB2312"/>
          <w:b w:val="0"/>
          <w:i w:val="0"/>
          <w:caps w:val="0"/>
          <w:color w:val="auto"/>
          <w:spacing w:val="0"/>
          <w:sz w:val="32"/>
          <w:szCs w:val="32"/>
          <w:shd w:val="clear" w:fill="FFFFFF"/>
          <w:lang w:val="en-US" w:eastAsia="zh-CN"/>
        </w:rPr>
        <w:t>2.推进行政权力公开透明运行。坚持依法行使权力，积极推进行政权力运行程序化和公开透明，确保严格依照法律规定的权限履职尽责。扎实开展建筑市场专项整治，针对全省建筑市场综合执法检查，对在建工程按照“双随机、一公开”方式检查，针对施工现场主要管理人员在岗履职情况、肢解发包、转包、违法分包、挂靠、出借资质、超越资质承揽业务等违法行为的检查。针对市场行为一系列隐患问题下整改通知单，整治期限到期复查。</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仿宋_GB2312"/>
          <w:b w:val="0"/>
          <w:i w:val="0"/>
          <w:caps w:val="0"/>
          <w:color w:val="auto"/>
          <w:spacing w:val="0"/>
          <w:sz w:val="32"/>
          <w:szCs w:val="32"/>
          <w:shd w:val="clear" w:fill="FFFFFF"/>
          <w:lang w:val="en-US" w:eastAsia="zh-CN"/>
        </w:rPr>
      </w:pPr>
      <w:r>
        <w:rPr>
          <w:rFonts w:hint="eastAsia" w:ascii="仿宋_GB2312" w:hAnsi="宋体" w:eastAsia="仿宋_GB2312" w:cs="仿宋_GB2312"/>
          <w:b w:val="0"/>
          <w:i w:val="0"/>
          <w:caps w:val="0"/>
          <w:color w:val="auto"/>
          <w:spacing w:val="0"/>
          <w:sz w:val="32"/>
          <w:szCs w:val="32"/>
          <w:shd w:val="clear" w:fill="FFFFFF"/>
          <w:lang w:val="en-US" w:eastAsia="zh-CN"/>
        </w:rPr>
        <w:t>3.全面公开公共租赁住房保障资格申请、公租房分配信息，加大公共租赁住房分配政策及实施情况公开力度。截止2020年底，取得住房保障资格家庭25户；所有公开信息通过淄博经济开发区官方网站通知公告专栏进行了公示。</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仿宋_GB2312"/>
          <w:b w:val="0"/>
          <w:i w:val="0"/>
          <w:caps w:val="0"/>
          <w:color w:val="auto"/>
          <w:spacing w:val="0"/>
          <w:sz w:val="32"/>
          <w:szCs w:val="32"/>
          <w:highlight w:val="none"/>
          <w:shd w:val="clear" w:fill="FFFFFF"/>
          <w:lang w:val="en-US" w:eastAsia="zh-CN"/>
        </w:rPr>
      </w:pPr>
      <w:r>
        <w:rPr>
          <w:rFonts w:hint="eastAsia" w:ascii="仿宋_GB2312" w:hAnsi="宋体" w:eastAsia="仿宋_GB2312" w:cs="仿宋_GB2312"/>
          <w:b w:val="0"/>
          <w:i w:val="0"/>
          <w:caps w:val="0"/>
          <w:color w:val="auto"/>
          <w:spacing w:val="0"/>
          <w:sz w:val="32"/>
          <w:szCs w:val="32"/>
          <w:shd w:val="clear" w:fill="FFFFFF"/>
          <w:lang w:val="en-US" w:eastAsia="zh-CN"/>
        </w:rPr>
        <w:t>4.突出抓好政府服务热线及信访维稳工作，充分利用12345政务服务热线这一大众平台，及时解决人民群众所反映的问题，并通过热线积极向广大人民群众宣传相关工作职责、工作信息，及时反馈相关信访案件进展情况，避免因工作信息不通畅造成不稳定因素的滋生、扩大，维护社会稳定。</w:t>
      </w:r>
      <w:r>
        <w:rPr>
          <w:rFonts w:hint="eastAsia" w:ascii="仿宋_GB2312" w:hAnsi="宋体" w:eastAsia="仿宋_GB2312" w:cs="仿宋_GB2312"/>
          <w:b w:val="0"/>
          <w:i w:val="0"/>
          <w:caps w:val="0"/>
          <w:color w:val="auto"/>
          <w:spacing w:val="0"/>
          <w:sz w:val="32"/>
          <w:szCs w:val="32"/>
          <w:highlight w:val="none"/>
          <w:shd w:val="clear" w:fill="FFFFFF"/>
          <w:lang w:val="en-US" w:eastAsia="zh-CN"/>
        </w:rPr>
        <w:t>截止12月底，累计受理区级以上各类信访投诉1596件，其中信访件9件，市民投诉件1576件，网站互动11件，平均每个工作日受理近6件。</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宋体" w:eastAsia="仿宋_GB2312" w:cs="仿宋_GB2312"/>
          <w:b w:val="0"/>
          <w:i w:val="0"/>
          <w:caps w:val="0"/>
          <w:color w:val="auto"/>
          <w:spacing w:val="0"/>
          <w:sz w:val="32"/>
          <w:szCs w:val="32"/>
          <w:shd w:val="clear" w:fill="FFFFFF"/>
          <w:lang w:val="en-US" w:eastAsia="zh-CN"/>
        </w:rPr>
      </w:pPr>
      <w:r>
        <w:rPr>
          <w:rFonts w:hint="eastAsia" w:ascii="仿宋_GB2312" w:hAnsi="宋体" w:eastAsia="仿宋_GB2312" w:cs="仿宋_GB2312"/>
          <w:b w:val="0"/>
          <w:i w:val="0"/>
          <w:caps w:val="0"/>
          <w:color w:val="auto"/>
          <w:spacing w:val="0"/>
          <w:sz w:val="32"/>
          <w:szCs w:val="32"/>
          <w:shd w:val="clear" w:fill="FFFFFF"/>
          <w:lang w:val="en-US" w:eastAsia="zh-CN"/>
        </w:rPr>
        <w:t>5.2020年，建设局共收到人大建议提案15件次，已按时回复办理，主要涉及</w:t>
      </w:r>
      <w:r>
        <w:rPr>
          <w:rFonts w:hint="eastAsia" w:ascii="仿宋" w:hAnsi="仿宋" w:eastAsia="仿宋"/>
          <w:sz w:val="32"/>
          <w:lang w:val="en-US" w:eastAsia="zh-CN"/>
        </w:rPr>
        <w:t>猪龙河西支进行提升改造、路网建设及配套设施建设</w:t>
      </w:r>
      <w:r>
        <w:rPr>
          <w:rFonts w:hint="eastAsia" w:ascii="仿宋_GB2312" w:hAnsi="宋体" w:eastAsia="仿宋_GB2312" w:cs="仿宋_GB2312"/>
          <w:b w:val="0"/>
          <w:i w:val="0"/>
          <w:caps w:val="0"/>
          <w:color w:val="auto"/>
          <w:spacing w:val="0"/>
          <w:sz w:val="32"/>
          <w:szCs w:val="32"/>
          <w:shd w:val="clear" w:fill="FFFFFF"/>
          <w:lang w:val="en-US" w:eastAsia="zh-CN"/>
        </w:rPr>
        <w:t>等问题。</w:t>
      </w:r>
    </w:p>
    <w:p>
      <w:pPr>
        <w:widowControl/>
        <w:shd w:val="clear" w:color="auto" w:fill="FFFFFF"/>
        <w:ind w:firstLine="640" w:firstLineChars="200"/>
        <w:jc w:val="left"/>
        <w:rPr>
          <w:rFonts w:ascii="微软雅黑" w:hAnsi="微软雅黑" w:eastAsia="微软雅黑" w:cs="宋体"/>
          <w:color w:val="000000"/>
          <w:kern w:val="0"/>
          <w:sz w:val="27"/>
          <w:szCs w:val="27"/>
        </w:rPr>
      </w:pPr>
      <w:r>
        <w:rPr>
          <w:rFonts w:hint="eastAsia" w:ascii="黑体" w:hAnsi="黑体" w:eastAsia="黑体" w:cs="宋体"/>
          <w:color w:val="000000"/>
          <w:kern w:val="0"/>
          <w:sz w:val="32"/>
          <w:szCs w:val="32"/>
        </w:rPr>
        <w:t>二、主动公开政府信息情况</w:t>
      </w:r>
    </w:p>
    <w:tbl>
      <w:tblPr>
        <w:tblStyle w:val="5"/>
        <w:tblW w:w="9957" w:type="dxa"/>
        <w:jc w:val="center"/>
        <w:tblLayout w:type="autofit"/>
        <w:tblCellMar>
          <w:top w:w="0" w:type="dxa"/>
          <w:left w:w="0" w:type="dxa"/>
          <w:bottom w:w="0" w:type="dxa"/>
          <w:right w:w="0" w:type="dxa"/>
        </w:tblCellMar>
      </w:tblPr>
      <w:tblGrid>
        <w:gridCol w:w="3207"/>
        <w:gridCol w:w="2649"/>
        <w:gridCol w:w="2709"/>
        <w:gridCol w:w="1392"/>
      </w:tblGrid>
      <w:tr>
        <w:tblPrEx>
          <w:tblCellMar>
            <w:top w:w="0" w:type="dxa"/>
            <w:left w:w="0" w:type="dxa"/>
            <w:bottom w:w="0" w:type="dxa"/>
            <w:right w:w="0" w:type="dxa"/>
          </w:tblCellMar>
        </w:tblPrEx>
        <w:trPr>
          <w:trHeight w:val="473" w:hRule="atLeast"/>
          <w:jc w:val="center"/>
        </w:trPr>
        <w:tc>
          <w:tcPr>
            <w:tcW w:w="9957"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第二十条第（一）项</w:t>
            </w:r>
          </w:p>
        </w:tc>
      </w:tr>
      <w:tr>
        <w:tblPrEx>
          <w:tblCellMar>
            <w:top w:w="0" w:type="dxa"/>
            <w:left w:w="0" w:type="dxa"/>
            <w:bottom w:w="0" w:type="dxa"/>
            <w:right w:w="0" w:type="dxa"/>
          </w:tblCellMar>
        </w:tblPrEx>
        <w:trPr>
          <w:trHeight w:val="550"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本年新制作数量</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本年新</w:t>
            </w:r>
          </w:p>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公开数量</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对外公开</w:t>
            </w:r>
          </w:p>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总数量</w:t>
            </w:r>
          </w:p>
        </w:tc>
      </w:tr>
      <w:tr>
        <w:tblPrEx>
          <w:tblCellMar>
            <w:top w:w="0" w:type="dxa"/>
            <w:left w:w="0" w:type="dxa"/>
            <w:bottom w:w="0" w:type="dxa"/>
            <w:right w:w="0" w:type="dxa"/>
          </w:tblCellMar>
        </w:tblPrEx>
        <w:trPr>
          <w:trHeight w:val="558"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规章</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553"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规范性文件</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539" w:hRule="atLeast"/>
          <w:jc w:val="center"/>
        </w:trPr>
        <w:tc>
          <w:tcPr>
            <w:tcW w:w="995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第二十条第（五）项</w:t>
            </w:r>
          </w:p>
        </w:tc>
      </w:tr>
      <w:tr>
        <w:tblPrEx>
          <w:tblCellMar>
            <w:top w:w="0" w:type="dxa"/>
            <w:left w:w="0" w:type="dxa"/>
            <w:bottom w:w="0" w:type="dxa"/>
            <w:right w:w="0" w:type="dxa"/>
          </w:tblCellMar>
        </w:tblPrEx>
        <w:trPr>
          <w:trHeight w:val="623"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上一年项目数量</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本年增</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减</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处理决定数量</w:t>
            </w:r>
          </w:p>
        </w:tc>
      </w:tr>
      <w:tr>
        <w:tblPrEx>
          <w:tblCellMar>
            <w:top w:w="0" w:type="dxa"/>
            <w:left w:w="0" w:type="dxa"/>
            <w:bottom w:w="0" w:type="dxa"/>
            <w:right w:w="0" w:type="dxa"/>
          </w:tblCellMar>
        </w:tblPrEx>
        <w:trPr>
          <w:trHeight w:val="544"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行政许可</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323</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default"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eastAsia="zh-CN"/>
              </w:rPr>
              <w:t>-156</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167</w:t>
            </w:r>
          </w:p>
        </w:tc>
      </w:tr>
      <w:tr>
        <w:tblPrEx>
          <w:tblCellMar>
            <w:top w:w="0" w:type="dxa"/>
            <w:left w:w="0" w:type="dxa"/>
            <w:bottom w:w="0" w:type="dxa"/>
            <w:right w:w="0" w:type="dxa"/>
          </w:tblCellMar>
        </w:tblPrEx>
        <w:trPr>
          <w:trHeight w:val="536"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其他对外管理服务事项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5</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1141</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1146</w:t>
            </w:r>
          </w:p>
        </w:tc>
      </w:tr>
      <w:tr>
        <w:tblPrEx>
          <w:tblCellMar>
            <w:top w:w="0" w:type="dxa"/>
            <w:left w:w="0" w:type="dxa"/>
            <w:bottom w:w="0" w:type="dxa"/>
            <w:right w:w="0" w:type="dxa"/>
          </w:tblCellMar>
        </w:tblPrEx>
        <w:trPr>
          <w:trHeight w:val="408" w:hRule="atLeast"/>
          <w:jc w:val="center"/>
        </w:trPr>
        <w:tc>
          <w:tcPr>
            <w:tcW w:w="995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第二十条第（六）项</w:t>
            </w:r>
          </w:p>
        </w:tc>
      </w:tr>
      <w:tr>
        <w:tblPrEx>
          <w:tblCellMar>
            <w:top w:w="0" w:type="dxa"/>
            <w:left w:w="0" w:type="dxa"/>
            <w:bottom w:w="0" w:type="dxa"/>
            <w:right w:w="0" w:type="dxa"/>
          </w:tblCellMar>
        </w:tblPrEx>
        <w:trPr>
          <w:trHeight w:val="481"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上一年项目数量</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本年增</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减</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处理决定数量</w:t>
            </w:r>
          </w:p>
        </w:tc>
      </w:tr>
      <w:tr>
        <w:tblPrEx>
          <w:tblCellMar>
            <w:top w:w="0" w:type="dxa"/>
            <w:left w:w="0" w:type="dxa"/>
            <w:bottom w:w="0" w:type="dxa"/>
            <w:right w:w="0" w:type="dxa"/>
          </w:tblCellMar>
        </w:tblPrEx>
        <w:trPr>
          <w:trHeight w:val="429"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行政处罚</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57</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11</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68</w:t>
            </w:r>
          </w:p>
        </w:tc>
      </w:tr>
      <w:tr>
        <w:tblPrEx>
          <w:tblCellMar>
            <w:top w:w="0" w:type="dxa"/>
            <w:left w:w="0" w:type="dxa"/>
            <w:bottom w:w="0" w:type="dxa"/>
            <w:right w:w="0" w:type="dxa"/>
          </w:tblCellMar>
        </w:tblPrEx>
        <w:trPr>
          <w:trHeight w:val="429"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行政强制</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471" w:hRule="atLeast"/>
          <w:jc w:val="center"/>
        </w:trPr>
        <w:tc>
          <w:tcPr>
            <w:tcW w:w="995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第二十条第（八）项</w:t>
            </w:r>
          </w:p>
        </w:tc>
      </w:tr>
      <w:tr>
        <w:tblPrEx>
          <w:tblCellMar>
            <w:top w:w="0" w:type="dxa"/>
            <w:left w:w="0" w:type="dxa"/>
            <w:bottom w:w="0" w:type="dxa"/>
            <w:right w:w="0" w:type="dxa"/>
          </w:tblCellMar>
        </w:tblPrEx>
        <w:trPr>
          <w:trHeight w:val="497"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上一年项目数量</w:t>
            </w:r>
          </w:p>
        </w:tc>
        <w:tc>
          <w:tcPr>
            <w:tcW w:w="41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本年增</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减</w:t>
            </w:r>
          </w:p>
        </w:tc>
      </w:tr>
      <w:tr>
        <w:tblPrEx>
          <w:tblCellMar>
            <w:top w:w="0" w:type="dxa"/>
            <w:left w:w="0" w:type="dxa"/>
            <w:bottom w:w="0" w:type="dxa"/>
            <w:right w:w="0" w:type="dxa"/>
          </w:tblCellMar>
        </w:tblPrEx>
        <w:trPr>
          <w:trHeight w:val="497"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行政事业性收费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8</w:t>
            </w:r>
          </w:p>
        </w:tc>
        <w:tc>
          <w:tcPr>
            <w:tcW w:w="41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-5</w:t>
            </w:r>
          </w:p>
        </w:tc>
      </w:tr>
      <w:tr>
        <w:tblPrEx>
          <w:tblCellMar>
            <w:top w:w="0" w:type="dxa"/>
            <w:left w:w="0" w:type="dxa"/>
            <w:bottom w:w="0" w:type="dxa"/>
            <w:right w:w="0" w:type="dxa"/>
          </w:tblCellMar>
        </w:tblPrEx>
        <w:trPr>
          <w:trHeight w:val="487" w:hRule="atLeast"/>
          <w:jc w:val="center"/>
        </w:trPr>
        <w:tc>
          <w:tcPr>
            <w:tcW w:w="995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第二十条第（九）项</w:t>
            </w:r>
          </w:p>
        </w:tc>
      </w:tr>
      <w:tr>
        <w:tblPrEx>
          <w:tblCellMar>
            <w:top w:w="0" w:type="dxa"/>
            <w:left w:w="0" w:type="dxa"/>
            <w:bottom w:w="0" w:type="dxa"/>
            <w:right w:w="0" w:type="dxa"/>
          </w:tblCellMar>
        </w:tblPrEx>
        <w:trPr>
          <w:trHeight w:val="408"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采购项目数量</w:t>
            </w:r>
          </w:p>
        </w:tc>
        <w:tc>
          <w:tcPr>
            <w:tcW w:w="41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采购总金额</w:t>
            </w:r>
          </w:p>
        </w:tc>
      </w:tr>
      <w:tr>
        <w:tblPrEx>
          <w:tblCellMar>
            <w:top w:w="0" w:type="dxa"/>
            <w:left w:w="0" w:type="dxa"/>
            <w:bottom w:w="0" w:type="dxa"/>
            <w:right w:w="0" w:type="dxa"/>
          </w:tblCellMar>
        </w:tblPrEx>
        <w:trPr>
          <w:trHeight w:val="428"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政府集中采购</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w:t>
            </w:r>
          </w:p>
        </w:tc>
        <w:tc>
          <w:tcPr>
            <w:tcW w:w="41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0</w:t>
            </w:r>
            <w:r>
              <w:rPr>
                <w:rFonts w:hint="eastAsia" w:ascii="Times New Roman" w:hAnsi="Times New Roman" w:eastAsia="宋体" w:cs="Times New Roman"/>
                <w:kern w:val="0"/>
                <w:sz w:val="20"/>
                <w:szCs w:val="20"/>
              </w:rPr>
              <w:t>万</w:t>
            </w:r>
          </w:p>
        </w:tc>
      </w:tr>
    </w:tbl>
    <w:p>
      <w:pPr>
        <w:widowControl/>
        <w:shd w:val="clear" w:color="auto" w:fill="FFFFFF"/>
        <w:rPr>
          <w:rFonts w:hint="eastAsia" w:ascii="微软雅黑" w:hAnsi="微软雅黑" w:eastAsia="微软雅黑" w:cs="宋体"/>
          <w:color w:val="000000"/>
          <w:kern w:val="0"/>
          <w:sz w:val="27"/>
          <w:szCs w:val="27"/>
        </w:rPr>
      </w:pPr>
    </w:p>
    <w:p>
      <w:pPr>
        <w:widowControl/>
        <w:shd w:val="clear" w:color="auto" w:fill="FFFFFF"/>
        <w:ind w:firstLine="640" w:firstLineChars="200"/>
        <w:rPr>
          <w:rFonts w:hint="eastAsia" w:ascii="黑体" w:hAnsi="黑体" w:eastAsia="黑体" w:cs="宋体"/>
          <w:color w:val="000000"/>
          <w:kern w:val="0"/>
          <w:sz w:val="32"/>
          <w:szCs w:val="32"/>
        </w:rPr>
      </w:pPr>
    </w:p>
    <w:p>
      <w:pPr>
        <w:widowControl/>
        <w:shd w:val="clear" w:color="auto" w:fill="FFFFFF"/>
        <w:ind w:firstLine="640" w:firstLineChars="200"/>
        <w:rPr>
          <w:rFonts w:ascii="微软雅黑" w:hAnsi="微软雅黑" w:eastAsia="微软雅黑" w:cs="宋体"/>
          <w:color w:val="000000"/>
          <w:kern w:val="0"/>
          <w:sz w:val="27"/>
          <w:szCs w:val="27"/>
        </w:rPr>
      </w:pPr>
      <w:r>
        <w:rPr>
          <w:rFonts w:hint="eastAsia" w:ascii="黑体" w:hAnsi="黑体" w:eastAsia="黑体" w:cs="宋体"/>
          <w:color w:val="000000"/>
          <w:kern w:val="0"/>
          <w:sz w:val="32"/>
          <w:szCs w:val="32"/>
        </w:rPr>
        <w:t>三、收到和处理政府信息公开申请情况</w:t>
      </w:r>
    </w:p>
    <w:tbl>
      <w:tblPr>
        <w:tblStyle w:val="6"/>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709"/>
        <w:gridCol w:w="708"/>
        <w:gridCol w:w="709"/>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820" w:type="dxa"/>
            <w:gridSpan w:val="3"/>
            <w:vMerge w:val="restart"/>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（本列数据的勾稽关系为：第一项加第二项之和，等于第三项加第四项之和）</w:t>
            </w:r>
          </w:p>
        </w:tc>
        <w:tc>
          <w:tcPr>
            <w:tcW w:w="4961" w:type="dxa"/>
            <w:gridSpan w:val="7"/>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820" w:type="dxa"/>
            <w:gridSpan w:val="3"/>
            <w:vMerge w:val="continue"/>
          </w:tcPr>
          <w:p>
            <w:pPr>
              <w:rPr>
                <w:rFonts w:ascii="Times New Roman" w:hAnsi="Times New Roman" w:eastAsia="宋体" w:cs="Times New Roman"/>
                <w:kern w:val="0"/>
                <w:sz w:val="20"/>
                <w:szCs w:val="20"/>
              </w:rPr>
            </w:pPr>
          </w:p>
        </w:tc>
        <w:tc>
          <w:tcPr>
            <w:tcW w:w="567" w:type="dxa"/>
            <w:vMerge w:val="restart"/>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20"/>
                <w:szCs w:val="21"/>
              </w:rPr>
              <w:t>自然人</w:t>
            </w:r>
          </w:p>
        </w:tc>
        <w:tc>
          <w:tcPr>
            <w:tcW w:w="3544" w:type="dxa"/>
            <w:gridSpan w:val="5"/>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法人或其他组织</w:t>
            </w:r>
          </w:p>
        </w:tc>
        <w:tc>
          <w:tcPr>
            <w:tcW w:w="850" w:type="dxa"/>
            <w:vMerge w:val="restart"/>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820" w:type="dxa"/>
            <w:gridSpan w:val="3"/>
            <w:vMerge w:val="continue"/>
          </w:tcPr>
          <w:p>
            <w:pPr>
              <w:rPr>
                <w:rFonts w:ascii="Times New Roman" w:hAnsi="Times New Roman" w:eastAsia="宋体" w:cs="Times New Roman"/>
                <w:kern w:val="0"/>
                <w:sz w:val="20"/>
                <w:szCs w:val="20"/>
              </w:rPr>
            </w:pPr>
          </w:p>
        </w:tc>
        <w:tc>
          <w:tcPr>
            <w:tcW w:w="567" w:type="dxa"/>
            <w:vMerge w:val="continue"/>
          </w:tcPr>
          <w:p>
            <w:pPr>
              <w:rPr>
                <w:rFonts w:ascii="Times New Roman" w:hAnsi="Times New Roman" w:eastAsia="宋体" w:cs="Times New Roman"/>
                <w:kern w:val="0"/>
                <w:sz w:val="18"/>
                <w:szCs w:val="18"/>
              </w:rPr>
            </w:pP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商业企业</w:t>
            </w:r>
          </w:p>
        </w:tc>
        <w:tc>
          <w:tcPr>
            <w:tcW w:w="708"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科研机构</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社会公益组织</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法律服务机构</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w:t>
            </w:r>
          </w:p>
        </w:tc>
        <w:tc>
          <w:tcPr>
            <w:tcW w:w="850" w:type="dxa"/>
            <w:vMerge w:val="continue"/>
            <w:vAlign w:val="center"/>
          </w:tcPr>
          <w:p>
            <w:pP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20" w:type="dxa"/>
            <w:gridSpan w:val="3"/>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一、本年新收政府信息公开申请数量</w:t>
            </w:r>
          </w:p>
        </w:tc>
        <w:tc>
          <w:tcPr>
            <w:tcW w:w="567" w:type="dxa"/>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0</w:t>
            </w:r>
          </w:p>
        </w:tc>
        <w:tc>
          <w:tcPr>
            <w:tcW w:w="709" w:type="dxa"/>
            <w:vAlign w:val="center"/>
          </w:tcPr>
          <w:p>
            <w:pPr>
              <w:rPr>
                <w:rFonts w:ascii="Times New Roman" w:hAnsi="Times New Roman" w:eastAsia="宋体" w:cs="Times New Roman"/>
                <w:kern w:val="0"/>
                <w:sz w:val="20"/>
                <w:szCs w:val="21"/>
              </w:rPr>
            </w:pPr>
          </w:p>
        </w:tc>
        <w:tc>
          <w:tcPr>
            <w:tcW w:w="708" w:type="dxa"/>
            <w:vAlign w:val="center"/>
          </w:tcPr>
          <w:p>
            <w:pPr>
              <w:rPr>
                <w:rFonts w:ascii="Times New Roman" w:hAnsi="Times New Roman" w:eastAsia="宋体" w:cs="Times New Roman"/>
                <w:kern w:val="0"/>
                <w:sz w:val="20"/>
                <w:szCs w:val="21"/>
              </w:rPr>
            </w:pPr>
          </w:p>
        </w:tc>
        <w:tc>
          <w:tcPr>
            <w:tcW w:w="709" w:type="dxa"/>
            <w:vAlign w:val="center"/>
          </w:tcPr>
          <w:p>
            <w:pPr>
              <w:rPr>
                <w:rFonts w:ascii="Times New Roman" w:hAnsi="Times New Roman" w:eastAsia="宋体" w:cs="Times New Roman"/>
                <w:kern w:val="0"/>
                <w:sz w:val="20"/>
                <w:szCs w:val="21"/>
              </w:rPr>
            </w:pPr>
          </w:p>
        </w:tc>
        <w:tc>
          <w:tcPr>
            <w:tcW w:w="709" w:type="dxa"/>
            <w:vAlign w:val="center"/>
          </w:tcPr>
          <w:p>
            <w:pPr>
              <w:rPr>
                <w:rFonts w:ascii="Times New Roman" w:hAnsi="Times New Roman" w:eastAsia="宋体" w:cs="Times New Roman"/>
                <w:kern w:val="0"/>
                <w:sz w:val="20"/>
                <w:szCs w:val="21"/>
              </w:rPr>
            </w:pPr>
          </w:p>
        </w:tc>
        <w:tc>
          <w:tcPr>
            <w:tcW w:w="709" w:type="dxa"/>
            <w:vAlign w:val="center"/>
          </w:tcPr>
          <w:p>
            <w:pPr>
              <w:rPr>
                <w:rFonts w:ascii="Times New Roman" w:hAnsi="Times New Roman" w:eastAsia="宋体" w:cs="Times New Roman"/>
                <w:kern w:val="0"/>
                <w:sz w:val="20"/>
                <w:szCs w:val="21"/>
              </w:rPr>
            </w:pPr>
          </w:p>
        </w:tc>
        <w:tc>
          <w:tcPr>
            <w:tcW w:w="850" w:type="dxa"/>
            <w:vAlign w:val="center"/>
          </w:tcPr>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20" w:type="dxa"/>
            <w:gridSpan w:val="3"/>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二、上年结转政府信息公开申请数量</w:t>
            </w:r>
          </w:p>
        </w:tc>
        <w:tc>
          <w:tcPr>
            <w:tcW w:w="567"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restart"/>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三、本年度办理结果</w:t>
            </w:r>
          </w:p>
        </w:tc>
        <w:tc>
          <w:tcPr>
            <w:tcW w:w="4253" w:type="dxa"/>
            <w:gridSpan w:val="2"/>
          </w:tcPr>
          <w:p>
            <w:pPr>
              <w:rPr>
                <w:rFonts w:ascii="宋体" w:hAnsi="宋体" w:eastAsia="宋体" w:cs="Times New Roman"/>
                <w:kern w:val="0"/>
                <w:sz w:val="18"/>
                <w:szCs w:val="18"/>
              </w:rPr>
            </w:pPr>
            <w:r>
              <w:rPr>
                <w:rFonts w:hint="eastAsia" w:ascii="宋体" w:hAnsi="宋体" w:eastAsia="宋体" w:cs="Times New Roman"/>
                <w:kern w:val="0"/>
                <w:sz w:val="18"/>
                <w:szCs w:val="18"/>
              </w:rPr>
              <w:t>（一）予以公开</w:t>
            </w:r>
          </w:p>
        </w:tc>
        <w:tc>
          <w:tcPr>
            <w:tcW w:w="567" w:type="dxa"/>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0</w:t>
            </w: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ascii="Times New Roman" w:hAnsi="Times New Roman" w:eastAsia="宋体" w:cs="Times New Roman"/>
                <w:kern w:val="0"/>
                <w:sz w:val="20"/>
                <w:szCs w:val="20"/>
              </w:rPr>
            </w:pPr>
          </w:p>
        </w:tc>
        <w:tc>
          <w:tcPr>
            <w:tcW w:w="4253" w:type="dxa"/>
            <w:gridSpan w:val="2"/>
          </w:tcPr>
          <w:p>
            <w:pPr>
              <w:rPr>
                <w:rFonts w:ascii="宋体" w:hAnsi="宋体" w:eastAsia="宋体" w:cs="Times New Roman"/>
                <w:kern w:val="0"/>
                <w:sz w:val="18"/>
                <w:szCs w:val="18"/>
              </w:rPr>
            </w:pPr>
            <w:r>
              <w:rPr>
                <w:rFonts w:hint="eastAsia" w:ascii="宋体" w:hAnsi="宋体" w:eastAsia="宋体" w:cs="Times New Roman"/>
                <w:kern w:val="0"/>
                <w:sz w:val="18"/>
                <w:szCs w:val="18"/>
              </w:rPr>
              <w:t>（二）部分公开（区分处理的，只计这一情形，不计其他情形）</w:t>
            </w:r>
          </w:p>
        </w:tc>
        <w:tc>
          <w:tcPr>
            <w:tcW w:w="567"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67" w:type="dxa"/>
            <w:vMerge w:val="continue"/>
          </w:tcPr>
          <w:p>
            <w:pPr>
              <w:rPr>
                <w:rFonts w:ascii="Times New Roman" w:hAnsi="Times New Roman" w:eastAsia="宋体" w:cs="Times New Roman"/>
                <w:kern w:val="0"/>
                <w:sz w:val="20"/>
                <w:szCs w:val="20"/>
              </w:rPr>
            </w:pPr>
          </w:p>
        </w:tc>
        <w:tc>
          <w:tcPr>
            <w:tcW w:w="1560" w:type="dxa"/>
            <w:vMerge w:val="restart"/>
            <w:vAlign w:val="center"/>
          </w:tcPr>
          <w:p>
            <w:pPr>
              <w:rPr>
                <w:rFonts w:ascii="宋体" w:hAnsi="宋体" w:eastAsia="宋体" w:cs="Times New Roman"/>
                <w:kern w:val="0"/>
                <w:sz w:val="18"/>
                <w:szCs w:val="18"/>
              </w:rPr>
            </w:pPr>
            <w:r>
              <w:rPr>
                <w:rFonts w:hint="eastAsia" w:ascii="宋体" w:hAnsi="宋体" w:eastAsia="宋体" w:cs="Times New Roman"/>
                <w:kern w:val="0"/>
                <w:sz w:val="18"/>
                <w:szCs w:val="18"/>
              </w:rPr>
              <w:t>（三）不予公开</w:t>
            </w:r>
          </w:p>
        </w:tc>
        <w:tc>
          <w:tcPr>
            <w:tcW w:w="2693" w:type="dxa"/>
          </w:tcPr>
          <w:p>
            <w:pPr>
              <w:rPr>
                <w:rFonts w:ascii="宋体" w:hAnsi="宋体" w:eastAsia="宋体" w:cs="Times New Roman"/>
                <w:kern w:val="0"/>
                <w:sz w:val="18"/>
                <w:szCs w:val="18"/>
              </w:rPr>
            </w:pPr>
            <w:r>
              <w:rPr>
                <w:rFonts w:ascii="宋体" w:hAnsi="宋体" w:eastAsia="宋体" w:cs="Times New Roman"/>
                <w:kern w:val="0"/>
                <w:sz w:val="18"/>
                <w:szCs w:val="18"/>
              </w:rPr>
              <w:t>1</w:t>
            </w:r>
            <w:r>
              <w:rPr>
                <w:rFonts w:hint="eastAsia" w:ascii="宋体" w:hAnsi="宋体" w:eastAsia="宋体" w:cs="Times New Roman"/>
                <w:kern w:val="0"/>
                <w:sz w:val="18"/>
                <w:szCs w:val="18"/>
              </w:rPr>
              <w:t>．属于国家秘密</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宋体" w:hAnsi="宋体"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2．其他法律行政法规禁止公开</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3．危及“三安全一稳定”</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4．保护第三方合法权益</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5．属于三类内部事务信息</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6．属于四类过程性信息</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7．属于行政执法案卷</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8．属于行政查询事项</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67" w:type="dxa"/>
            <w:vMerge w:val="continue"/>
          </w:tcPr>
          <w:p>
            <w:pPr>
              <w:rPr>
                <w:rFonts w:ascii="Times New Roman" w:hAnsi="Times New Roman" w:eastAsia="宋体" w:cs="Times New Roman"/>
                <w:kern w:val="0"/>
                <w:sz w:val="20"/>
                <w:szCs w:val="20"/>
              </w:rPr>
            </w:pPr>
          </w:p>
        </w:tc>
        <w:tc>
          <w:tcPr>
            <w:tcW w:w="1560" w:type="dxa"/>
            <w:vMerge w:val="restart"/>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（四）无法提供</w:t>
            </w: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1．本机关不掌握相关政府信息</w:t>
            </w:r>
          </w:p>
        </w:tc>
        <w:tc>
          <w:tcPr>
            <w:tcW w:w="567"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2．没有现成信息需要另行制作</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3．补正后申请内容仍不明确</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67" w:type="dxa"/>
            <w:vMerge w:val="continue"/>
          </w:tcPr>
          <w:p>
            <w:pPr>
              <w:rPr>
                <w:rFonts w:ascii="Times New Roman" w:hAnsi="Times New Roman" w:eastAsia="宋体" w:cs="Times New Roman"/>
                <w:kern w:val="0"/>
                <w:sz w:val="20"/>
                <w:szCs w:val="20"/>
              </w:rPr>
            </w:pPr>
          </w:p>
        </w:tc>
        <w:tc>
          <w:tcPr>
            <w:tcW w:w="1560" w:type="dxa"/>
            <w:vMerge w:val="restart"/>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（五）</w:t>
            </w:r>
            <w:r>
              <w:rPr>
                <w:rFonts w:hint="eastAsia" w:ascii="宋体" w:hAnsi="宋体" w:eastAsia="宋体" w:cs="Times New Roman"/>
                <w:kern w:val="0"/>
                <w:sz w:val="18"/>
                <w:szCs w:val="18"/>
              </w:rPr>
              <w:t>不予处理</w:t>
            </w: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1．信访举报投诉类申请</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ascii="Times New Roman" w:hAnsi="Times New Roman" w:eastAsia="宋体" w:cs="Times New Roman"/>
                <w:kern w:val="0"/>
                <w:sz w:val="20"/>
                <w:szCs w:val="20"/>
              </w:rPr>
            </w:pPr>
          </w:p>
        </w:tc>
        <w:tc>
          <w:tcPr>
            <w:tcW w:w="1560" w:type="dxa"/>
            <w:vMerge w:val="continue"/>
          </w:tcPr>
          <w:p>
            <w:pPr>
              <w:rPr>
                <w:rFonts w:ascii="Times New Roman" w:hAnsi="Times New Roman" w:eastAsia="宋体" w:cs="Times New Roman"/>
                <w:kern w:val="0"/>
                <w:sz w:val="20"/>
                <w:szCs w:val="20"/>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2．重复申请</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tcPr>
          <w:p>
            <w:pPr>
              <w:rPr>
                <w:rFonts w:ascii="Times New Roman" w:hAnsi="Times New Roman" w:eastAsia="宋体" w:cs="Times New Roman"/>
                <w:kern w:val="0"/>
                <w:sz w:val="20"/>
                <w:szCs w:val="20"/>
              </w:rPr>
            </w:pPr>
          </w:p>
        </w:tc>
        <w:tc>
          <w:tcPr>
            <w:tcW w:w="2693" w:type="dxa"/>
          </w:tcPr>
          <w:p>
            <w:pPr>
              <w:rPr>
                <w:rFonts w:ascii="宋体" w:hAnsi="宋体" w:eastAsia="宋体" w:cs="Times New Roman"/>
                <w:kern w:val="0"/>
                <w:sz w:val="18"/>
                <w:szCs w:val="18"/>
              </w:rPr>
            </w:pPr>
            <w:r>
              <w:rPr>
                <w:rFonts w:ascii="宋体" w:hAnsi="宋体" w:eastAsia="宋体" w:cs="Times New Roman"/>
                <w:kern w:val="0"/>
                <w:sz w:val="18"/>
                <w:szCs w:val="18"/>
              </w:rPr>
              <w:t>3</w:t>
            </w:r>
            <w:r>
              <w:rPr>
                <w:rFonts w:hint="eastAsia" w:ascii="宋体" w:hAnsi="宋体" w:eastAsia="宋体" w:cs="Times New Roman"/>
                <w:kern w:val="0"/>
                <w:sz w:val="18"/>
                <w:szCs w:val="18"/>
              </w:rPr>
              <w:t>．要求提供公开出版物</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rFonts w:ascii="Times New Roman" w:hAnsi="Times New Roman" w:eastAsia="宋体" w:cs="Times New Roman"/>
                <w:kern w:val="0"/>
                <w:sz w:val="20"/>
                <w:szCs w:val="20"/>
              </w:rPr>
            </w:pPr>
          </w:p>
        </w:tc>
        <w:tc>
          <w:tcPr>
            <w:tcW w:w="1560" w:type="dxa"/>
            <w:vMerge w:val="continue"/>
          </w:tcPr>
          <w:p>
            <w:pPr>
              <w:rPr>
                <w:rFonts w:ascii="Times New Roman" w:hAnsi="Times New Roman" w:eastAsia="宋体" w:cs="Times New Roman"/>
                <w:kern w:val="0"/>
                <w:sz w:val="20"/>
                <w:szCs w:val="20"/>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4．无正当理由大量反复申请</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ascii="Times New Roman" w:hAnsi="Times New Roman" w:eastAsia="宋体" w:cs="Times New Roman"/>
                <w:kern w:val="0"/>
                <w:sz w:val="20"/>
                <w:szCs w:val="20"/>
              </w:rPr>
            </w:pPr>
          </w:p>
        </w:tc>
        <w:tc>
          <w:tcPr>
            <w:tcW w:w="1560" w:type="dxa"/>
            <w:vMerge w:val="continue"/>
          </w:tcPr>
          <w:p>
            <w:pPr>
              <w:rPr>
                <w:rFonts w:ascii="Times New Roman" w:hAnsi="Times New Roman" w:eastAsia="宋体" w:cs="Times New Roman"/>
                <w:kern w:val="0"/>
                <w:sz w:val="20"/>
                <w:szCs w:val="20"/>
              </w:rPr>
            </w:pPr>
          </w:p>
        </w:tc>
        <w:tc>
          <w:tcPr>
            <w:tcW w:w="2693" w:type="dxa"/>
          </w:tcPr>
          <w:p>
            <w:pPr>
              <w:ind w:left="180" w:hanging="180" w:hangingChars="100"/>
              <w:rPr>
                <w:rFonts w:ascii="宋体" w:hAnsi="宋体" w:eastAsia="宋体" w:cs="Times New Roman"/>
                <w:kern w:val="0"/>
                <w:sz w:val="18"/>
                <w:szCs w:val="18"/>
              </w:rPr>
            </w:pPr>
            <w:r>
              <w:rPr>
                <w:rFonts w:hint="eastAsia" w:ascii="宋体" w:hAnsi="宋体" w:eastAsia="宋体" w:cs="Times New Roman"/>
                <w:kern w:val="0"/>
                <w:sz w:val="18"/>
                <w:szCs w:val="18"/>
              </w:rPr>
              <w:t>5．要求行政机关确认或重新出具已获取信息</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67" w:type="dxa"/>
          </w:tcPr>
          <w:p>
            <w:pPr>
              <w:rPr>
                <w:rFonts w:ascii="Times New Roman" w:hAnsi="Times New Roman" w:eastAsia="宋体" w:cs="Times New Roman"/>
                <w:kern w:val="0"/>
                <w:sz w:val="20"/>
                <w:szCs w:val="20"/>
              </w:rPr>
            </w:pPr>
          </w:p>
        </w:tc>
        <w:tc>
          <w:tcPr>
            <w:tcW w:w="4253" w:type="dxa"/>
            <w:gridSpan w:val="2"/>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（六）其他处理</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tcPr>
          <w:p>
            <w:pPr>
              <w:rPr>
                <w:rFonts w:ascii="Times New Roman" w:hAnsi="Times New Roman" w:eastAsia="宋体" w:cs="Times New Roman"/>
                <w:kern w:val="0"/>
                <w:sz w:val="20"/>
                <w:szCs w:val="20"/>
              </w:rPr>
            </w:pPr>
          </w:p>
        </w:tc>
        <w:tc>
          <w:tcPr>
            <w:tcW w:w="4253" w:type="dxa"/>
            <w:gridSpan w:val="2"/>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（七）总计</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gridSpan w:val="3"/>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四、结转下年度继续办理</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bl>
    <w:p>
      <w:pPr>
        <w:keepNext w:val="0"/>
        <w:keepLines w:val="0"/>
        <w:pageBreakBefore w:val="0"/>
        <w:widowControl/>
        <w:shd w:val="clear" w:color="auto" w:fill="FFFFFF"/>
        <w:kinsoku/>
        <w:wordWrap/>
        <w:overflowPunct/>
        <w:topLinePunct w:val="0"/>
        <w:autoSpaceDE/>
        <w:autoSpaceDN/>
        <w:bidi w:val="0"/>
        <w:adjustRightInd w:val="0"/>
        <w:snapToGrid w:val="0"/>
        <w:ind w:firstLine="640" w:firstLineChars="200"/>
        <w:textAlignment w:val="auto"/>
        <w:rPr>
          <w:rFonts w:hint="eastAsia" w:ascii="黑体" w:hAnsi="黑体" w:eastAsia="黑体" w:cs="宋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ind w:firstLine="640" w:firstLineChars="200"/>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四．政府信息公开行政复议、行政诉讼情况</w:t>
      </w:r>
    </w:p>
    <w:tbl>
      <w:tblPr>
        <w:tblStyle w:val="6"/>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680"/>
        <w:gridCol w:w="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402" w:type="dxa"/>
            <w:gridSpan w:val="5"/>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行政复议</w:t>
            </w:r>
          </w:p>
        </w:tc>
        <w:tc>
          <w:tcPr>
            <w:tcW w:w="6804" w:type="dxa"/>
            <w:gridSpan w:val="10"/>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结果维持</w:t>
            </w:r>
          </w:p>
        </w:tc>
        <w:tc>
          <w:tcPr>
            <w:tcW w:w="708"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结果纠正</w:t>
            </w:r>
          </w:p>
        </w:tc>
        <w:tc>
          <w:tcPr>
            <w:tcW w:w="709"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其他结果</w:t>
            </w:r>
          </w:p>
        </w:tc>
        <w:tc>
          <w:tcPr>
            <w:tcW w:w="682"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尚未审结</w:t>
            </w:r>
          </w:p>
        </w:tc>
        <w:tc>
          <w:tcPr>
            <w:tcW w:w="594"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总计</w:t>
            </w:r>
          </w:p>
        </w:tc>
        <w:tc>
          <w:tcPr>
            <w:tcW w:w="3402" w:type="dxa"/>
            <w:gridSpan w:val="5"/>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未经复议直接起诉</w:t>
            </w:r>
          </w:p>
        </w:tc>
        <w:tc>
          <w:tcPr>
            <w:tcW w:w="3402" w:type="dxa"/>
            <w:gridSpan w:val="5"/>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jc w:val="center"/>
              <w:rPr>
                <w:rFonts w:ascii="Times New Roman" w:hAnsi="Times New Roman" w:eastAsia="宋体" w:cs="Times New Roman"/>
                <w:kern w:val="0"/>
                <w:sz w:val="18"/>
                <w:szCs w:val="18"/>
              </w:rPr>
            </w:pPr>
          </w:p>
        </w:tc>
        <w:tc>
          <w:tcPr>
            <w:tcW w:w="708" w:type="dxa"/>
            <w:vMerge w:val="continue"/>
            <w:vAlign w:val="center"/>
          </w:tcPr>
          <w:p>
            <w:pPr>
              <w:jc w:val="center"/>
              <w:rPr>
                <w:rFonts w:ascii="Times New Roman" w:hAnsi="Times New Roman" w:eastAsia="宋体" w:cs="Times New Roman"/>
                <w:kern w:val="0"/>
                <w:sz w:val="18"/>
                <w:szCs w:val="18"/>
              </w:rPr>
            </w:pPr>
          </w:p>
        </w:tc>
        <w:tc>
          <w:tcPr>
            <w:tcW w:w="709" w:type="dxa"/>
            <w:vMerge w:val="continue"/>
            <w:vAlign w:val="center"/>
          </w:tcPr>
          <w:p>
            <w:pPr>
              <w:jc w:val="center"/>
              <w:rPr>
                <w:rFonts w:ascii="Times New Roman" w:hAnsi="Times New Roman" w:eastAsia="宋体" w:cs="Times New Roman"/>
                <w:kern w:val="0"/>
                <w:sz w:val="18"/>
                <w:szCs w:val="18"/>
              </w:rPr>
            </w:pPr>
          </w:p>
        </w:tc>
        <w:tc>
          <w:tcPr>
            <w:tcW w:w="682" w:type="dxa"/>
            <w:vMerge w:val="continue"/>
            <w:vAlign w:val="center"/>
          </w:tcPr>
          <w:p>
            <w:pPr>
              <w:jc w:val="center"/>
              <w:rPr>
                <w:rFonts w:ascii="Times New Roman" w:hAnsi="Times New Roman" w:eastAsia="宋体" w:cs="Times New Roman"/>
                <w:kern w:val="0"/>
                <w:sz w:val="20"/>
                <w:szCs w:val="21"/>
              </w:rPr>
            </w:pPr>
          </w:p>
        </w:tc>
        <w:tc>
          <w:tcPr>
            <w:tcW w:w="594" w:type="dxa"/>
            <w:vMerge w:val="continue"/>
            <w:vAlign w:val="center"/>
          </w:tcPr>
          <w:p>
            <w:pPr>
              <w:jc w:val="center"/>
              <w:rPr>
                <w:rFonts w:ascii="Times New Roman" w:hAnsi="Times New Roman" w:eastAsia="宋体" w:cs="Times New Roman"/>
                <w:kern w:val="0"/>
                <w:sz w:val="20"/>
                <w:szCs w:val="21"/>
              </w:rPr>
            </w:pPr>
          </w:p>
        </w:tc>
        <w:tc>
          <w:tcPr>
            <w:tcW w:w="709"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结果维持</w:t>
            </w:r>
          </w:p>
        </w:tc>
        <w:tc>
          <w:tcPr>
            <w:tcW w:w="709"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结果纠正</w:t>
            </w:r>
          </w:p>
        </w:tc>
        <w:tc>
          <w:tcPr>
            <w:tcW w:w="709"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其他结果</w:t>
            </w:r>
          </w:p>
        </w:tc>
        <w:tc>
          <w:tcPr>
            <w:tcW w:w="708"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尚未审结</w:t>
            </w:r>
          </w:p>
        </w:tc>
        <w:tc>
          <w:tcPr>
            <w:tcW w:w="567"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总计</w:t>
            </w:r>
          </w:p>
        </w:tc>
        <w:tc>
          <w:tcPr>
            <w:tcW w:w="851"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结果维持</w:t>
            </w:r>
          </w:p>
        </w:tc>
        <w:tc>
          <w:tcPr>
            <w:tcW w:w="650"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结果纠正</w:t>
            </w:r>
          </w:p>
        </w:tc>
        <w:tc>
          <w:tcPr>
            <w:tcW w:w="767"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其他结果</w:t>
            </w:r>
          </w:p>
        </w:tc>
        <w:tc>
          <w:tcPr>
            <w:tcW w:w="680"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尚未审结</w:t>
            </w:r>
          </w:p>
        </w:tc>
        <w:tc>
          <w:tcPr>
            <w:tcW w:w="454"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9" w:type="dxa"/>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w:t>
            </w:r>
          </w:p>
        </w:tc>
        <w:tc>
          <w:tcPr>
            <w:tcW w:w="708" w:type="dxa"/>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w:t>
            </w:r>
          </w:p>
        </w:tc>
        <w:tc>
          <w:tcPr>
            <w:tcW w:w="709" w:type="dxa"/>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w:t>
            </w:r>
          </w:p>
        </w:tc>
        <w:tc>
          <w:tcPr>
            <w:tcW w:w="682"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594"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709" w:type="dxa"/>
            <w:vAlign w:val="center"/>
          </w:tcPr>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0</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708"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567" w:type="dxa"/>
            <w:vAlign w:val="center"/>
          </w:tcPr>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0</w:t>
            </w:r>
          </w:p>
        </w:tc>
        <w:tc>
          <w:tcPr>
            <w:tcW w:w="851"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650"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767"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680"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454"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r>
    </w:tbl>
    <w:p>
      <w:pPr>
        <w:widowControl/>
        <w:shd w:val="clear" w:color="auto" w:fill="FFFFFF"/>
        <w:jc w:val="center"/>
        <w:rPr>
          <w:rFonts w:ascii="微软雅黑" w:hAnsi="微软雅黑" w:eastAsia="微软雅黑" w:cs="宋体"/>
          <w:color w:val="000000"/>
          <w:kern w:val="0"/>
          <w:sz w:val="27"/>
          <w:szCs w:val="27"/>
        </w:rPr>
      </w:pPr>
    </w:p>
    <w:p>
      <w:pPr>
        <w:widowControl/>
        <w:numPr>
          <w:ilvl w:val="0"/>
          <w:numId w:val="2"/>
        </w:numPr>
        <w:shd w:val="clear" w:color="auto" w:fill="FFFFFF"/>
        <w:ind w:firstLine="640" w:firstLineChars="20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存在的主要问题及改进情况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2020年，我局政府信息公开工作虽取得了新的进展，但也还存在一些问题：如，部分栏目内容不够丰富；信息更新还不够及时高效；推动政务公开和政府信息公开的力度不够；公开内容不具体，重点不突出；公开形式的便民性不足、覆盖面不广；信息发布的积极性和主动性不够等。结合以上不足，我局将采取以下措施完善信息公开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一是提高站位，深化认识。将政府信息公开工作作为一项</w:t>
      </w:r>
      <w:r>
        <w:rPr>
          <w:rFonts w:hint="eastAsia" w:ascii="仿宋_GB2312" w:hAnsi="仿宋_GB2312" w:eastAsia="仿宋_GB2312" w:cs="仿宋_GB2312"/>
          <w:i w:val="0"/>
          <w:caps w:val="0"/>
          <w:color w:val="auto"/>
          <w:spacing w:val="0"/>
          <w:sz w:val="32"/>
          <w:szCs w:val="32"/>
          <w:shd w:val="clear" w:fill="FFFFFF"/>
          <w:lang w:val="en-US" w:eastAsia="zh-CN"/>
        </w:rPr>
        <w:t>常态化</w:t>
      </w:r>
      <w:r>
        <w:rPr>
          <w:rFonts w:hint="eastAsia" w:ascii="仿宋_GB2312" w:hAnsi="仿宋_GB2312" w:eastAsia="仿宋_GB2312" w:cs="仿宋_GB2312"/>
          <w:i w:val="0"/>
          <w:caps w:val="0"/>
          <w:color w:val="auto"/>
          <w:spacing w:val="0"/>
          <w:sz w:val="32"/>
          <w:szCs w:val="32"/>
          <w:shd w:val="clear" w:fill="FFFFFF"/>
        </w:rPr>
        <w:t>工作，严格按照区</w:t>
      </w:r>
      <w:r>
        <w:rPr>
          <w:rFonts w:hint="eastAsia" w:ascii="仿宋_GB2312" w:hAnsi="仿宋_GB2312" w:eastAsia="仿宋_GB2312" w:cs="仿宋_GB2312"/>
          <w:i w:val="0"/>
          <w:caps w:val="0"/>
          <w:color w:val="auto"/>
          <w:spacing w:val="0"/>
          <w:sz w:val="32"/>
          <w:szCs w:val="32"/>
          <w:shd w:val="clear" w:fill="FFFFFF"/>
          <w:lang w:val="en-US" w:eastAsia="zh-CN"/>
        </w:rPr>
        <w:t>管委</w:t>
      </w:r>
      <w:r>
        <w:rPr>
          <w:rFonts w:hint="eastAsia" w:ascii="仿宋_GB2312" w:hAnsi="仿宋_GB2312" w:eastAsia="仿宋_GB2312" w:cs="仿宋_GB2312"/>
          <w:i w:val="0"/>
          <w:caps w:val="0"/>
          <w:color w:val="auto"/>
          <w:spacing w:val="0"/>
          <w:sz w:val="32"/>
          <w:szCs w:val="32"/>
          <w:shd w:val="clear" w:fill="FFFFFF"/>
        </w:rPr>
        <w:t>工作要求，进一步统一思想，深化认识，确保组织到位、措施到位、责任到位。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二是加强宣传，营造氛围。在保证网络公开为主的前提下，进一步加大报刊、广播、电视等传统媒体的推介力度，提高公众对政务信息公开的知晓率和参与度，扩大信息覆盖面。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三是规范程序，严格发布。严格规范信息的收集、编制、审查、发布、监管等各环节程序，明确有关信息发布的职责分工，加强监督管理，并建立健全考核制度和责任追究制度，避免互相推诿、遗漏信息等情况的发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宋体"/>
          <w:color w:val="000000"/>
          <w:kern w:val="0"/>
          <w:sz w:val="32"/>
          <w:szCs w:val="32"/>
        </w:rPr>
      </w:pPr>
      <w:r>
        <w:rPr>
          <w:rFonts w:hint="eastAsia" w:ascii="仿宋_GB2312" w:hAnsi="仿宋_GB2312" w:eastAsia="仿宋_GB2312" w:cs="仿宋_GB2312"/>
          <w:i w:val="0"/>
          <w:caps w:val="0"/>
          <w:color w:val="auto"/>
          <w:spacing w:val="0"/>
          <w:sz w:val="32"/>
          <w:szCs w:val="32"/>
          <w:shd w:val="clear" w:fill="FFFFFF"/>
        </w:rPr>
        <w:t>四是加大培训，提升质量。加大教育培训力度，使</w:t>
      </w:r>
      <w:r>
        <w:rPr>
          <w:rFonts w:hint="eastAsia" w:ascii="仿宋_GB2312" w:hAnsi="仿宋_GB2312" w:eastAsia="仿宋_GB2312" w:cs="仿宋_GB2312"/>
          <w:i w:val="0"/>
          <w:caps w:val="0"/>
          <w:color w:val="auto"/>
          <w:spacing w:val="0"/>
          <w:sz w:val="32"/>
          <w:szCs w:val="32"/>
          <w:shd w:val="clear" w:fill="FFFFFF"/>
          <w:lang w:val="en-US" w:eastAsia="zh-CN"/>
        </w:rPr>
        <w:t>全体人员</w:t>
      </w:r>
      <w:r>
        <w:rPr>
          <w:rFonts w:hint="eastAsia" w:ascii="仿宋_GB2312" w:hAnsi="仿宋_GB2312" w:eastAsia="仿宋_GB2312" w:cs="仿宋_GB2312"/>
          <w:i w:val="0"/>
          <w:caps w:val="0"/>
          <w:color w:val="auto"/>
          <w:spacing w:val="0"/>
          <w:sz w:val="32"/>
          <w:szCs w:val="32"/>
          <w:shd w:val="clear" w:fill="FFFFFF"/>
        </w:rPr>
        <w:t>在思想上充分重视信息公开，提高信息报送的积极性和主动性，提升信息质量。</w:t>
      </w:r>
    </w:p>
    <w:p>
      <w:pPr>
        <w:widowControl/>
        <w:shd w:val="clear" w:color="auto" w:fill="FFFFFF"/>
        <w:spacing w:line="560" w:lineRule="atLeast"/>
        <w:ind w:firstLine="640"/>
        <w:jc w:val="left"/>
        <w:rPr>
          <w:rFonts w:ascii="黑体" w:hAnsi="黑体" w:eastAsia="黑体" w:cs="宋体"/>
          <w:color w:val="000000"/>
          <w:kern w:val="0"/>
          <w:sz w:val="27"/>
          <w:szCs w:val="27"/>
        </w:rPr>
      </w:pPr>
      <w:r>
        <w:rPr>
          <w:rFonts w:hint="eastAsia" w:ascii="黑体" w:hAnsi="黑体" w:eastAsia="黑体" w:cs="宋体"/>
          <w:color w:val="000000"/>
          <w:kern w:val="0"/>
          <w:sz w:val="32"/>
          <w:szCs w:val="32"/>
        </w:rPr>
        <w:t>六、需要报告的其他事项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无其他需要报告的事项。</w:t>
      </w:r>
    </w:p>
    <w:p>
      <w:pPr>
        <w:widowControl/>
        <w:shd w:val="clear" w:color="auto" w:fill="FFFFFF"/>
        <w:spacing w:line="560" w:lineRule="atLeast"/>
        <w:ind w:firstLine="640"/>
        <w:jc w:val="left"/>
        <w:rPr>
          <w:rFonts w:hint="eastAsia" w:ascii="黑体" w:hAnsi="黑体" w:eastAsia="黑体" w:cs="宋体"/>
          <w:color w:val="000000"/>
          <w:kern w:val="0"/>
          <w:sz w:val="32"/>
          <w:szCs w:val="32"/>
          <w:lang w:val="en-US" w:eastAsia="zh-CN"/>
        </w:rPr>
      </w:pPr>
    </w:p>
    <w:p>
      <w:pPr>
        <w:widowControl/>
        <w:shd w:val="clear" w:color="auto" w:fill="FFFFFF"/>
        <w:spacing w:line="560" w:lineRule="atLeast"/>
        <w:ind w:firstLine="640"/>
        <w:jc w:val="left"/>
        <w:rPr>
          <w:rFonts w:hint="eastAsia" w:ascii="黑体" w:hAnsi="黑体" w:eastAsia="黑体" w:cs="宋体"/>
          <w:color w:val="000000"/>
          <w:kern w:val="0"/>
          <w:sz w:val="32"/>
          <w:szCs w:val="32"/>
          <w:lang w:val="en-US" w:eastAsia="zh-CN"/>
        </w:rPr>
      </w:pPr>
      <w:bookmarkStart w:id="0" w:name="_GoBack"/>
      <w:bookmarkEnd w:id="0"/>
      <w:r>
        <w:rPr>
          <w:rFonts w:hint="eastAsia" w:ascii="黑体" w:hAnsi="黑体" w:eastAsia="黑体" w:cs="宋体"/>
          <w:color w:val="000000"/>
          <w:kern w:val="0"/>
          <w:sz w:val="32"/>
          <w:szCs w:val="32"/>
          <w:lang w:val="en-US" w:eastAsia="zh-CN"/>
        </w:rPr>
        <w:t>附件：1、pdf</w:t>
      </w:r>
    </w:p>
    <w:p>
      <w:pPr>
        <w:widowControl/>
        <w:shd w:val="clear" w:color="auto" w:fill="FFFFFF"/>
        <w:spacing w:line="560" w:lineRule="atLeast"/>
        <w:ind w:firstLine="640"/>
        <w:jc w:val="left"/>
        <w:rPr>
          <w:rFonts w:hint="default"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val="en-US" w:eastAsia="zh-CN"/>
        </w:rPr>
        <w:t xml:space="preserve">      2、word</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p>
    <w:sectPr>
      <w:pgSz w:w="11906" w:h="16838"/>
      <w:pgMar w:top="2041" w:right="1531" w:bottom="164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36112"/>
    <w:multiLevelType w:val="singleLevel"/>
    <w:tmpl w:val="82936112"/>
    <w:lvl w:ilvl="0" w:tentative="0">
      <w:start w:val="5"/>
      <w:numFmt w:val="chineseCounting"/>
      <w:suff w:val="nothing"/>
      <w:lvlText w:val="%1、"/>
      <w:lvlJc w:val="left"/>
      <w:rPr>
        <w:rFonts w:hint="eastAsia"/>
      </w:rPr>
    </w:lvl>
  </w:abstractNum>
  <w:abstractNum w:abstractNumId="1">
    <w:nsid w:val="1F7DBC69"/>
    <w:multiLevelType w:val="singleLevel"/>
    <w:tmpl w:val="1F7DBC6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73E"/>
    <w:rsid w:val="000764B0"/>
    <w:rsid w:val="00316CC9"/>
    <w:rsid w:val="003C6013"/>
    <w:rsid w:val="004C253B"/>
    <w:rsid w:val="005D3B94"/>
    <w:rsid w:val="006255F1"/>
    <w:rsid w:val="009D2C05"/>
    <w:rsid w:val="009F4836"/>
    <w:rsid w:val="00AB573E"/>
    <w:rsid w:val="00BF6C0F"/>
    <w:rsid w:val="00F2364D"/>
    <w:rsid w:val="037B7621"/>
    <w:rsid w:val="067B1C78"/>
    <w:rsid w:val="099C531D"/>
    <w:rsid w:val="09BF6E2F"/>
    <w:rsid w:val="0C682768"/>
    <w:rsid w:val="0C8501DF"/>
    <w:rsid w:val="0E0F7505"/>
    <w:rsid w:val="10DC6305"/>
    <w:rsid w:val="110E5000"/>
    <w:rsid w:val="12907871"/>
    <w:rsid w:val="15435F5C"/>
    <w:rsid w:val="158C1FFF"/>
    <w:rsid w:val="15FB5074"/>
    <w:rsid w:val="162B547F"/>
    <w:rsid w:val="1906009F"/>
    <w:rsid w:val="1C352241"/>
    <w:rsid w:val="1CBB676A"/>
    <w:rsid w:val="1D1C2D6C"/>
    <w:rsid w:val="1F1B4982"/>
    <w:rsid w:val="216F68FC"/>
    <w:rsid w:val="29D72A0F"/>
    <w:rsid w:val="2BFE5564"/>
    <w:rsid w:val="32776151"/>
    <w:rsid w:val="32BA719A"/>
    <w:rsid w:val="33202B1B"/>
    <w:rsid w:val="3337695E"/>
    <w:rsid w:val="35EA21C8"/>
    <w:rsid w:val="371A67B7"/>
    <w:rsid w:val="373E3463"/>
    <w:rsid w:val="3A2A7172"/>
    <w:rsid w:val="40F159AC"/>
    <w:rsid w:val="437616D0"/>
    <w:rsid w:val="44A26E41"/>
    <w:rsid w:val="45284832"/>
    <w:rsid w:val="45B960E0"/>
    <w:rsid w:val="46DE51CC"/>
    <w:rsid w:val="48D243D7"/>
    <w:rsid w:val="49275931"/>
    <w:rsid w:val="495E038C"/>
    <w:rsid w:val="49FC7DD8"/>
    <w:rsid w:val="4C5532C3"/>
    <w:rsid w:val="4CEC2C0E"/>
    <w:rsid w:val="4D0B2B15"/>
    <w:rsid w:val="4D9C6AA7"/>
    <w:rsid w:val="4EB939D0"/>
    <w:rsid w:val="4F9247E9"/>
    <w:rsid w:val="5278583A"/>
    <w:rsid w:val="5356532B"/>
    <w:rsid w:val="570D3C2C"/>
    <w:rsid w:val="580012A9"/>
    <w:rsid w:val="5C4004D7"/>
    <w:rsid w:val="5E2709B8"/>
    <w:rsid w:val="5F4D2322"/>
    <w:rsid w:val="60B57952"/>
    <w:rsid w:val="61482C4B"/>
    <w:rsid w:val="615A161B"/>
    <w:rsid w:val="62590888"/>
    <w:rsid w:val="6303741C"/>
    <w:rsid w:val="690C4FDA"/>
    <w:rsid w:val="6B543D7A"/>
    <w:rsid w:val="6DDF08B9"/>
    <w:rsid w:val="6EF7575F"/>
    <w:rsid w:val="728447B7"/>
    <w:rsid w:val="775F796F"/>
    <w:rsid w:val="79621D29"/>
    <w:rsid w:val="7B0F784C"/>
    <w:rsid w:val="7CD84EB8"/>
    <w:rsid w:val="7E1B3714"/>
    <w:rsid w:val="7EB976D6"/>
    <w:rsid w:val="7FDE1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370</Words>
  <Characters>2113</Characters>
  <Lines>17</Lines>
  <Paragraphs>4</Paragraphs>
  <TotalTime>1</TotalTime>
  <ScaleCrop>false</ScaleCrop>
  <LinksUpToDate>false</LinksUpToDate>
  <CharactersWithSpaces>2479</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2021-01-26T00:33:00Z</dcterms:created>
  <dc:creator>Lenovo0001</dc:creator>
  <cp:lastModifiedBy>若若若若若</cp:lastModifiedBy>
  <dcterms:modified xsi:type="dcterms:W3CDTF">2021-05-21T01:42:03Z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