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after="100" w:line="560" w:lineRule="exact"/>
        <w:ind w:firstLine="0" w:firstLineChars="0"/>
        <w:jc w:val="center"/>
        <w:outlineLvl w:val="0"/>
        <w:rPr>
          <w:rFonts w:hint="eastAsia" w:ascii="方正小标宋简体" w:hAnsi="方正小标宋简体" w:eastAsia="方正小标宋简体" w:cs="Times New Roman"/>
          <w:b w:val="0"/>
          <w:bCs/>
          <w:sz w:val="44"/>
          <w:lang w:val="en-US" w:eastAsia="zh-CN" w:bidi="ar-SA"/>
        </w:rPr>
      </w:pPr>
      <w:r>
        <w:rPr>
          <w:rFonts w:hint="eastAsia" w:ascii="方正小标宋简体" w:hAnsi="方正小标宋简体" w:eastAsia="方正小标宋简体" w:cs="Times New Roman"/>
          <w:b w:val="0"/>
          <w:bCs/>
          <w:sz w:val="44"/>
          <w:lang w:val="en-US" w:eastAsia="zh-CN" w:bidi="ar-SA"/>
        </w:rPr>
        <w:t>淄博经济开发区党工委管委会市场监督管理局2021年政府信息公开工作年度报告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20"/>
          <w:sz w:val="32"/>
          <w:szCs w:val="32"/>
          <w:bdr w:val="none" w:color="auto" w:sz="0" w:space="0"/>
          <w:shd w:val="clear" w:fill="FFFFFF"/>
        </w:rPr>
      </w:pPr>
      <w:r>
        <w:rPr>
          <w:rFonts w:ascii="仿宋_GB2312" w:hAnsi="宋体" w:eastAsia="仿宋_GB2312" w:cs="仿宋_GB2312"/>
          <w:i w:val="0"/>
          <w:iCs w:val="0"/>
          <w:caps w:val="0"/>
          <w:color w:val="000000"/>
          <w:spacing w:val="0"/>
          <w:sz w:val="32"/>
          <w:szCs w:val="32"/>
          <w:bdr w:val="none" w:color="auto" w:sz="0" w:space="0"/>
          <w:shd w:val="clear" w:fill="FFFFFF"/>
        </w:rPr>
        <w:t>报告是根据新修订的《中华人民共和国信息公开条例》《国务院办公厅政府信息与政务公开办公室关于政府信息公开工作年度报告有关事项的通知》（国办公开办函〔</w:t>
      </w:r>
      <w:r>
        <w:rPr>
          <w:rFonts w:hint="default" w:ascii="Times New Roman" w:hAnsi="Times New Roman" w:eastAsia="宋体" w:cs="Times New Roman"/>
          <w:i w:val="0"/>
          <w:iCs w:val="0"/>
          <w:caps w:val="0"/>
          <w:color w:val="000000"/>
          <w:spacing w:val="0"/>
          <w:sz w:val="32"/>
          <w:szCs w:val="32"/>
          <w:bdr w:val="none" w:color="auto" w:sz="0" w:space="0"/>
          <w:shd w:val="clear" w:fill="FFFFFF"/>
        </w:rPr>
        <w:t>2019</w:t>
      </w:r>
      <w:r>
        <w:rPr>
          <w:rFonts w:hint="eastAsia" w:ascii="仿宋_GB2312" w:hAnsi="宋体"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宋体" w:cs="Times New Roman"/>
          <w:i w:val="0"/>
          <w:iCs w:val="0"/>
          <w:caps w:val="0"/>
          <w:color w:val="000000"/>
          <w:spacing w:val="0"/>
          <w:sz w:val="32"/>
          <w:szCs w:val="32"/>
          <w:bdr w:val="none" w:color="auto" w:sz="0" w:space="0"/>
          <w:shd w:val="clear" w:fill="FFFFFF"/>
        </w:rPr>
        <w:t>60</w:t>
      </w:r>
      <w:r>
        <w:rPr>
          <w:rFonts w:hint="eastAsia" w:ascii="仿宋_GB2312" w:hAnsi="宋体" w:eastAsia="仿宋_GB2312" w:cs="仿宋_GB2312"/>
          <w:i w:val="0"/>
          <w:iCs w:val="0"/>
          <w:caps w:val="0"/>
          <w:color w:val="000000"/>
          <w:spacing w:val="0"/>
          <w:sz w:val="32"/>
          <w:szCs w:val="32"/>
          <w:bdr w:val="none" w:color="auto" w:sz="0" w:space="0"/>
          <w:shd w:val="clear" w:fill="FFFFFF"/>
        </w:rPr>
        <w:t>号）和省、市有关工作要求，编制并向社会公开。本报告包括</w:t>
      </w:r>
      <w:r>
        <w:rPr>
          <w:rFonts w:hint="default" w:ascii="Times New Roman" w:hAnsi="Times New Roman" w:eastAsia="宋体" w:cs="Times New Roman"/>
          <w:i w:val="0"/>
          <w:iCs w:val="0"/>
          <w:caps w:val="0"/>
          <w:color w:val="000000"/>
          <w:spacing w:val="0"/>
          <w:sz w:val="32"/>
          <w:szCs w:val="32"/>
          <w:bdr w:val="none" w:color="auto" w:sz="0" w:space="0"/>
          <w:shd w:val="clear" w:fill="FFFFFF"/>
        </w:rPr>
        <w:t>2021</w:t>
      </w:r>
      <w:r>
        <w:rPr>
          <w:rFonts w:hint="eastAsia" w:ascii="仿宋_GB2312" w:hAnsi="宋体" w:eastAsia="仿宋_GB2312" w:cs="仿宋_GB2312"/>
          <w:i w:val="0"/>
          <w:iCs w:val="0"/>
          <w:caps w:val="0"/>
          <w:color w:val="000000"/>
          <w:spacing w:val="0"/>
          <w:sz w:val="32"/>
          <w:szCs w:val="32"/>
          <w:bdr w:val="none" w:color="auto" w:sz="0" w:space="0"/>
          <w:shd w:val="clear" w:fill="FFFFFF"/>
        </w:rPr>
        <w:t>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w:t>
      </w:r>
      <w:r>
        <w:rPr>
          <w:rFonts w:hint="default" w:ascii="Times New Roman" w:hAnsi="Times New Roman" w:eastAsia="宋体" w:cs="Times New Roman"/>
          <w:i w:val="0"/>
          <w:iCs w:val="0"/>
          <w:caps w:val="0"/>
          <w:color w:val="000000"/>
          <w:spacing w:val="0"/>
          <w:sz w:val="32"/>
          <w:szCs w:val="32"/>
          <w:bdr w:val="none" w:color="auto" w:sz="0" w:space="0"/>
          <w:shd w:val="clear" w:fill="FFFFFF"/>
        </w:rPr>
        <w:t>2021</w:t>
      </w:r>
      <w:r>
        <w:rPr>
          <w:rFonts w:hint="eastAsia" w:ascii="仿宋_GB2312" w:hAnsi="宋体"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宋体" w:cs="Times New Roman"/>
          <w:i w:val="0"/>
          <w:iCs w:val="0"/>
          <w:caps w:val="0"/>
          <w:color w:val="000000"/>
          <w:spacing w:val="0"/>
          <w:sz w:val="32"/>
          <w:szCs w:val="32"/>
          <w:bdr w:val="none" w:color="auto" w:sz="0" w:space="0"/>
          <w:shd w:val="clear" w:fill="FFFFFF"/>
        </w:rPr>
        <w:t>1</w:t>
      </w:r>
      <w:r>
        <w:rPr>
          <w:rFonts w:hint="eastAsia" w:ascii="仿宋_GB2312" w:hAnsi="宋体"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宋体" w:cs="Times New Roman"/>
          <w:i w:val="0"/>
          <w:iCs w:val="0"/>
          <w:caps w:val="0"/>
          <w:color w:val="000000"/>
          <w:spacing w:val="0"/>
          <w:sz w:val="32"/>
          <w:szCs w:val="32"/>
          <w:bdr w:val="none" w:color="auto" w:sz="0" w:space="0"/>
          <w:shd w:val="clear" w:fill="FFFFFF"/>
        </w:rPr>
        <w:t>1</w:t>
      </w:r>
      <w:r>
        <w:rPr>
          <w:rFonts w:hint="eastAsia" w:ascii="仿宋_GB2312" w:hAnsi="宋体" w:eastAsia="仿宋_GB2312" w:cs="仿宋_GB2312"/>
          <w:i w:val="0"/>
          <w:iCs w:val="0"/>
          <w:caps w:val="0"/>
          <w:color w:val="000000"/>
          <w:spacing w:val="0"/>
          <w:sz w:val="32"/>
          <w:szCs w:val="32"/>
          <w:bdr w:val="none" w:color="auto" w:sz="0" w:space="0"/>
          <w:shd w:val="clear" w:fill="FFFFFF"/>
        </w:rPr>
        <w:t>日至</w:t>
      </w:r>
      <w:r>
        <w:rPr>
          <w:rFonts w:hint="default" w:ascii="Times New Roman" w:hAnsi="Times New Roman" w:eastAsia="宋体" w:cs="Times New Roman"/>
          <w:i w:val="0"/>
          <w:iCs w:val="0"/>
          <w:caps w:val="0"/>
          <w:color w:val="000000"/>
          <w:spacing w:val="0"/>
          <w:sz w:val="32"/>
          <w:szCs w:val="32"/>
          <w:bdr w:val="none" w:color="auto" w:sz="0" w:space="0"/>
          <w:shd w:val="clear" w:fill="FFFFFF"/>
        </w:rPr>
        <w:t>2021</w:t>
      </w:r>
      <w:r>
        <w:rPr>
          <w:rFonts w:hint="eastAsia" w:ascii="仿宋_GB2312" w:hAnsi="宋体"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宋体" w:cs="Times New Roman"/>
          <w:i w:val="0"/>
          <w:iCs w:val="0"/>
          <w:caps w:val="0"/>
          <w:color w:val="000000"/>
          <w:spacing w:val="0"/>
          <w:sz w:val="32"/>
          <w:szCs w:val="32"/>
          <w:bdr w:val="none" w:color="auto" w:sz="0" w:space="0"/>
          <w:shd w:val="clear" w:fill="FFFFFF"/>
        </w:rPr>
        <w:t>12</w:t>
      </w:r>
      <w:r>
        <w:rPr>
          <w:rFonts w:hint="eastAsia" w:ascii="仿宋_GB2312" w:hAnsi="宋体"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宋体" w:cs="Times New Roman"/>
          <w:i w:val="0"/>
          <w:iCs w:val="0"/>
          <w:caps w:val="0"/>
          <w:color w:val="000000"/>
          <w:spacing w:val="0"/>
          <w:sz w:val="32"/>
          <w:szCs w:val="32"/>
          <w:bdr w:val="none" w:color="auto" w:sz="0" w:space="0"/>
          <w:shd w:val="clear" w:fill="FFFFFF"/>
        </w:rPr>
        <w:t>31</w:t>
      </w:r>
      <w:r>
        <w:rPr>
          <w:rFonts w:hint="eastAsia" w:ascii="仿宋_GB2312" w:hAnsi="宋体" w:eastAsia="仿宋_GB2312" w:cs="仿宋_GB2312"/>
          <w:i w:val="0"/>
          <w:iCs w:val="0"/>
          <w:caps w:val="0"/>
          <w:color w:val="000000"/>
          <w:spacing w:val="0"/>
          <w:sz w:val="32"/>
          <w:szCs w:val="32"/>
          <w:bdr w:val="none" w:color="auto" w:sz="0" w:space="0"/>
          <w:shd w:val="clear" w:fill="FFFFFF"/>
        </w:rPr>
        <w:t>日。本报告可在淄博经济开发区门户网站(</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http://www.zbjkq.gov.cn</w:t>
      </w:r>
      <w:r>
        <w:rPr>
          <w:rFonts w:hint="eastAsia" w:ascii="仿宋_GB2312" w:hAnsi="宋体" w:eastAsia="仿宋_GB2312" w:cs="仿宋_GB2312"/>
          <w:i w:val="0"/>
          <w:iCs w:val="0"/>
          <w:caps w:val="0"/>
          <w:color w:val="000000"/>
          <w:spacing w:val="0"/>
          <w:sz w:val="32"/>
          <w:szCs w:val="32"/>
          <w:bdr w:val="none" w:color="auto" w:sz="0" w:space="0"/>
          <w:shd w:val="clear" w:fill="FFFFFF"/>
        </w:rPr>
        <w:t>)下载。如对本报告有任何疑问，请与淄博经济开发区市场监督管理局联系（地址：淄博经济开发区管理委员会北楼</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212</w:t>
      </w:r>
      <w:r>
        <w:rPr>
          <w:rFonts w:hint="eastAsia" w:ascii="仿宋_GB2312" w:hAnsi="宋体" w:eastAsia="仿宋_GB2312" w:cs="仿宋_GB2312"/>
          <w:i w:val="0"/>
          <w:iCs w:val="0"/>
          <w:caps w:val="0"/>
          <w:color w:val="000000"/>
          <w:spacing w:val="0"/>
          <w:sz w:val="32"/>
          <w:szCs w:val="32"/>
          <w:bdr w:val="none" w:color="auto" w:sz="0" w:space="0"/>
          <w:shd w:val="clear" w:fill="FFFFFF"/>
        </w:rPr>
        <w:t>办公室；邮编：</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25500</w:t>
      </w:r>
      <w:r>
        <w:rPr>
          <w:rFonts w:hint="eastAsia" w:ascii="仿宋_GB2312" w:hAnsi="宋体" w:eastAsia="仿宋_GB2312" w:cs="仿宋_GB2312"/>
          <w:i w:val="0"/>
          <w:iCs w:val="0"/>
          <w:caps w:val="0"/>
          <w:color w:val="000000"/>
          <w:spacing w:val="0"/>
          <w:sz w:val="32"/>
          <w:szCs w:val="32"/>
          <w:bdr w:val="none" w:color="auto" w:sz="0" w:space="0"/>
          <w:shd w:val="clear" w:fill="FFFFFF"/>
        </w:rPr>
        <w:t>；联系电话：</w:t>
      </w:r>
      <w:r>
        <w:rPr>
          <w:rFonts w:hint="eastAsia" w:ascii="Times New Roman" w:hAnsi="Times New Roman" w:eastAsia="仿宋_GB2312" w:cs="Times New Roman"/>
          <w:i w:val="0"/>
          <w:iCs w:val="0"/>
          <w:caps w:val="0"/>
          <w:color w:val="000000"/>
          <w:spacing w:val="0"/>
          <w:sz w:val="32"/>
          <w:szCs w:val="32"/>
          <w:shd w:val="clear" w:fill="FFFFFF"/>
        </w:rPr>
        <w:t>0533-7013906</w:t>
      </w:r>
      <w:r>
        <w:rPr>
          <w:rFonts w:hint="eastAsia" w:ascii="仿宋_GB2312" w:hAnsi="宋体" w:eastAsia="仿宋_GB2312" w:cs="仿宋_GB2312"/>
          <w:i w:val="0"/>
          <w:iCs w:val="0"/>
          <w:caps w:val="0"/>
          <w:color w:val="000000"/>
          <w:spacing w:val="0"/>
          <w:sz w:val="32"/>
          <w:szCs w:val="32"/>
          <w:bdr w:val="none" w:color="auto" w:sz="0" w:space="0"/>
          <w:shd w:val="clear" w:fill="FFFFFF"/>
        </w:rPr>
        <w:t>；传真</w:t>
      </w:r>
      <w:r>
        <w:rPr>
          <w:rFonts w:hint="eastAsia" w:ascii="Times New Roman" w:hAnsi="Times New Roman" w:eastAsia="仿宋_GB2312" w:cs="Times New Roman"/>
          <w:i w:val="0"/>
          <w:iCs w:val="0"/>
          <w:caps w:val="0"/>
          <w:color w:val="000000"/>
          <w:spacing w:val="0"/>
          <w:sz w:val="32"/>
          <w:szCs w:val="32"/>
          <w:shd w:val="clear" w:fill="FFFFFF"/>
        </w:rPr>
        <w:t>：0533-7870179</w:t>
      </w:r>
      <w:r>
        <w:rPr>
          <w:rFonts w:hint="eastAsia" w:ascii="仿宋_GB2312" w:hAnsi="宋体" w:eastAsia="仿宋_GB2312" w:cs="仿宋_GB2312"/>
          <w:i w:val="0"/>
          <w:iCs w:val="0"/>
          <w:caps w:val="0"/>
          <w:color w:val="000000"/>
          <w:spacing w:val="0"/>
          <w:sz w:val="32"/>
          <w:szCs w:val="32"/>
          <w:bdr w:val="none" w:color="auto" w:sz="0" w:space="0"/>
          <w:shd w:val="clear" w:fill="FFFFFF"/>
        </w:rPr>
        <w:t>；</w:t>
      </w:r>
      <w:r>
        <w:rPr>
          <w:rFonts w:hint="eastAsia" w:ascii="仿宋_GB2312" w:hAnsi="宋体" w:eastAsia="仿宋_GB2312" w:cs="仿宋_GB2312"/>
          <w:i w:val="0"/>
          <w:iCs w:val="0"/>
          <w:caps w:val="0"/>
          <w:color w:val="000000"/>
          <w:spacing w:val="-20"/>
          <w:sz w:val="32"/>
          <w:szCs w:val="32"/>
          <w:bdr w:val="none" w:color="auto" w:sz="0" w:space="0"/>
          <w:shd w:val="clear" w:fill="FFFFFF"/>
        </w:rPr>
        <w:t>电子信箱：</w:t>
      </w:r>
      <w:r>
        <w:rPr>
          <w:rFonts w:hint="eastAsia" w:ascii="仿宋_GB2312" w:hAnsi="宋体" w:eastAsia="仿宋_GB2312" w:cs="仿宋_GB2312"/>
          <w:i w:val="0"/>
          <w:iCs w:val="0"/>
          <w:caps w:val="0"/>
          <w:color w:val="000000"/>
          <w:spacing w:val="-20"/>
          <w:sz w:val="32"/>
          <w:szCs w:val="32"/>
          <w:bdr w:val="none" w:color="auto" w:sz="0" w:space="0"/>
          <w:shd w:val="clear" w:fill="FFFFFF"/>
        </w:rPr>
        <w:fldChar w:fldCharType="begin"/>
      </w:r>
      <w:r>
        <w:rPr>
          <w:rFonts w:hint="eastAsia" w:ascii="仿宋_GB2312" w:hAnsi="宋体" w:eastAsia="仿宋_GB2312" w:cs="仿宋_GB2312"/>
          <w:i w:val="0"/>
          <w:iCs w:val="0"/>
          <w:caps w:val="0"/>
          <w:color w:val="000000"/>
          <w:spacing w:val="-20"/>
          <w:sz w:val="32"/>
          <w:szCs w:val="32"/>
          <w:bdr w:val="none" w:color="auto" w:sz="0" w:space="0"/>
          <w:shd w:val="clear" w:fill="FFFFFF"/>
        </w:rPr>
        <w:instrText xml:space="preserve"> HYPERLINK "mailto:zibojingkaiqushichangjianduguanliju@zb.shandong.cn）。" </w:instrText>
      </w:r>
      <w:r>
        <w:rPr>
          <w:rFonts w:hint="eastAsia" w:ascii="仿宋_GB2312" w:hAnsi="宋体" w:eastAsia="仿宋_GB2312" w:cs="仿宋_GB2312"/>
          <w:i w:val="0"/>
          <w:iCs w:val="0"/>
          <w:caps w:val="0"/>
          <w:color w:val="000000"/>
          <w:spacing w:val="-20"/>
          <w:sz w:val="32"/>
          <w:szCs w:val="32"/>
          <w:bdr w:val="none" w:color="auto" w:sz="0" w:space="0"/>
          <w:shd w:val="clear" w:fill="FFFFFF"/>
        </w:rPr>
        <w:fldChar w:fldCharType="separate"/>
      </w:r>
      <w:r>
        <w:rPr>
          <w:rFonts w:hint="eastAsia" w:ascii="Times New Roman" w:hAnsi="Times New Roman" w:eastAsia="仿宋_GB2312" w:cs="Times New Roman"/>
          <w:i w:val="0"/>
          <w:iCs w:val="0"/>
          <w:caps w:val="0"/>
          <w:color w:val="000000"/>
          <w:spacing w:val="-20"/>
          <w:sz w:val="32"/>
          <w:szCs w:val="32"/>
          <w:shd w:val="clear" w:fill="FFFFFF"/>
        </w:rPr>
        <w:t>zibojingkaiqushichangjianduguanliju@zb.shandong.c</w:t>
      </w:r>
      <w:r>
        <w:rPr>
          <w:rFonts w:hint="default" w:ascii="Times New Roman" w:hAnsi="Times New Roman" w:eastAsia="仿宋_GB2312" w:cs="Times New Roman"/>
          <w:i w:val="0"/>
          <w:iCs w:val="0"/>
          <w:caps w:val="0"/>
          <w:color w:val="000000"/>
          <w:spacing w:val="-20"/>
          <w:sz w:val="32"/>
          <w:szCs w:val="32"/>
          <w:shd w:val="clear" w:fill="FFFFFF"/>
        </w:rPr>
        <w:t>n）</w:t>
      </w:r>
      <w:r>
        <w:rPr>
          <w:rStyle w:val="7"/>
          <w:rFonts w:hint="default" w:ascii="Times New Roman" w:hAnsi="Times New Roman" w:eastAsia="仿宋_GB2312" w:cs="Times New Roman"/>
          <w:i w:val="0"/>
          <w:iCs w:val="0"/>
          <w:caps w:val="0"/>
          <w:spacing w:val="-20"/>
          <w:sz w:val="32"/>
          <w:szCs w:val="32"/>
          <w:bdr w:val="none" w:color="auto" w:sz="0" w:space="0"/>
          <w:shd w:val="clear" w:fill="FFFFFF"/>
        </w:rPr>
        <w:t>。</w:t>
      </w:r>
      <w:r>
        <w:rPr>
          <w:rFonts w:hint="eastAsia" w:ascii="仿宋_GB2312" w:hAnsi="宋体" w:eastAsia="仿宋_GB2312" w:cs="仿宋_GB2312"/>
          <w:i w:val="0"/>
          <w:iCs w:val="0"/>
          <w:caps w:val="0"/>
          <w:color w:val="000000"/>
          <w:spacing w:val="-20"/>
          <w:sz w:val="32"/>
          <w:szCs w:val="32"/>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w:t>
      </w:r>
      <w:r>
        <w:rPr>
          <w:rFonts w:ascii="仿宋_GB2312" w:hAnsi="微软雅黑" w:eastAsia="仿宋_GB2312" w:cs="仿宋_GB2312"/>
          <w:i w:val="0"/>
          <w:iCs w:val="0"/>
          <w:caps w:val="0"/>
          <w:color w:val="000000"/>
          <w:spacing w:val="0"/>
          <w:sz w:val="32"/>
          <w:szCs w:val="32"/>
          <w:bdr w:val="none" w:color="auto" w:sz="0" w:space="0"/>
        </w:rPr>
        <w:t>年淄博经济开发区市场监督管理局在淄博经济开发区党工委、管委会和市局的正确领导下，严格按照《中华人民共和国政府信息公开条例》规定，坚持以公开为常态、不公开为例外，健全体制机制，强化工作措施，积极主动回应社会关切，有序推进政府信息公开工作开展。</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w:t>
      </w:r>
      <w:r>
        <w:rPr>
          <w:rFonts w:hint="eastAsia" w:ascii="仿宋_GB2312" w:hAnsi="微软雅黑" w:eastAsia="仿宋_GB2312" w:cs="仿宋_GB2312"/>
          <w:i w:val="0"/>
          <w:iCs w:val="0"/>
          <w:caps w:val="0"/>
          <w:color w:val="000000"/>
          <w:spacing w:val="0"/>
          <w:sz w:val="32"/>
          <w:szCs w:val="32"/>
          <w:bdr w:val="none" w:color="auto" w:sz="0" w:space="0"/>
        </w:rPr>
        <w:t>年度本机关主动公开政府信息条，具体情况如下：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sz w:val="32"/>
          <w:szCs w:val="32"/>
          <w:bdr w:val="none" w:color="auto" w:sz="0" w:space="0"/>
        </w:rPr>
        <w:t>（一）主动公开情况。</w:t>
      </w:r>
      <w:r>
        <w:rPr>
          <w:rFonts w:ascii="仿宋_GB2312" w:hAnsi="微软雅黑" w:eastAsia="仿宋_GB2312" w:cs="仿宋_GB2312"/>
          <w:i w:val="0"/>
          <w:iCs w:val="0"/>
          <w:caps w:val="0"/>
          <w:color w:val="000000"/>
          <w:spacing w:val="0"/>
          <w:sz w:val="32"/>
          <w:szCs w:val="32"/>
          <w:bdr w:val="none" w:color="auto" w:sz="0" w:space="0"/>
        </w:rPr>
        <w:t>共发布信息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59</w:t>
      </w:r>
      <w:r>
        <w:rPr>
          <w:rFonts w:hint="eastAsia" w:ascii="仿宋_GB2312" w:hAnsi="微软雅黑" w:eastAsia="仿宋_GB2312" w:cs="仿宋_GB2312"/>
          <w:i w:val="0"/>
          <w:iCs w:val="0"/>
          <w:caps w:val="0"/>
          <w:color w:val="000000"/>
          <w:spacing w:val="0"/>
          <w:sz w:val="32"/>
          <w:szCs w:val="32"/>
          <w:bdr w:val="none" w:color="auto" w:sz="0" w:space="0"/>
        </w:rPr>
        <w:t>条，其中信用经开</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11</w:t>
      </w:r>
      <w:r>
        <w:rPr>
          <w:rFonts w:hint="eastAsia" w:ascii="仿宋_GB2312" w:hAnsi="微软雅黑" w:eastAsia="仿宋_GB2312" w:cs="仿宋_GB2312"/>
          <w:i w:val="0"/>
          <w:iCs w:val="0"/>
          <w:caps w:val="0"/>
          <w:color w:val="000000"/>
          <w:spacing w:val="0"/>
          <w:sz w:val="32"/>
          <w:szCs w:val="32"/>
          <w:bdr w:val="none" w:color="auto" w:sz="0" w:space="0"/>
        </w:rPr>
        <w:t>条，消费市场</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8</w:t>
      </w:r>
      <w:r>
        <w:rPr>
          <w:rFonts w:hint="eastAsia" w:ascii="仿宋_GB2312" w:hAnsi="微软雅黑" w:eastAsia="仿宋_GB2312" w:cs="仿宋_GB2312"/>
          <w:i w:val="0"/>
          <w:iCs w:val="0"/>
          <w:caps w:val="0"/>
          <w:color w:val="000000"/>
          <w:spacing w:val="0"/>
          <w:sz w:val="32"/>
          <w:szCs w:val="32"/>
          <w:bdr w:val="none" w:color="auto" w:sz="0" w:space="0"/>
        </w:rPr>
        <w:t>条，会议信息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w:t>
      </w:r>
      <w:r>
        <w:rPr>
          <w:rFonts w:hint="eastAsia" w:ascii="仿宋_GB2312" w:hAnsi="微软雅黑" w:eastAsia="仿宋_GB2312" w:cs="仿宋_GB2312"/>
          <w:i w:val="0"/>
          <w:iCs w:val="0"/>
          <w:caps w:val="0"/>
          <w:color w:val="000000"/>
          <w:spacing w:val="0"/>
          <w:sz w:val="32"/>
          <w:szCs w:val="32"/>
          <w:bdr w:val="none" w:color="auto" w:sz="0" w:space="0"/>
        </w:rPr>
        <w:t>条，财政信息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3</w:t>
      </w:r>
      <w:r>
        <w:rPr>
          <w:rFonts w:hint="eastAsia" w:ascii="仿宋_GB2312" w:hAnsi="微软雅黑" w:eastAsia="仿宋_GB2312" w:cs="仿宋_GB2312"/>
          <w:i w:val="0"/>
          <w:iCs w:val="0"/>
          <w:caps w:val="0"/>
          <w:color w:val="000000"/>
          <w:spacing w:val="0"/>
          <w:sz w:val="32"/>
          <w:szCs w:val="32"/>
          <w:bdr w:val="none" w:color="auto" w:sz="0" w:space="0"/>
        </w:rPr>
        <w:t>条，公示公告</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w:t>
      </w:r>
      <w:r>
        <w:rPr>
          <w:rFonts w:hint="eastAsia" w:ascii="仿宋_GB2312" w:hAnsi="微软雅黑" w:eastAsia="仿宋_GB2312" w:cs="仿宋_GB2312"/>
          <w:i w:val="0"/>
          <w:iCs w:val="0"/>
          <w:caps w:val="0"/>
          <w:color w:val="000000"/>
          <w:spacing w:val="0"/>
          <w:sz w:val="32"/>
          <w:szCs w:val="32"/>
          <w:bdr w:val="none" w:color="auto" w:sz="0" w:space="0"/>
        </w:rPr>
        <w:t>条，行政处罚信息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14</w:t>
      </w:r>
      <w:r>
        <w:rPr>
          <w:rFonts w:hint="eastAsia" w:ascii="仿宋_GB2312" w:hAnsi="微软雅黑" w:eastAsia="仿宋_GB2312" w:cs="仿宋_GB2312"/>
          <w:i w:val="0"/>
          <w:iCs w:val="0"/>
          <w:caps w:val="0"/>
          <w:color w:val="000000"/>
          <w:spacing w:val="0"/>
          <w:sz w:val="32"/>
          <w:szCs w:val="32"/>
          <w:bdr w:val="none" w:color="auto" w:sz="0" w:space="0"/>
        </w:rPr>
        <w:t>条，行政许可信息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14</w:t>
      </w:r>
      <w:r>
        <w:rPr>
          <w:rFonts w:hint="eastAsia" w:ascii="仿宋_GB2312" w:hAnsi="微软雅黑" w:eastAsia="仿宋_GB2312" w:cs="仿宋_GB2312"/>
          <w:i w:val="0"/>
          <w:iCs w:val="0"/>
          <w:caps w:val="0"/>
          <w:color w:val="000000"/>
          <w:spacing w:val="0"/>
          <w:sz w:val="32"/>
          <w:szCs w:val="32"/>
          <w:bdr w:val="none" w:color="auto" w:sz="0" w:space="0"/>
        </w:rPr>
        <w:t>条，其他信息</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7</w:t>
      </w:r>
      <w:r>
        <w:rPr>
          <w:rFonts w:hint="eastAsia" w:ascii="仿宋_GB2312" w:hAnsi="微软雅黑" w:eastAsia="仿宋_GB2312" w:cs="仿宋_GB2312"/>
          <w:i w:val="0"/>
          <w:iCs w:val="0"/>
          <w:caps w:val="0"/>
          <w:color w:val="000000"/>
          <w:spacing w:val="0"/>
          <w:sz w:val="32"/>
          <w:szCs w:val="32"/>
          <w:bdr w:val="none" w:color="auto" w:sz="0" w:space="0"/>
        </w:rPr>
        <w:t>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i w:val="0"/>
          <w:iCs w:val="0"/>
          <w:caps w:val="0"/>
          <w:color w:val="000000"/>
          <w:spacing w:val="0"/>
          <w:sz w:val="32"/>
          <w:szCs w:val="32"/>
          <w:bdr w:val="none" w:color="auto" w:sz="0" w:space="0"/>
        </w:rPr>
        <w:t>（二）依申请公开。</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1</w:t>
      </w:r>
      <w:r>
        <w:rPr>
          <w:rFonts w:hint="eastAsia" w:ascii="仿宋_GB2312" w:hAnsi="微软雅黑" w:eastAsia="仿宋_GB2312" w:cs="仿宋_GB2312"/>
          <w:i w:val="0"/>
          <w:iCs w:val="0"/>
          <w:caps w:val="0"/>
          <w:color w:val="000000"/>
          <w:spacing w:val="0"/>
          <w:sz w:val="32"/>
          <w:szCs w:val="32"/>
          <w:bdr w:val="none" w:color="auto" w:sz="0" w:space="0"/>
        </w:rPr>
        <w:t>年度，未收到信息公开申请受理和通过电子邮件提交的信息公开申请受理。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sz w:val="32"/>
          <w:szCs w:val="32"/>
          <w:bdr w:val="none" w:color="auto" w:sz="0" w:space="0"/>
        </w:rPr>
        <w:t>（三）政府信息管理。</w:t>
      </w:r>
      <w:r>
        <w:rPr>
          <w:rFonts w:ascii="仿宋_GB2312" w:hAnsi="微软雅黑" w:eastAsia="仿宋_GB2312" w:cs="仿宋_GB2312"/>
          <w:i w:val="0"/>
          <w:iCs w:val="0"/>
          <w:caps w:val="0"/>
          <w:color w:val="000000"/>
          <w:spacing w:val="0"/>
          <w:sz w:val="32"/>
          <w:szCs w:val="32"/>
          <w:bdr w:val="none" w:color="auto" w:sz="0" w:space="0"/>
        </w:rPr>
        <w:t>按照区管委会信息公开工作的要求，针对经开区市场监管局工作实际，加强政务公开组织领导，各科室、各单位认真贯彻落实目标任务，严格发布信息流程，在管委会网站及时录入各类公开信息。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i w:val="0"/>
          <w:iCs w:val="0"/>
          <w:caps w:val="0"/>
          <w:color w:val="000000"/>
          <w:spacing w:val="0"/>
          <w:sz w:val="32"/>
          <w:szCs w:val="32"/>
          <w:bdr w:val="none" w:color="auto" w:sz="0" w:space="0"/>
        </w:rPr>
        <w:t>（四）平台建设。</w:t>
      </w:r>
      <w:r>
        <w:rPr>
          <w:rFonts w:hint="eastAsia" w:ascii="仿宋_GB2312" w:hAnsi="微软雅黑" w:eastAsia="仿宋_GB2312" w:cs="仿宋_GB2312"/>
          <w:i w:val="0"/>
          <w:iCs w:val="0"/>
          <w:caps w:val="0"/>
          <w:color w:val="000000"/>
          <w:spacing w:val="0"/>
          <w:sz w:val="32"/>
          <w:szCs w:val="32"/>
          <w:bdr w:val="none" w:color="auto" w:sz="0" w:space="0"/>
        </w:rPr>
        <w:t>信息公开平台为区管委会网站。健全完善了由主要领导负责的组织推进机制，要求明确信息公开工作的承办人，建立了相应的目标责任制，开展了信息梳理工作，做到了单位有领导分管，工作有机构负责，工作责任有人落实，形成了政府信息工作内部运转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i w:val="0"/>
          <w:iCs w:val="0"/>
          <w:caps w:val="0"/>
          <w:color w:val="000000"/>
          <w:spacing w:val="0"/>
          <w:sz w:val="32"/>
          <w:szCs w:val="32"/>
          <w:bdr w:val="none" w:color="auto" w:sz="0" w:space="0"/>
        </w:rPr>
        <w:t>（五）监督保障。</w:t>
      </w:r>
      <w:r>
        <w:rPr>
          <w:rFonts w:hint="eastAsia" w:ascii="仿宋_GB2312" w:hAnsi="微软雅黑" w:eastAsia="仿宋_GB2312" w:cs="仿宋_GB2312"/>
          <w:i w:val="0"/>
          <w:iCs w:val="0"/>
          <w:caps w:val="0"/>
          <w:color w:val="000000"/>
          <w:spacing w:val="0"/>
          <w:sz w:val="32"/>
          <w:szCs w:val="32"/>
          <w:bdr w:val="none" w:color="auto" w:sz="0" w:space="0"/>
        </w:rPr>
        <w:t>建立政府信息监督考核保障机制，遵循</w:t>
      </w:r>
      <w:r>
        <w:rPr>
          <w:rFonts w:hint="default" w:ascii="Times New Roman" w:hAnsi="Times New Roman" w:eastAsia="微软雅黑" w:cs="Times New Roman"/>
          <w:i w:val="0"/>
          <w:iCs w:val="0"/>
          <w:caps w:val="0"/>
          <w:color w:val="000000"/>
          <w:spacing w:val="0"/>
          <w:sz w:val="32"/>
          <w:szCs w:val="32"/>
          <w:bdr w:val="none" w:color="auto" w:sz="0" w:space="0"/>
        </w:rPr>
        <w:t>“</w:t>
      </w:r>
      <w:r>
        <w:rPr>
          <w:rFonts w:hint="eastAsia" w:ascii="仿宋_GB2312" w:hAnsi="微软雅黑" w:eastAsia="仿宋_GB2312" w:cs="仿宋_GB2312"/>
          <w:i w:val="0"/>
          <w:iCs w:val="0"/>
          <w:caps w:val="0"/>
          <w:color w:val="000000"/>
          <w:spacing w:val="0"/>
          <w:sz w:val="32"/>
          <w:szCs w:val="32"/>
          <w:bdr w:val="none" w:color="auto" w:sz="0" w:space="0"/>
        </w:rPr>
        <w:t>谁公开，谁审查，谁负责</w:t>
      </w:r>
      <w:r>
        <w:rPr>
          <w:rFonts w:hint="default" w:ascii="Times New Roman" w:hAnsi="Times New Roman" w:eastAsia="微软雅黑" w:cs="Times New Roman"/>
          <w:i w:val="0"/>
          <w:iCs w:val="0"/>
          <w:caps w:val="0"/>
          <w:color w:val="000000"/>
          <w:spacing w:val="0"/>
          <w:sz w:val="32"/>
          <w:szCs w:val="32"/>
          <w:bdr w:val="none" w:color="auto" w:sz="0" w:space="0"/>
        </w:rPr>
        <w:t>”</w:t>
      </w:r>
      <w:r>
        <w:rPr>
          <w:rFonts w:hint="eastAsia" w:ascii="仿宋_GB2312" w:hAnsi="微软雅黑" w:eastAsia="仿宋_GB2312" w:cs="仿宋_GB2312"/>
          <w:i w:val="0"/>
          <w:iCs w:val="0"/>
          <w:caps w:val="0"/>
          <w:color w:val="000000"/>
          <w:spacing w:val="0"/>
          <w:sz w:val="32"/>
          <w:szCs w:val="32"/>
          <w:bdr w:val="none" w:color="auto" w:sz="0" w:space="0"/>
        </w:rPr>
        <w:t>的原则，保证政府信息公开的安全。建立社会评议制度，对法定公开内容进行主动公开，接受社会群众监督，对评议中反馈的问题和建议，要梳理汇总，逐条分析，建立解决和应对长效机制，并将评议结果整改措施</w:t>
      </w:r>
    </w:p>
    <w:p>
      <w:pPr>
        <w:numPr>
          <w:numId w:val="0"/>
        </w:numPr>
        <w:ind w:leftChars="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5"/>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bl>
    <w:p/>
    <w:p/>
    <w:p/>
    <w:p>
      <w:pPr>
        <w:numPr>
          <w:numId w:val="0"/>
        </w:numPr>
        <w:ind w:leftChars="0"/>
        <w:jc w:val="left"/>
      </w:pPr>
      <w:r>
        <w:rPr>
          <w:rFonts w:hint="eastAsia" w:ascii="黑体" w:hAnsi="黑体" w:eastAsia="黑体" w:cs="黑体"/>
          <w:b w:val="0"/>
          <w:bCs w:val="0"/>
          <w:sz w:val="32"/>
          <w:szCs w:val="32"/>
          <w:lang w:val="en-US" w:eastAsia="zh-CN"/>
        </w:rPr>
        <w:t>三、收到和处理政府信息公开申请情况</w:t>
      </w:r>
    </w:p>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5"/>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0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7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85"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78"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8" w:type="dxa"/>
            <w:vAlign w:val="center"/>
          </w:tcPr>
          <w:p>
            <w:pPr>
              <w:numPr>
                <w:ilvl w:val="0"/>
                <w:numId w:val="0"/>
              </w:numPr>
              <w:ind w:left="0" w:leftChars="0" w:firstLine="0" w:firstLineChars="0"/>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bl>
    <w:p/>
    <w:p>
      <w:pPr>
        <w:numPr>
          <w:ilvl w:val="0"/>
          <w:numId w:val="0"/>
        </w:numPr>
        <w:ind w:leftChars="0"/>
        <w:jc w:val="left"/>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3D3D3D"/>
          <w:spacing w:val="0"/>
          <w:sz w:val="32"/>
          <w:szCs w:val="32"/>
          <w:bdr w:val="none" w:color="auto" w:sz="0" w:space="0"/>
          <w:shd w:val="clear" w:fill="FFFFFF"/>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3D3D3D"/>
          <w:spacing w:val="0"/>
          <w:sz w:val="32"/>
          <w:szCs w:val="32"/>
          <w:bdr w:val="none" w:color="auto" w:sz="0" w:space="0"/>
          <w:shd w:val="clear" w:fill="FFFFFF"/>
        </w:rPr>
        <w:t>我单位政府信息公开工作的开展虽取得了不少成绩，但与政府信息公开的有关要求还有一定差距，存在的主要问题和困难是：主动公开内容还可以进一步完善；政策解读需进一步贴合公众理解角度。针对存在的问题，制定的改进措施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3D3D3D"/>
          <w:spacing w:val="0"/>
          <w:sz w:val="32"/>
          <w:szCs w:val="32"/>
          <w:bdr w:val="none" w:color="auto" w:sz="0" w:space="0"/>
          <w:shd w:val="clear" w:fill="FFFFFF"/>
        </w:rPr>
        <w:t>（一）内容有待完善。</w:t>
      </w:r>
      <w:r>
        <w:rPr>
          <w:rFonts w:ascii="仿宋_GB2312" w:hAnsi="微软雅黑" w:eastAsia="仿宋_GB2312" w:cs="仿宋_GB2312"/>
          <w:i w:val="0"/>
          <w:iCs w:val="0"/>
          <w:caps w:val="0"/>
          <w:color w:val="3D3D3D"/>
          <w:spacing w:val="0"/>
          <w:sz w:val="32"/>
          <w:szCs w:val="32"/>
          <w:bdr w:val="none" w:color="auto" w:sz="0" w:space="0"/>
          <w:shd w:val="clear" w:fill="FFFFFF"/>
        </w:rPr>
        <w:t>主动公开的政府信息与公众的需求还存在一些距离，制度建设还有待加强，公开形式有待进一步丰富，主动公开政府信息内容与公众的需求还存在一些差距，公开形式便民性需要进一步提高。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i w:val="0"/>
          <w:iCs w:val="0"/>
          <w:caps w:val="0"/>
          <w:color w:val="3D3D3D"/>
          <w:spacing w:val="0"/>
          <w:sz w:val="32"/>
          <w:szCs w:val="32"/>
          <w:bdr w:val="none" w:color="auto" w:sz="0" w:space="0"/>
          <w:shd w:val="clear" w:fill="FFFFFF"/>
        </w:rPr>
        <w:t>（二）信息传播能力亟待加强。</w:t>
      </w:r>
      <w:r>
        <w:rPr>
          <w:rFonts w:hint="eastAsia" w:ascii="仿宋_GB2312" w:hAnsi="微软雅黑" w:eastAsia="仿宋_GB2312" w:cs="仿宋_GB2312"/>
          <w:i w:val="0"/>
          <w:iCs w:val="0"/>
          <w:caps w:val="0"/>
          <w:color w:val="3D3D3D"/>
          <w:spacing w:val="0"/>
          <w:sz w:val="32"/>
          <w:szCs w:val="32"/>
          <w:bdr w:val="none" w:color="auto" w:sz="0" w:space="0"/>
          <w:shd w:val="clear" w:fill="FFFFFF"/>
        </w:rPr>
        <w:t>加强新技术应用，完善服务功能，提升服务监管中心的能力。进一步拓宽信息公开渠道，发挥新媒体及第三方平台作用，进一步提高信息可及性，增强群众获取信息的便利性。</w:t>
      </w:r>
      <w:r>
        <w:rPr>
          <w:rFonts w:hint="eastAsia" w:ascii="宋体" w:hAnsi="宋体" w:eastAsia="宋体" w:cs="宋体"/>
          <w:i w:val="0"/>
          <w:iCs w:val="0"/>
          <w:caps w:val="0"/>
          <w:color w:val="3D3D3D"/>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3D3D3D"/>
          <w:spacing w:val="0"/>
          <w:sz w:val="32"/>
          <w:szCs w:val="32"/>
          <w:bdr w:val="none" w:color="auto" w:sz="0" w:space="0"/>
          <w:shd w:val="clear" w:fill="FFFFFF"/>
        </w:rPr>
        <w:t>下一步，我局将进一步整合优化政府信息公开资源，加强制度建设，创新公开形式，切实加强政府信息公开工作。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333333"/>
          <w:spacing w:val="0"/>
          <w:sz w:val="32"/>
          <w:szCs w:val="32"/>
          <w:bdr w:val="none" w:color="auto" w:sz="0" w:space="0"/>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bookmarkStart w:id="0" w:name="_GoBack"/>
      <w:bookmarkEnd w:id="0"/>
      <w:r>
        <w:rPr>
          <w:rFonts w:hint="eastAsia" w:ascii="仿宋_GB2312" w:hAnsi="微软雅黑" w:eastAsia="仿宋_GB2312" w:cs="仿宋_GB2312"/>
          <w:i w:val="0"/>
          <w:iCs w:val="0"/>
          <w:caps w:val="0"/>
          <w:color w:val="3D3D3D"/>
          <w:spacing w:val="0"/>
          <w:sz w:val="32"/>
          <w:szCs w:val="32"/>
          <w:bdr w:val="none" w:color="auto" w:sz="0" w:space="0"/>
          <w:shd w:val="clear" w:fill="FFFFFF"/>
        </w:rPr>
        <w:t>无。</w:t>
      </w:r>
    </w:p>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0"/>
          <w:sz w:val="32"/>
          <w:szCs w:val="32"/>
          <w:bdr w:val="none" w:color="auto" w:sz="0" w:space="0"/>
          <w:shd w:val="clear" w:fill="FFFFFF"/>
          <w:lang w:val="en-US" w:eastAsia="zh-CN"/>
        </w:rPr>
      </w:pPr>
    </w:p>
    <w:p>
      <w:pPr>
        <w:pStyle w:val="2"/>
        <w:spacing w:before="100" w:after="100" w:line="560" w:lineRule="exact"/>
        <w:ind w:firstLine="0" w:firstLineChars="0"/>
        <w:jc w:val="center"/>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24856"/>
    <w:rsid w:val="295F1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2022-01-27T01:09:08Z</dcterms:created>
  <dc:creator>Lenovo009</dc:creator>
  <cp:lastModifiedBy>一依</cp:lastModifiedBy>
  <dcterms:modified xsi:type="dcterms:W3CDTF">2022-01-27T01:21:22Z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F025DFF46D7447148A04829BD708E8F7</vt:lpwstr>
  </property>
</Properties>
</file>