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right"/>
        <w:rPr>
          <w:rFonts w:eastAsia="仿宋_GB2312"/>
          <w:sz w:val="36"/>
          <w:szCs w:val="36"/>
        </w:rPr>
      </w:pPr>
      <w:bookmarkStart w:id="0" w:name="_Hlk136290043"/>
      <w:bookmarkEnd w:id="0"/>
    </w:p>
    <w:p>
      <w:pPr>
        <w:pStyle w:val="39"/>
        <w:ind w:firstLine="0" w:firstLineChars="0"/>
      </w:pPr>
    </w:p>
    <w:p>
      <w:pPr>
        <w:rPr>
          <w:rFonts w:eastAsia="仿宋_GB2312"/>
          <w:sz w:val="36"/>
          <w:szCs w:val="36"/>
        </w:rPr>
      </w:pPr>
    </w:p>
    <w:p>
      <w:pPr>
        <w:rPr>
          <w:rFonts w:eastAsia="仿宋_GB2312"/>
          <w:sz w:val="36"/>
          <w:szCs w:val="36"/>
        </w:rPr>
      </w:pPr>
    </w:p>
    <w:p>
      <w:pPr>
        <w:adjustRightInd w:val="0"/>
        <w:snapToGrid w:val="0"/>
        <w:spacing w:before="192" w:beforeLines="80"/>
        <w:jc w:val="center"/>
      </w:pPr>
      <w:r>
        <w:rPr>
          <w:rFonts w:eastAsia="方正小标宋_GBK"/>
          <w:bCs/>
          <w:sz w:val="72"/>
          <w:szCs w:val="72"/>
        </w:rPr>
        <w:t>建设项目环境影响报告表</w:t>
      </w:r>
    </w:p>
    <w:p>
      <w:pPr>
        <w:adjustRightInd w:val="0"/>
        <w:snapToGrid w:val="0"/>
        <w:spacing w:before="192" w:beforeLines="80"/>
        <w:jc w:val="center"/>
        <w:rPr>
          <w:rFonts w:eastAsia="楷体_GB2312"/>
          <w:bCs/>
          <w:sz w:val="48"/>
          <w:szCs w:val="48"/>
        </w:rPr>
      </w:pPr>
      <w:r>
        <w:rPr>
          <w:rFonts w:eastAsia="楷体_GB2312"/>
          <w:bCs/>
          <w:sz w:val="48"/>
          <w:szCs w:val="48"/>
        </w:rPr>
        <w:t>（污染影响类）</w:t>
      </w:r>
    </w:p>
    <w:p>
      <w:pPr>
        <w:adjustRightInd w:val="0"/>
        <w:snapToGrid w:val="0"/>
        <w:spacing w:line="288" w:lineRule="auto"/>
        <w:jc w:val="center"/>
        <w:outlineLvl w:val="0"/>
        <w:rPr>
          <w:rFonts w:eastAsia="华文仿宋"/>
          <w:kern w:val="44"/>
          <w:sz w:val="44"/>
          <w:szCs w:val="44"/>
        </w:rPr>
      </w:pPr>
    </w:p>
    <w:p>
      <w:pPr>
        <w:jc w:val="center"/>
        <w:rPr>
          <w:rFonts w:eastAsia="仿宋"/>
          <w:sz w:val="52"/>
          <w:szCs w:val="52"/>
        </w:rPr>
      </w:pPr>
    </w:p>
    <w:p>
      <w:pPr>
        <w:rPr>
          <w:rFonts w:eastAsia="仿宋"/>
          <w:sz w:val="44"/>
          <w:szCs w:val="44"/>
        </w:rPr>
      </w:pPr>
    </w:p>
    <w:p>
      <w:pPr>
        <w:rPr>
          <w:rFonts w:eastAsia="仿宋"/>
          <w:sz w:val="44"/>
          <w:szCs w:val="44"/>
        </w:rPr>
      </w:pPr>
    </w:p>
    <w:p>
      <w:pPr>
        <w:rPr>
          <w:rFonts w:eastAsia="仿宋"/>
          <w:sz w:val="44"/>
          <w:szCs w:val="44"/>
        </w:rPr>
      </w:pPr>
    </w:p>
    <w:p/>
    <w:p/>
    <w:p>
      <w:pPr>
        <w:pStyle w:val="2"/>
        <w:ind w:firstLine="0" w:firstLineChars="0"/>
        <w:rPr>
          <w:rFonts w:eastAsia="仿宋"/>
          <w:sz w:val="44"/>
          <w:szCs w:val="44"/>
        </w:rPr>
      </w:pPr>
    </w:p>
    <w:p>
      <w:pPr>
        <w:pStyle w:val="3"/>
      </w:pPr>
    </w:p>
    <w:p>
      <w:pPr>
        <w:adjustRightInd w:val="0"/>
        <w:snapToGrid w:val="0"/>
        <w:spacing w:line="360" w:lineRule="auto"/>
        <w:rPr>
          <w:rFonts w:eastAsia="仿宋_GB2312"/>
          <w:kern w:val="21"/>
          <w:sz w:val="36"/>
          <w:szCs w:val="36"/>
        </w:rPr>
      </w:pPr>
    </w:p>
    <w:p>
      <w:pPr>
        <w:adjustRightInd w:val="0"/>
        <w:snapToGrid w:val="0"/>
        <w:spacing w:line="360" w:lineRule="auto"/>
        <w:ind w:firstLine="1800" w:firstLineChars="500"/>
        <w:rPr>
          <w:rFonts w:eastAsia="仿宋_GB2312"/>
          <w:kern w:val="21"/>
          <w:sz w:val="36"/>
          <w:szCs w:val="36"/>
          <w:u w:val="single"/>
        </w:rPr>
      </w:pPr>
      <w:r>
        <w:rPr>
          <w:rFonts w:eastAsia="仿宋_GB2312"/>
          <w:kern w:val="21"/>
          <w:sz w:val="36"/>
          <w:szCs w:val="36"/>
        </w:rPr>
        <w:t>项目名称：</w:t>
      </w:r>
      <w:r>
        <w:rPr>
          <w:rFonts w:eastAsia="仿宋_GB2312"/>
          <w:kern w:val="21"/>
          <w:sz w:val="36"/>
          <w:szCs w:val="36"/>
          <w:u w:val="single"/>
        </w:rPr>
        <w:t>年产2万吨人造铝矾石项目</w:t>
      </w:r>
    </w:p>
    <w:p>
      <w:pPr>
        <w:adjustRightInd w:val="0"/>
        <w:snapToGrid w:val="0"/>
        <w:spacing w:line="360" w:lineRule="auto"/>
        <w:ind w:firstLine="360" w:firstLineChars="100"/>
        <w:rPr>
          <w:rFonts w:eastAsia="仿宋_GB2312"/>
          <w:sz w:val="36"/>
          <w:szCs w:val="36"/>
        </w:rPr>
      </w:pPr>
      <w:r>
        <w:rPr>
          <w:rFonts w:eastAsia="仿宋_GB2312"/>
          <w:sz w:val="36"/>
          <w:szCs w:val="36"/>
        </w:rPr>
        <w:t>建设单位（盖章）：</w:t>
      </w:r>
      <w:r>
        <w:rPr>
          <w:rFonts w:eastAsia="仿宋_GB2312"/>
          <w:bCs/>
          <w:sz w:val="36"/>
          <w:szCs w:val="36"/>
          <w:u w:val="single"/>
        </w:rPr>
        <w:t>山东华清新材料科技有限公司</w:t>
      </w:r>
    </w:p>
    <w:p>
      <w:pPr>
        <w:adjustRightInd w:val="0"/>
        <w:snapToGrid w:val="0"/>
        <w:spacing w:line="360" w:lineRule="auto"/>
        <w:ind w:firstLine="1800" w:firstLineChars="500"/>
        <w:rPr>
          <w:rFonts w:eastAsia="仿宋_GB2312"/>
          <w:sz w:val="36"/>
          <w:szCs w:val="36"/>
          <w:u w:val="single"/>
        </w:rPr>
      </w:pPr>
      <w:r>
        <w:rPr>
          <w:rFonts w:eastAsia="仿宋_GB2312"/>
          <w:sz w:val="36"/>
          <w:szCs w:val="36"/>
        </w:rPr>
        <w:t>编制日期：</w:t>
      </w:r>
      <w:r>
        <w:rPr>
          <w:rFonts w:eastAsia="仿宋_GB2312"/>
          <w:sz w:val="36"/>
          <w:szCs w:val="36"/>
          <w:u w:val="single"/>
        </w:rPr>
        <w:t xml:space="preserve"> 2024年 1 月      </w:t>
      </w:r>
    </w:p>
    <w:p>
      <w:pPr>
        <w:pStyle w:val="39"/>
        <w:ind w:left="0" w:leftChars="0" w:firstLine="0" w:firstLineChars="0"/>
        <w:rPr>
          <w:rFonts w:eastAsia="仿宋_GB2312"/>
          <w:sz w:val="36"/>
          <w:szCs w:val="36"/>
        </w:rPr>
      </w:pPr>
      <w:bookmarkStart w:id="1" w:name="_Hlk57884087"/>
    </w:p>
    <w:p/>
    <w:p>
      <w:pPr>
        <w:adjustRightInd w:val="0"/>
        <w:snapToGrid w:val="0"/>
        <w:spacing w:line="288" w:lineRule="auto"/>
        <w:rPr>
          <w:rFonts w:eastAsia="仿宋_GB2312"/>
          <w:sz w:val="36"/>
          <w:szCs w:val="36"/>
        </w:rPr>
      </w:pPr>
    </w:p>
    <w:bookmarkEnd w:id="1"/>
    <w:p>
      <w:pPr>
        <w:adjustRightInd w:val="0"/>
        <w:snapToGrid w:val="0"/>
        <w:spacing w:line="288" w:lineRule="auto"/>
        <w:jc w:val="center"/>
        <w:sectPr>
          <w:footerReference r:id="rId3" w:type="default"/>
          <w:pgSz w:w="11906" w:h="16838"/>
          <w:pgMar w:top="1701" w:right="1531" w:bottom="1701" w:left="1531" w:header="851" w:footer="1077" w:gutter="0"/>
          <w:pgNumType w:start="1"/>
          <w:cols w:space="720" w:num="1"/>
          <w:docGrid w:linePitch="312" w:charSpace="0"/>
        </w:sectPr>
      </w:pPr>
      <w:r>
        <w:rPr>
          <w:rFonts w:eastAsia="楷体_GB2312"/>
          <w:sz w:val="36"/>
          <w:szCs w:val="36"/>
        </w:rPr>
        <w:t>中华人民共和国生态环境部制</w:t>
      </w:r>
    </w:p>
    <w:p>
      <w:pPr>
        <w:pStyle w:val="2"/>
        <w:ind w:firstLine="0" w:firstLineChars="0"/>
      </w:pPr>
    </w:p>
    <w:p>
      <w:pPr>
        <w:pStyle w:val="2"/>
        <w:ind w:firstLine="0" w:firstLineChars="0"/>
      </w:pPr>
    </w:p>
    <w:p>
      <w:pPr>
        <w:pStyle w:val="2"/>
        <w:ind w:firstLine="0" w:firstLineChars="0"/>
        <w:sectPr>
          <w:pgSz w:w="11906" w:h="16838"/>
          <w:pgMar w:top="1701" w:right="1531" w:bottom="1701" w:left="1531" w:header="851" w:footer="1077" w:gutter="0"/>
          <w:pgNumType w:start="1"/>
          <w:cols w:space="720" w:num="1"/>
          <w:docGrid w:linePitch="312" w:charSpace="0"/>
        </w:sectPr>
      </w:pPr>
      <w:r>
        <w:rPr>
          <w:rFonts w:hint="eastAsia"/>
        </w:rPr>
        <w:drawing>
          <wp:inline distT="0" distB="0" distL="114300" distR="114300">
            <wp:extent cx="5897880" cy="7204710"/>
            <wp:effectExtent l="0" t="0" r="7620" b="15240"/>
            <wp:docPr id="29" name="图片 29" descr="6b48aca010b82ec360b11bd5be6a4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6b48aca010b82ec360b11bd5be6a4e8"/>
                    <pic:cNvPicPr>
                      <a:picLocks noChangeAspect="1"/>
                    </pic:cNvPicPr>
                  </pic:nvPicPr>
                  <pic:blipFill>
                    <a:blip r:embed="rId8"/>
                    <a:srcRect b="14323"/>
                    <a:stretch>
                      <a:fillRect/>
                    </a:stretch>
                  </pic:blipFill>
                  <pic:spPr>
                    <a:xfrm>
                      <a:off x="0" y="0"/>
                      <a:ext cx="5897880" cy="7204710"/>
                    </a:xfrm>
                    <a:prstGeom prst="rect">
                      <a:avLst/>
                    </a:prstGeom>
                  </pic:spPr>
                </pic:pic>
              </a:graphicData>
            </a:graphic>
          </wp:inline>
        </w:drawing>
      </w:r>
    </w:p>
    <w:p>
      <w:pPr>
        <w:pStyle w:val="3"/>
        <w:sectPr>
          <w:pgSz w:w="11906" w:h="16838"/>
          <w:pgMar w:top="1701" w:right="1531" w:bottom="1701" w:left="1531" w:header="851" w:footer="1077" w:gutter="0"/>
          <w:pgNumType w:start="1"/>
          <w:cols w:space="720" w:num="1"/>
          <w:docGrid w:linePitch="312" w:charSpace="0"/>
        </w:sectPr>
      </w:pPr>
      <w:r>
        <w:rPr>
          <w:rFonts w:hint="eastAsia"/>
        </w:rPr>
        <w:drawing>
          <wp:inline distT="0" distB="0" distL="114300" distR="114300">
            <wp:extent cx="5773420" cy="7407910"/>
            <wp:effectExtent l="0" t="0" r="17780" b="2540"/>
            <wp:docPr id="14" name="图片 14" descr="1707118015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707118015808"/>
                    <pic:cNvPicPr>
                      <a:picLocks noChangeAspect="1"/>
                    </pic:cNvPicPr>
                  </pic:nvPicPr>
                  <pic:blipFill>
                    <a:blip r:embed="rId9"/>
                    <a:stretch>
                      <a:fillRect/>
                    </a:stretch>
                  </pic:blipFill>
                  <pic:spPr>
                    <a:xfrm>
                      <a:off x="0" y="0"/>
                      <a:ext cx="5773420" cy="7407910"/>
                    </a:xfrm>
                    <a:prstGeom prst="rect">
                      <a:avLst/>
                    </a:prstGeom>
                  </pic:spPr>
                </pic:pic>
              </a:graphicData>
            </a:graphic>
          </wp:inline>
        </w:drawing>
      </w:r>
    </w:p>
    <w:p>
      <w:pPr>
        <w:ind w:firstLine="422"/>
        <w:sectPr>
          <w:pgSz w:w="16838" w:h="11906" w:orient="landscape"/>
          <w:pgMar w:top="1531" w:right="1701" w:bottom="1531" w:left="1701" w:header="851" w:footer="1077" w:gutter="0"/>
          <w:pgNumType w:start="1"/>
          <w:cols w:space="720" w:num="1"/>
          <w:docGrid w:linePitch="312" w:charSpace="0"/>
        </w:sectPr>
      </w:pPr>
      <w:r>
        <w:drawing>
          <wp:inline distT="0" distB="0" distL="114300" distR="114300">
            <wp:extent cx="7916545" cy="5598160"/>
            <wp:effectExtent l="0" t="0" r="8255" b="2540"/>
            <wp:docPr id="2" name="图片 2" descr="50e4cf43f684fed57db336dadf0ea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50e4cf43f684fed57db336dadf0eaf3"/>
                    <pic:cNvPicPr>
                      <a:picLocks noChangeAspect="1"/>
                    </pic:cNvPicPr>
                  </pic:nvPicPr>
                  <pic:blipFill>
                    <a:blip r:embed="rId10"/>
                    <a:stretch>
                      <a:fillRect/>
                    </a:stretch>
                  </pic:blipFill>
                  <pic:spPr>
                    <a:xfrm>
                      <a:off x="0" y="0"/>
                      <a:ext cx="7916545" cy="5598160"/>
                    </a:xfrm>
                    <a:prstGeom prst="rect">
                      <a:avLst/>
                    </a:prstGeom>
                  </pic:spPr>
                </pic:pic>
              </a:graphicData>
            </a:graphic>
          </wp:inline>
        </w:drawing>
      </w:r>
    </w:p>
    <w:p>
      <w:pPr>
        <w:ind w:firstLine="422"/>
        <w:jc w:val="center"/>
      </w:pPr>
      <w:r>
        <w:drawing>
          <wp:anchor distT="0" distB="0" distL="114300" distR="114300" simplePos="0" relativeHeight="251660288" behindDoc="0" locked="0" layoutInCell="1" allowOverlap="1">
            <wp:simplePos x="0" y="0"/>
            <wp:positionH relativeFrom="column">
              <wp:posOffset>695960</wp:posOffset>
            </wp:positionH>
            <wp:positionV relativeFrom="paragraph">
              <wp:posOffset>0</wp:posOffset>
            </wp:positionV>
            <wp:extent cx="7346950" cy="5202555"/>
            <wp:effectExtent l="0" t="0" r="6350" b="17145"/>
            <wp:wrapTopAndBottom/>
            <wp:docPr id="4" name="图片 3" descr="胡-工程师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胡-工程师证"/>
                    <pic:cNvPicPr>
                      <a:picLocks noChangeAspect="1"/>
                    </pic:cNvPicPr>
                  </pic:nvPicPr>
                  <pic:blipFill>
                    <a:blip r:embed="rId11"/>
                    <a:stretch>
                      <a:fillRect/>
                    </a:stretch>
                  </pic:blipFill>
                  <pic:spPr>
                    <a:xfrm>
                      <a:off x="0" y="0"/>
                      <a:ext cx="7346950" cy="5202555"/>
                    </a:xfrm>
                    <a:prstGeom prst="rect">
                      <a:avLst/>
                    </a:prstGeom>
                    <a:noFill/>
                    <a:ln>
                      <a:noFill/>
                    </a:ln>
                  </pic:spPr>
                </pic:pic>
              </a:graphicData>
            </a:graphic>
          </wp:anchor>
        </w:drawing>
      </w:r>
    </w:p>
    <w:p>
      <w:pPr>
        <w:ind w:firstLine="422"/>
        <w:jc w:val="center"/>
      </w:pPr>
    </w:p>
    <w:p>
      <w:pPr>
        <w:sectPr>
          <w:pgSz w:w="16838" w:h="11906" w:orient="landscape"/>
          <w:pgMar w:top="1531" w:right="1701" w:bottom="1531" w:left="1701" w:header="851" w:footer="1077" w:gutter="0"/>
          <w:pgNumType w:start="1"/>
          <w:cols w:space="720" w:num="1"/>
          <w:docGrid w:linePitch="312" w:charSpace="0"/>
        </w:sectPr>
      </w:pPr>
    </w:p>
    <w:p>
      <w:pPr>
        <w:jc w:val="center"/>
        <w:sectPr>
          <w:pgSz w:w="16838" w:h="11906" w:orient="landscape"/>
          <w:pgMar w:top="1531" w:right="1701" w:bottom="1531" w:left="1701" w:header="851" w:footer="1077" w:gutter="0"/>
          <w:pgNumType w:start="1"/>
          <w:cols w:space="720" w:num="1"/>
          <w:docGrid w:linePitch="312" w:charSpace="0"/>
        </w:sectPr>
      </w:pPr>
      <w:r>
        <w:rPr>
          <w:rFonts w:hint="eastAsia"/>
        </w:rPr>
        <w:drawing>
          <wp:inline distT="0" distB="0" distL="114300" distR="114300">
            <wp:extent cx="7424420" cy="3175635"/>
            <wp:effectExtent l="0" t="0" r="5080" b="5715"/>
            <wp:docPr id="32" name="图片 32" descr="1707120166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707120166852"/>
                    <pic:cNvPicPr>
                      <a:picLocks noChangeAspect="1"/>
                    </pic:cNvPicPr>
                  </pic:nvPicPr>
                  <pic:blipFill>
                    <a:blip r:embed="rId12"/>
                    <a:stretch>
                      <a:fillRect/>
                    </a:stretch>
                  </pic:blipFill>
                  <pic:spPr>
                    <a:xfrm>
                      <a:off x="0" y="0"/>
                      <a:ext cx="7424420" cy="3175635"/>
                    </a:xfrm>
                    <a:prstGeom prst="rect">
                      <a:avLst/>
                    </a:prstGeom>
                  </pic:spPr>
                </pic:pic>
              </a:graphicData>
            </a:graphic>
          </wp:inline>
        </w:drawing>
      </w:r>
      <w:r>
        <w:rPr>
          <w:rFonts w:hint="eastAsia"/>
        </w:rPr>
        <w:drawing>
          <wp:inline distT="0" distB="0" distL="114300" distR="114300">
            <wp:extent cx="8179435" cy="2204720"/>
            <wp:effectExtent l="0" t="0" r="12065" b="5080"/>
            <wp:docPr id="36" name="图片 36" descr="170712019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707120191519"/>
                    <pic:cNvPicPr>
                      <a:picLocks noChangeAspect="1"/>
                    </pic:cNvPicPr>
                  </pic:nvPicPr>
                  <pic:blipFill>
                    <a:blip r:embed="rId13"/>
                    <a:stretch>
                      <a:fillRect/>
                    </a:stretch>
                  </pic:blipFill>
                  <pic:spPr>
                    <a:xfrm>
                      <a:off x="0" y="0"/>
                      <a:ext cx="8179435" cy="2204720"/>
                    </a:xfrm>
                    <a:prstGeom prst="rect">
                      <a:avLst/>
                    </a:prstGeom>
                  </pic:spPr>
                </pic:pic>
              </a:graphicData>
            </a:graphic>
          </wp:inline>
        </w:drawing>
      </w:r>
    </w:p>
    <w:p>
      <w:pPr>
        <w:pStyle w:val="34"/>
        <w:numPr>
          <w:ilvl w:val="0"/>
          <w:numId w:val="4"/>
        </w:numPr>
        <w:ind w:firstLine="3000" w:firstLineChars="1000"/>
        <w:jc w:val="both"/>
        <w:outlineLvl w:val="0"/>
        <w:rPr>
          <w:rFonts w:ascii="Times New Roman" w:hAnsi="Times New Roman" w:eastAsia="黑体"/>
          <w:snapToGrid w:val="0"/>
          <w:sz w:val="30"/>
          <w:szCs w:val="30"/>
        </w:rPr>
      </w:pPr>
      <w:r>
        <w:rPr>
          <w:rFonts w:ascii="Times New Roman" w:hAnsi="Times New Roman" w:eastAsia="黑体"/>
          <w:snapToGrid w:val="0"/>
          <w:sz w:val="30"/>
          <w:szCs w:val="30"/>
        </w:rPr>
        <w:t>建设项目基本情况</w:t>
      </w:r>
    </w:p>
    <w:tbl>
      <w:tblPr>
        <w:tblStyle w:val="40"/>
        <w:tblW w:w="499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026"/>
        <w:gridCol w:w="2102"/>
        <w:gridCol w:w="2086"/>
        <w:gridCol w:w="264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44" w:type="pct"/>
            <w:tcMar>
              <w:top w:w="16" w:type="dxa"/>
              <w:left w:w="16" w:type="dxa"/>
              <w:right w:w="16" w:type="dxa"/>
            </w:tcMar>
            <w:vAlign w:val="center"/>
          </w:tcPr>
          <w:p>
            <w:pPr>
              <w:adjustRightInd w:val="0"/>
              <w:snapToGrid w:val="0"/>
              <w:jc w:val="center"/>
              <w:rPr>
                <w:kern w:val="21"/>
                <w:szCs w:val="21"/>
              </w:rPr>
            </w:pPr>
            <w:r>
              <w:rPr>
                <w:kern w:val="21"/>
                <w:szCs w:val="21"/>
              </w:rPr>
              <w:t>建设项目名称</w:t>
            </w:r>
          </w:p>
        </w:tc>
        <w:tc>
          <w:tcPr>
            <w:tcW w:w="3855" w:type="pct"/>
            <w:gridSpan w:val="3"/>
            <w:vAlign w:val="center"/>
          </w:tcPr>
          <w:p>
            <w:pPr>
              <w:adjustRightInd w:val="0"/>
              <w:snapToGrid w:val="0"/>
              <w:jc w:val="center"/>
              <w:rPr>
                <w:szCs w:val="21"/>
              </w:rPr>
            </w:pPr>
            <w:r>
              <w:rPr>
                <w:szCs w:val="21"/>
              </w:rPr>
              <w:t>年产2万吨人造铝矾石项目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44" w:type="pct"/>
            <w:tcMar>
              <w:top w:w="16" w:type="dxa"/>
              <w:left w:w="16" w:type="dxa"/>
              <w:right w:w="16" w:type="dxa"/>
            </w:tcMar>
            <w:vAlign w:val="center"/>
          </w:tcPr>
          <w:p>
            <w:pPr>
              <w:adjustRightInd w:val="0"/>
              <w:snapToGrid w:val="0"/>
              <w:jc w:val="center"/>
              <w:rPr>
                <w:kern w:val="21"/>
                <w:szCs w:val="21"/>
              </w:rPr>
            </w:pPr>
            <w:r>
              <w:rPr>
                <w:kern w:val="21"/>
                <w:szCs w:val="21"/>
              </w:rPr>
              <w:t>项目代码</w:t>
            </w:r>
          </w:p>
        </w:tc>
        <w:tc>
          <w:tcPr>
            <w:tcW w:w="3855" w:type="pct"/>
            <w:gridSpan w:val="3"/>
            <w:vAlign w:val="center"/>
          </w:tcPr>
          <w:p>
            <w:pPr>
              <w:adjustRightInd w:val="0"/>
              <w:snapToGrid w:val="0"/>
              <w:jc w:val="center"/>
              <w:rPr>
                <w:kern w:val="21"/>
                <w:szCs w:val="21"/>
              </w:rPr>
            </w:pPr>
            <w:r>
              <w:rPr>
                <w:kern w:val="21"/>
                <w:szCs w:val="21"/>
              </w:rPr>
              <w:t>2312-370393-89-03-421861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44" w:type="pct"/>
            <w:tcMar>
              <w:top w:w="16" w:type="dxa"/>
              <w:left w:w="16" w:type="dxa"/>
              <w:right w:w="16" w:type="dxa"/>
            </w:tcMar>
            <w:vAlign w:val="center"/>
          </w:tcPr>
          <w:p>
            <w:pPr>
              <w:adjustRightInd w:val="0"/>
              <w:snapToGrid w:val="0"/>
              <w:jc w:val="center"/>
              <w:rPr>
                <w:kern w:val="21"/>
                <w:szCs w:val="21"/>
              </w:rPr>
            </w:pPr>
            <w:r>
              <w:rPr>
                <w:kern w:val="21"/>
                <w:szCs w:val="21"/>
              </w:rPr>
              <w:t>建设单位联系人</w:t>
            </w:r>
          </w:p>
        </w:tc>
        <w:tc>
          <w:tcPr>
            <w:tcW w:w="1187" w:type="pct"/>
            <w:vAlign w:val="center"/>
          </w:tcPr>
          <w:p>
            <w:pPr>
              <w:adjustRightInd w:val="0"/>
              <w:snapToGrid w:val="0"/>
              <w:jc w:val="center"/>
              <w:rPr>
                <w:kern w:val="21"/>
                <w:szCs w:val="21"/>
              </w:rPr>
            </w:pPr>
            <w:r>
              <w:rPr>
                <w:kern w:val="21"/>
                <w:szCs w:val="21"/>
              </w:rPr>
              <w:t>韩文豪</w:t>
            </w:r>
          </w:p>
        </w:tc>
        <w:tc>
          <w:tcPr>
            <w:tcW w:w="1178" w:type="pct"/>
            <w:vAlign w:val="center"/>
          </w:tcPr>
          <w:p>
            <w:pPr>
              <w:adjustRightInd w:val="0"/>
              <w:snapToGrid w:val="0"/>
              <w:jc w:val="center"/>
              <w:rPr>
                <w:kern w:val="21"/>
                <w:szCs w:val="21"/>
              </w:rPr>
            </w:pPr>
            <w:r>
              <w:rPr>
                <w:kern w:val="21"/>
                <w:szCs w:val="21"/>
              </w:rPr>
              <w:t>联系方式</w:t>
            </w:r>
          </w:p>
        </w:tc>
        <w:tc>
          <w:tcPr>
            <w:tcW w:w="1489" w:type="pct"/>
            <w:vAlign w:val="center"/>
          </w:tcPr>
          <w:p>
            <w:pPr>
              <w:adjustRightInd w:val="0"/>
              <w:snapToGrid w:val="0"/>
              <w:jc w:val="center"/>
              <w:rPr>
                <w:kern w:val="21"/>
                <w:szCs w:val="21"/>
              </w:rPr>
            </w:pPr>
            <w:r>
              <w:rPr>
                <w:kern w:val="21"/>
                <w:szCs w:val="21"/>
              </w:rPr>
              <w:t>17605334802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44" w:type="pct"/>
            <w:tcMar>
              <w:top w:w="16" w:type="dxa"/>
              <w:left w:w="16" w:type="dxa"/>
              <w:right w:w="16" w:type="dxa"/>
            </w:tcMar>
            <w:vAlign w:val="center"/>
          </w:tcPr>
          <w:p>
            <w:pPr>
              <w:adjustRightInd w:val="0"/>
              <w:snapToGrid w:val="0"/>
              <w:jc w:val="center"/>
              <w:rPr>
                <w:kern w:val="21"/>
                <w:szCs w:val="21"/>
              </w:rPr>
            </w:pPr>
            <w:r>
              <w:rPr>
                <w:kern w:val="21"/>
                <w:szCs w:val="21"/>
              </w:rPr>
              <w:t>建设地点</w:t>
            </w:r>
          </w:p>
        </w:tc>
        <w:tc>
          <w:tcPr>
            <w:tcW w:w="3855" w:type="pct"/>
            <w:gridSpan w:val="3"/>
            <w:vAlign w:val="center"/>
          </w:tcPr>
          <w:p>
            <w:pPr>
              <w:adjustRightInd w:val="0"/>
              <w:snapToGrid w:val="0"/>
              <w:jc w:val="center"/>
              <w:rPr>
                <w:kern w:val="21"/>
                <w:szCs w:val="21"/>
              </w:rPr>
            </w:pPr>
            <w:r>
              <w:rPr>
                <w:kern w:val="21"/>
                <w:szCs w:val="21"/>
              </w:rPr>
              <w:t>山东省淄博市经济开发区南定镇昌盛路9-7号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44" w:type="pct"/>
            <w:tcMar>
              <w:top w:w="16" w:type="dxa"/>
              <w:left w:w="16" w:type="dxa"/>
              <w:right w:w="16" w:type="dxa"/>
            </w:tcMar>
            <w:vAlign w:val="center"/>
          </w:tcPr>
          <w:p>
            <w:pPr>
              <w:adjustRightInd w:val="0"/>
              <w:snapToGrid w:val="0"/>
              <w:jc w:val="center"/>
              <w:rPr>
                <w:kern w:val="21"/>
                <w:szCs w:val="21"/>
              </w:rPr>
            </w:pPr>
            <w:r>
              <w:rPr>
                <w:kern w:val="21"/>
                <w:szCs w:val="21"/>
              </w:rPr>
              <w:t>地理坐标</w:t>
            </w:r>
          </w:p>
        </w:tc>
        <w:tc>
          <w:tcPr>
            <w:tcW w:w="3855" w:type="pct"/>
            <w:gridSpan w:val="3"/>
            <w:vAlign w:val="center"/>
          </w:tcPr>
          <w:p>
            <w:pPr>
              <w:adjustRightInd w:val="0"/>
              <w:snapToGrid w:val="0"/>
              <w:jc w:val="center"/>
              <w:rPr>
                <w:kern w:val="21"/>
                <w:szCs w:val="21"/>
              </w:rPr>
            </w:pPr>
            <w:r>
              <w:rPr>
                <w:kern w:val="21"/>
                <w:szCs w:val="21"/>
              </w:rPr>
              <w:t>（ 118 度 3 分 17.618 秒， 36 度 44 分 0.038 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44" w:type="pct"/>
            <w:tcMar>
              <w:top w:w="16" w:type="dxa"/>
              <w:left w:w="16" w:type="dxa"/>
              <w:right w:w="16" w:type="dxa"/>
            </w:tcMar>
            <w:vAlign w:val="center"/>
          </w:tcPr>
          <w:p>
            <w:pPr>
              <w:adjustRightInd w:val="0"/>
              <w:snapToGrid w:val="0"/>
              <w:jc w:val="center"/>
              <w:rPr>
                <w:kern w:val="21"/>
                <w:szCs w:val="21"/>
              </w:rPr>
            </w:pPr>
            <w:r>
              <w:rPr>
                <w:kern w:val="21"/>
                <w:szCs w:val="21"/>
              </w:rPr>
              <w:t>国民经济</w:t>
            </w:r>
          </w:p>
          <w:p>
            <w:pPr>
              <w:adjustRightInd w:val="0"/>
              <w:snapToGrid w:val="0"/>
              <w:jc w:val="center"/>
              <w:rPr>
                <w:kern w:val="21"/>
                <w:szCs w:val="21"/>
              </w:rPr>
            </w:pPr>
            <w:r>
              <w:rPr>
                <w:kern w:val="21"/>
                <w:szCs w:val="21"/>
              </w:rPr>
              <w:t>行业类别</w:t>
            </w:r>
          </w:p>
        </w:tc>
        <w:tc>
          <w:tcPr>
            <w:tcW w:w="1187" w:type="pct"/>
            <w:vAlign w:val="center"/>
          </w:tcPr>
          <w:p>
            <w:pPr>
              <w:adjustRightInd w:val="0"/>
              <w:snapToGrid w:val="0"/>
              <w:jc w:val="center"/>
              <w:rPr>
                <w:kern w:val="21"/>
                <w:szCs w:val="21"/>
              </w:rPr>
            </w:pPr>
            <w:r>
              <w:rPr>
                <w:kern w:val="21"/>
                <w:szCs w:val="21"/>
              </w:rPr>
              <w:t>C3089耐火陶瓷制品及其他耐火材料制造</w:t>
            </w:r>
          </w:p>
        </w:tc>
        <w:tc>
          <w:tcPr>
            <w:tcW w:w="1178" w:type="pct"/>
            <w:vAlign w:val="center"/>
          </w:tcPr>
          <w:p>
            <w:pPr>
              <w:adjustRightInd w:val="0"/>
              <w:snapToGrid w:val="0"/>
              <w:jc w:val="center"/>
              <w:rPr>
                <w:kern w:val="21"/>
                <w:szCs w:val="21"/>
              </w:rPr>
            </w:pPr>
            <w:r>
              <w:rPr>
                <w:kern w:val="21"/>
                <w:szCs w:val="21"/>
              </w:rPr>
              <w:t>建设项目</w:t>
            </w:r>
          </w:p>
          <w:p>
            <w:pPr>
              <w:adjustRightInd w:val="0"/>
              <w:snapToGrid w:val="0"/>
              <w:jc w:val="center"/>
              <w:rPr>
                <w:kern w:val="21"/>
                <w:szCs w:val="21"/>
              </w:rPr>
            </w:pPr>
            <w:r>
              <w:rPr>
                <w:kern w:val="21"/>
                <w:szCs w:val="21"/>
              </w:rPr>
              <w:t>行业类别</w:t>
            </w:r>
          </w:p>
        </w:tc>
        <w:tc>
          <w:tcPr>
            <w:tcW w:w="1489" w:type="pct"/>
            <w:vAlign w:val="center"/>
          </w:tcPr>
          <w:p>
            <w:pPr>
              <w:adjustRightInd w:val="0"/>
              <w:snapToGrid w:val="0"/>
              <w:jc w:val="center"/>
              <w:rPr>
                <w:kern w:val="21"/>
                <w:szCs w:val="21"/>
              </w:rPr>
            </w:pPr>
            <w:r>
              <w:rPr>
                <w:kern w:val="21"/>
                <w:szCs w:val="21"/>
              </w:rPr>
              <w:t>二十七、非金属矿物制品业30 “耐火材料制品制造308”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44" w:type="pct"/>
            <w:tcMar>
              <w:top w:w="16" w:type="dxa"/>
              <w:left w:w="16" w:type="dxa"/>
              <w:right w:w="16" w:type="dxa"/>
            </w:tcMar>
            <w:vAlign w:val="center"/>
          </w:tcPr>
          <w:p>
            <w:pPr>
              <w:adjustRightInd w:val="0"/>
              <w:snapToGrid w:val="0"/>
              <w:jc w:val="center"/>
              <w:rPr>
                <w:kern w:val="21"/>
                <w:szCs w:val="21"/>
              </w:rPr>
            </w:pPr>
            <w:r>
              <w:rPr>
                <w:kern w:val="21"/>
                <w:szCs w:val="21"/>
              </w:rPr>
              <w:t>建设性质</w:t>
            </w:r>
          </w:p>
        </w:tc>
        <w:tc>
          <w:tcPr>
            <w:tcW w:w="1187" w:type="pct"/>
            <w:vAlign w:val="center"/>
          </w:tcPr>
          <w:p>
            <w:pPr>
              <w:adjustRightInd w:val="0"/>
              <w:snapToGrid w:val="0"/>
              <w:jc w:val="left"/>
              <w:rPr>
                <w:kern w:val="21"/>
                <w:szCs w:val="21"/>
              </w:rPr>
            </w:pPr>
            <w:r>
              <w:rPr>
                <w:kern w:val="21"/>
                <w:szCs w:val="21"/>
              </w:rPr>
              <w:sym w:font="Wingdings 2" w:char="0052"/>
            </w:r>
            <w:r>
              <w:rPr>
                <w:kern w:val="21"/>
                <w:szCs w:val="21"/>
              </w:rPr>
              <w:t>新建（迁建）</w:t>
            </w:r>
          </w:p>
          <w:p>
            <w:pPr>
              <w:adjustRightInd w:val="0"/>
              <w:snapToGrid w:val="0"/>
              <w:jc w:val="left"/>
              <w:rPr>
                <w:kern w:val="21"/>
                <w:szCs w:val="21"/>
              </w:rPr>
            </w:pPr>
            <w:r>
              <w:rPr>
                <w:kern w:val="21"/>
                <w:szCs w:val="21"/>
              </w:rPr>
              <w:t>□改建</w:t>
            </w:r>
          </w:p>
          <w:p>
            <w:pPr>
              <w:adjustRightInd w:val="0"/>
              <w:snapToGrid w:val="0"/>
              <w:jc w:val="left"/>
              <w:rPr>
                <w:kern w:val="21"/>
                <w:szCs w:val="21"/>
              </w:rPr>
            </w:pPr>
            <w:r>
              <w:rPr>
                <w:kern w:val="21"/>
                <w:szCs w:val="21"/>
              </w:rPr>
              <w:t>□扩建</w:t>
            </w:r>
          </w:p>
          <w:p>
            <w:pPr>
              <w:adjustRightInd w:val="0"/>
              <w:snapToGrid w:val="0"/>
              <w:jc w:val="left"/>
              <w:rPr>
                <w:kern w:val="21"/>
                <w:szCs w:val="21"/>
              </w:rPr>
            </w:pPr>
            <w:r>
              <w:rPr>
                <w:kern w:val="21"/>
                <w:szCs w:val="21"/>
              </w:rPr>
              <w:t>□技术改造</w:t>
            </w:r>
          </w:p>
        </w:tc>
        <w:tc>
          <w:tcPr>
            <w:tcW w:w="1178" w:type="pct"/>
            <w:vAlign w:val="center"/>
          </w:tcPr>
          <w:p>
            <w:pPr>
              <w:adjustRightInd w:val="0"/>
              <w:snapToGrid w:val="0"/>
              <w:jc w:val="center"/>
              <w:rPr>
                <w:kern w:val="21"/>
                <w:szCs w:val="21"/>
              </w:rPr>
            </w:pPr>
            <w:r>
              <w:rPr>
                <w:kern w:val="21"/>
                <w:szCs w:val="21"/>
              </w:rPr>
              <w:t>建设项目申报情形</w:t>
            </w:r>
          </w:p>
        </w:tc>
        <w:tc>
          <w:tcPr>
            <w:tcW w:w="1489" w:type="pct"/>
            <w:vAlign w:val="center"/>
          </w:tcPr>
          <w:p>
            <w:pPr>
              <w:adjustRightInd w:val="0"/>
              <w:snapToGrid w:val="0"/>
              <w:jc w:val="left"/>
              <w:rPr>
                <w:kern w:val="21"/>
                <w:szCs w:val="21"/>
              </w:rPr>
            </w:pPr>
            <w:r>
              <w:rPr>
                <w:kern w:val="21"/>
                <w:szCs w:val="21"/>
              </w:rPr>
              <w:sym w:font="Wingdings 2" w:char="0052"/>
            </w:r>
            <w:r>
              <w:rPr>
                <w:kern w:val="21"/>
                <w:szCs w:val="21"/>
              </w:rPr>
              <w:t>首次申报项目</w:t>
            </w:r>
          </w:p>
          <w:p>
            <w:pPr>
              <w:adjustRightInd w:val="0"/>
              <w:snapToGrid w:val="0"/>
              <w:jc w:val="left"/>
              <w:rPr>
                <w:kern w:val="21"/>
                <w:szCs w:val="21"/>
              </w:rPr>
            </w:pPr>
            <w:r>
              <w:rPr>
                <w:kern w:val="21"/>
                <w:szCs w:val="21"/>
              </w:rPr>
              <w:t>□不予批准后再次申报项目</w:t>
            </w:r>
          </w:p>
          <w:p>
            <w:pPr>
              <w:adjustRightInd w:val="0"/>
              <w:snapToGrid w:val="0"/>
              <w:jc w:val="left"/>
              <w:rPr>
                <w:kern w:val="21"/>
                <w:szCs w:val="21"/>
              </w:rPr>
            </w:pPr>
            <w:r>
              <w:rPr>
                <w:kern w:val="21"/>
                <w:szCs w:val="21"/>
              </w:rPr>
              <w:t>□超五年重新审核项目</w:t>
            </w:r>
          </w:p>
          <w:p>
            <w:pPr>
              <w:adjustRightInd w:val="0"/>
              <w:snapToGrid w:val="0"/>
              <w:jc w:val="left"/>
              <w:rPr>
                <w:kern w:val="21"/>
                <w:szCs w:val="21"/>
              </w:rPr>
            </w:pPr>
            <w:r>
              <w:rPr>
                <w:kern w:val="21"/>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44" w:type="pct"/>
            <w:tcMar>
              <w:top w:w="16" w:type="dxa"/>
              <w:left w:w="16" w:type="dxa"/>
              <w:right w:w="16" w:type="dxa"/>
            </w:tcMar>
            <w:vAlign w:val="center"/>
          </w:tcPr>
          <w:p>
            <w:pPr>
              <w:adjustRightInd w:val="0"/>
              <w:snapToGrid w:val="0"/>
              <w:jc w:val="center"/>
              <w:rPr>
                <w:kern w:val="21"/>
                <w:szCs w:val="21"/>
              </w:rPr>
            </w:pPr>
            <w:r>
              <w:rPr>
                <w:kern w:val="21"/>
                <w:szCs w:val="21"/>
              </w:rPr>
              <w:t>项目审批（核准/</w:t>
            </w:r>
          </w:p>
          <w:p>
            <w:pPr>
              <w:adjustRightInd w:val="0"/>
              <w:snapToGrid w:val="0"/>
              <w:jc w:val="center"/>
              <w:rPr>
                <w:kern w:val="21"/>
                <w:szCs w:val="21"/>
              </w:rPr>
            </w:pPr>
            <w:r>
              <w:rPr>
                <w:kern w:val="21"/>
                <w:szCs w:val="21"/>
              </w:rPr>
              <w:t>备案）部门（选填）</w:t>
            </w:r>
          </w:p>
        </w:tc>
        <w:tc>
          <w:tcPr>
            <w:tcW w:w="1187" w:type="pct"/>
            <w:vAlign w:val="center"/>
          </w:tcPr>
          <w:p>
            <w:pPr>
              <w:adjustRightInd w:val="0"/>
              <w:snapToGrid w:val="0"/>
              <w:jc w:val="center"/>
              <w:rPr>
                <w:kern w:val="21"/>
                <w:szCs w:val="21"/>
              </w:rPr>
            </w:pPr>
            <w:r>
              <w:rPr>
                <w:kern w:val="21"/>
                <w:szCs w:val="21"/>
              </w:rPr>
              <w:t>淄博经济开发区经济发展局</w:t>
            </w:r>
          </w:p>
        </w:tc>
        <w:tc>
          <w:tcPr>
            <w:tcW w:w="1178" w:type="pct"/>
            <w:vAlign w:val="center"/>
          </w:tcPr>
          <w:p>
            <w:pPr>
              <w:adjustRightInd w:val="0"/>
              <w:snapToGrid w:val="0"/>
              <w:jc w:val="center"/>
              <w:rPr>
                <w:kern w:val="21"/>
                <w:szCs w:val="21"/>
              </w:rPr>
            </w:pPr>
            <w:r>
              <w:rPr>
                <w:kern w:val="21"/>
                <w:szCs w:val="21"/>
              </w:rPr>
              <w:t>项目审批（核准/</w:t>
            </w:r>
          </w:p>
          <w:p>
            <w:pPr>
              <w:adjustRightInd w:val="0"/>
              <w:snapToGrid w:val="0"/>
              <w:jc w:val="center"/>
              <w:rPr>
                <w:kern w:val="21"/>
                <w:szCs w:val="21"/>
              </w:rPr>
            </w:pPr>
            <w:r>
              <w:rPr>
                <w:kern w:val="21"/>
                <w:szCs w:val="21"/>
              </w:rPr>
              <w:t>备案）文号（选填）</w:t>
            </w:r>
          </w:p>
        </w:tc>
        <w:tc>
          <w:tcPr>
            <w:tcW w:w="1489" w:type="pct"/>
            <w:vAlign w:val="center"/>
          </w:tcPr>
          <w:p>
            <w:pPr>
              <w:adjustRightInd w:val="0"/>
              <w:snapToGrid w:val="0"/>
              <w:jc w:val="center"/>
              <w:rPr>
                <w:kern w:val="21"/>
                <w:szCs w:val="21"/>
              </w:rPr>
            </w:pPr>
            <w:r>
              <w:rPr>
                <w:kern w:val="21"/>
                <w:szCs w:val="21"/>
              </w:rPr>
              <w:t>2312-370393-89-03-421861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44" w:type="pct"/>
            <w:tcMar>
              <w:top w:w="16" w:type="dxa"/>
              <w:left w:w="16" w:type="dxa"/>
              <w:right w:w="16" w:type="dxa"/>
            </w:tcMar>
            <w:vAlign w:val="center"/>
          </w:tcPr>
          <w:p>
            <w:pPr>
              <w:adjustRightInd w:val="0"/>
              <w:snapToGrid w:val="0"/>
              <w:jc w:val="center"/>
              <w:rPr>
                <w:kern w:val="21"/>
                <w:szCs w:val="21"/>
              </w:rPr>
            </w:pPr>
            <w:r>
              <w:rPr>
                <w:kern w:val="21"/>
                <w:szCs w:val="21"/>
              </w:rPr>
              <w:t>总投资（万元）</w:t>
            </w:r>
          </w:p>
        </w:tc>
        <w:tc>
          <w:tcPr>
            <w:tcW w:w="1187" w:type="pct"/>
            <w:vAlign w:val="center"/>
          </w:tcPr>
          <w:p>
            <w:pPr>
              <w:adjustRightInd w:val="0"/>
              <w:snapToGrid w:val="0"/>
              <w:jc w:val="center"/>
              <w:rPr>
                <w:kern w:val="21"/>
                <w:szCs w:val="21"/>
              </w:rPr>
            </w:pPr>
            <w:r>
              <w:rPr>
                <w:kern w:val="21"/>
                <w:szCs w:val="21"/>
              </w:rPr>
              <w:t>2000</w:t>
            </w:r>
          </w:p>
        </w:tc>
        <w:tc>
          <w:tcPr>
            <w:tcW w:w="1178" w:type="pct"/>
            <w:tcMar>
              <w:top w:w="16" w:type="dxa"/>
              <w:left w:w="16" w:type="dxa"/>
              <w:right w:w="16" w:type="dxa"/>
            </w:tcMar>
            <w:vAlign w:val="center"/>
          </w:tcPr>
          <w:p>
            <w:pPr>
              <w:adjustRightInd w:val="0"/>
              <w:snapToGrid w:val="0"/>
              <w:jc w:val="center"/>
              <w:rPr>
                <w:kern w:val="21"/>
                <w:szCs w:val="21"/>
              </w:rPr>
            </w:pPr>
            <w:r>
              <w:rPr>
                <w:kern w:val="21"/>
                <w:szCs w:val="21"/>
              </w:rPr>
              <w:t>环保投资（万元）</w:t>
            </w:r>
          </w:p>
        </w:tc>
        <w:tc>
          <w:tcPr>
            <w:tcW w:w="1489" w:type="pct"/>
            <w:vAlign w:val="center"/>
          </w:tcPr>
          <w:p>
            <w:pPr>
              <w:adjustRightInd w:val="0"/>
              <w:snapToGrid w:val="0"/>
              <w:jc w:val="center"/>
              <w:rPr>
                <w:kern w:val="21"/>
                <w:szCs w:val="21"/>
              </w:rPr>
            </w:pPr>
            <w:r>
              <w:rPr>
                <w:kern w:val="21"/>
                <w:szCs w:val="21"/>
              </w:rPr>
              <w:t>70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44" w:type="pct"/>
            <w:tcMar>
              <w:top w:w="16" w:type="dxa"/>
              <w:left w:w="16" w:type="dxa"/>
              <w:right w:w="16" w:type="dxa"/>
            </w:tcMar>
            <w:vAlign w:val="center"/>
          </w:tcPr>
          <w:p>
            <w:pPr>
              <w:adjustRightInd w:val="0"/>
              <w:snapToGrid w:val="0"/>
              <w:jc w:val="center"/>
              <w:rPr>
                <w:kern w:val="21"/>
                <w:szCs w:val="21"/>
              </w:rPr>
            </w:pPr>
            <w:r>
              <w:rPr>
                <w:kern w:val="21"/>
                <w:szCs w:val="21"/>
              </w:rPr>
              <w:t>环保投资占比（%）</w:t>
            </w:r>
          </w:p>
        </w:tc>
        <w:tc>
          <w:tcPr>
            <w:tcW w:w="1187" w:type="pct"/>
            <w:vAlign w:val="center"/>
          </w:tcPr>
          <w:p>
            <w:pPr>
              <w:adjustRightInd w:val="0"/>
              <w:snapToGrid w:val="0"/>
              <w:jc w:val="center"/>
              <w:rPr>
                <w:kern w:val="21"/>
                <w:szCs w:val="21"/>
              </w:rPr>
            </w:pPr>
            <w:r>
              <w:rPr>
                <w:kern w:val="21"/>
                <w:szCs w:val="21"/>
              </w:rPr>
              <w:t>3.5</w:t>
            </w:r>
          </w:p>
        </w:tc>
        <w:tc>
          <w:tcPr>
            <w:tcW w:w="1178" w:type="pct"/>
            <w:tcMar>
              <w:top w:w="16" w:type="dxa"/>
              <w:left w:w="16" w:type="dxa"/>
              <w:right w:w="16" w:type="dxa"/>
            </w:tcMar>
            <w:vAlign w:val="center"/>
          </w:tcPr>
          <w:p>
            <w:pPr>
              <w:adjustRightInd w:val="0"/>
              <w:snapToGrid w:val="0"/>
              <w:jc w:val="center"/>
              <w:rPr>
                <w:kern w:val="21"/>
                <w:szCs w:val="21"/>
              </w:rPr>
            </w:pPr>
            <w:r>
              <w:rPr>
                <w:kern w:val="21"/>
                <w:szCs w:val="21"/>
              </w:rPr>
              <w:t>施工工期</w:t>
            </w:r>
          </w:p>
        </w:tc>
        <w:tc>
          <w:tcPr>
            <w:tcW w:w="1489" w:type="pct"/>
            <w:vAlign w:val="center"/>
          </w:tcPr>
          <w:p>
            <w:pPr>
              <w:adjustRightInd w:val="0"/>
              <w:snapToGrid w:val="0"/>
              <w:jc w:val="center"/>
              <w:rPr>
                <w:kern w:val="21"/>
                <w:szCs w:val="21"/>
              </w:rPr>
            </w:pPr>
            <w:r>
              <w:rPr>
                <w:kern w:val="21"/>
                <w:szCs w:val="21"/>
              </w:rPr>
              <w:t>12个月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44" w:type="pct"/>
            <w:tcMar>
              <w:top w:w="16" w:type="dxa"/>
              <w:left w:w="16" w:type="dxa"/>
              <w:right w:w="16" w:type="dxa"/>
            </w:tcMar>
            <w:vAlign w:val="center"/>
          </w:tcPr>
          <w:p>
            <w:pPr>
              <w:adjustRightInd w:val="0"/>
              <w:snapToGrid w:val="0"/>
              <w:jc w:val="center"/>
              <w:rPr>
                <w:kern w:val="21"/>
                <w:szCs w:val="21"/>
              </w:rPr>
            </w:pPr>
            <w:r>
              <w:rPr>
                <w:kern w:val="21"/>
                <w:szCs w:val="21"/>
              </w:rPr>
              <w:t>是否开工建设</w:t>
            </w:r>
          </w:p>
        </w:tc>
        <w:tc>
          <w:tcPr>
            <w:tcW w:w="1187" w:type="pct"/>
            <w:vAlign w:val="center"/>
          </w:tcPr>
          <w:p>
            <w:pPr>
              <w:adjustRightInd w:val="0"/>
              <w:snapToGrid w:val="0"/>
              <w:jc w:val="left"/>
              <w:rPr>
                <w:kern w:val="21"/>
                <w:szCs w:val="21"/>
              </w:rPr>
            </w:pPr>
            <w:r>
              <w:rPr>
                <w:kern w:val="21"/>
                <w:szCs w:val="21"/>
              </w:rPr>
              <w:sym w:font="Wingdings 2" w:char="0052"/>
            </w:r>
            <w:r>
              <w:rPr>
                <w:kern w:val="21"/>
                <w:szCs w:val="21"/>
              </w:rPr>
              <w:t>否</w:t>
            </w:r>
          </w:p>
          <w:p>
            <w:pPr>
              <w:adjustRightInd w:val="0"/>
              <w:snapToGrid w:val="0"/>
              <w:jc w:val="left"/>
              <w:rPr>
                <w:kern w:val="21"/>
                <w:szCs w:val="21"/>
              </w:rPr>
            </w:pPr>
            <w:r>
              <w:rPr>
                <w:kern w:val="21"/>
                <w:szCs w:val="21"/>
              </w:rPr>
              <w:sym w:font="Wingdings 2" w:char="00A3"/>
            </w:r>
            <w:r>
              <w:rPr>
                <w:kern w:val="21"/>
                <w:szCs w:val="21"/>
              </w:rPr>
              <w:t xml:space="preserve">是：          </w:t>
            </w:r>
          </w:p>
        </w:tc>
        <w:tc>
          <w:tcPr>
            <w:tcW w:w="1178" w:type="pct"/>
            <w:tcMar>
              <w:top w:w="16" w:type="dxa"/>
              <w:left w:w="16" w:type="dxa"/>
              <w:right w:w="16" w:type="dxa"/>
            </w:tcMar>
            <w:vAlign w:val="center"/>
          </w:tcPr>
          <w:p>
            <w:pPr>
              <w:adjustRightInd w:val="0"/>
              <w:snapToGrid w:val="0"/>
              <w:jc w:val="center"/>
              <w:rPr>
                <w:kern w:val="21"/>
                <w:szCs w:val="21"/>
              </w:rPr>
            </w:pPr>
            <w:r>
              <w:rPr>
                <w:kern w:val="21"/>
                <w:szCs w:val="21"/>
              </w:rPr>
              <w:t>用地（用海）</w:t>
            </w:r>
          </w:p>
          <w:p>
            <w:pPr>
              <w:adjustRightInd w:val="0"/>
              <w:snapToGrid w:val="0"/>
              <w:jc w:val="center"/>
              <w:rPr>
                <w:kern w:val="21"/>
                <w:szCs w:val="21"/>
              </w:rPr>
            </w:pPr>
            <w:r>
              <w:rPr>
                <w:kern w:val="21"/>
                <w:szCs w:val="21"/>
              </w:rPr>
              <w:t>面积（m</w:t>
            </w:r>
            <w:r>
              <w:rPr>
                <w:kern w:val="21"/>
                <w:szCs w:val="21"/>
                <w:vertAlign w:val="superscript"/>
              </w:rPr>
              <w:t>2</w:t>
            </w:r>
            <w:r>
              <w:rPr>
                <w:kern w:val="21"/>
                <w:szCs w:val="21"/>
              </w:rPr>
              <w:t>）</w:t>
            </w:r>
          </w:p>
        </w:tc>
        <w:tc>
          <w:tcPr>
            <w:tcW w:w="1489" w:type="pct"/>
            <w:vAlign w:val="center"/>
          </w:tcPr>
          <w:p>
            <w:pPr>
              <w:adjustRightInd w:val="0"/>
              <w:snapToGrid w:val="0"/>
              <w:jc w:val="center"/>
              <w:rPr>
                <w:kern w:val="21"/>
                <w:szCs w:val="21"/>
              </w:rPr>
            </w:pPr>
            <w:r>
              <w:rPr>
                <w:rFonts w:hint="eastAsia"/>
                <w:kern w:val="21"/>
                <w:szCs w:val="21"/>
              </w:rPr>
              <w:t>9333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44" w:type="pct"/>
            <w:vAlign w:val="center"/>
          </w:tcPr>
          <w:p>
            <w:pPr>
              <w:adjustRightInd w:val="0"/>
              <w:snapToGrid w:val="0"/>
              <w:jc w:val="center"/>
              <w:rPr>
                <w:kern w:val="21"/>
                <w:szCs w:val="21"/>
              </w:rPr>
            </w:pPr>
            <w:r>
              <w:rPr>
                <w:kern w:val="21"/>
                <w:szCs w:val="21"/>
              </w:rPr>
              <w:t>专项评价设置情况</w:t>
            </w:r>
          </w:p>
        </w:tc>
        <w:tc>
          <w:tcPr>
            <w:tcW w:w="3855" w:type="pct"/>
            <w:gridSpan w:val="3"/>
            <w:vAlign w:val="center"/>
          </w:tcPr>
          <w:p>
            <w:pPr>
              <w:adjustRightInd w:val="0"/>
              <w:snapToGrid w:val="0"/>
              <w:rPr>
                <w:kern w:val="21"/>
                <w:szCs w:val="21"/>
              </w:rPr>
            </w:pPr>
            <w:r>
              <w:rPr>
                <w:kern w:val="21"/>
                <w:szCs w:val="21"/>
              </w:rPr>
              <w:t>1、大气专项评价：本项目排放废气不涉及有毒有害污染物、二噁英、苯并[a]芘、氰化物等；</w:t>
            </w:r>
          </w:p>
          <w:p>
            <w:pPr>
              <w:adjustRightInd w:val="0"/>
              <w:snapToGrid w:val="0"/>
              <w:rPr>
                <w:kern w:val="21"/>
                <w:szCs w:val="21"/>
              </w:rPr>
            </w:pPr>
            <w:r>
              <w:rPr>
                <w:kern w:val="21"/>
                <w:szCs w:val="21"/>
              </w:rPr>
              <w:t>2、地表水专项评价：本项目无废水直排；</w:t>
            </w:r>
          </w:p>
          <w:p>
            <w:pPr>
              <w:adjustRightInd w:val="0"/>
              <w:snapToGrid w:val="0"/>
              <w:rPr>
                <w:kern w:val="21"/>
                <w:szCs w:val="21"/>
              </w:rPr>
            </w:pPr>
            <w:r>
              <w:rPr>
                <w:kern w:val="21"/>
                <w:szCs w:val="21"/>
              </w:rPr>
              <w:t>3、环境风险专项评价：本项目Q＜1；</w:t>
            </w:r>
          </w:p>
          <w:p>
            <w:pPr>
              <w:adjustRightInd w:val="0"/>
              <w:snapToGrid w:val="0"/>
              <w:rPr>
                <w:kern w:val="21"/>
                <w:szCs w:val="21"/>
              </w:rPr>
            </w:pPr>
            <w:r>
              <w:rPr>
                <w:kern w:val="21"/>
                <w:szCs w:val="21"/>
              </w:rPr>
              <w:t>4、生态专项评价：本项目用水由当地供水管网供给，不涉及自然取水；</w:t>
            </w:r>
          </w:p>
          <w:p>
            <w:pPr>
              <w:adjustRightInd w:val="0"/>
              <w:snapToGrid w:val="0"/>
              <w:rPr>
                <w:kern w:val="21"/>
                <w:szCs w:val="21"/>
              </w:rPr>
            </w:pPr>
            <w:r>
              <w:rPr>
                <w:kern w:val="21"/>
                <w:szCs w:val="21"/>
              </w:rPr>
              <w:t>5、海洋专项评价：本项目不向海洋排放污染物。</w:t>
            </w:r>
          </w:p>
          <w:p>
            <w:pPr>
              <w:adjustRightInd w:val="0"/>
              <w:snapToGrid w:val="0"/>
              <w:rPr>
                <w:kern w:val="21"/>
                <w:szCs w:val="21"/>
              </w:rPr>
            </w:pPr>
            <w:r>
              <w:rPr>
                <w:kern w:val="21"/>
                <w:szCs w:val="21"/>
              </w:rPr>
              <w:t>综上所述，本项目无需开展专项评价。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44" w:type="pct"/>
            <w:vAlign w:val="center"/>
          </w:tcPr>
          <w:p>
            <w:pPr>
              <w:adjustRightInd w:val="0"/>
              <w:snapToGrid w:val="0"/>
              <w:jc w:val="center"/>
              <w:rPr>
                <w:kern w:val="21"/>
                <w:szCs w:val="21"/>
              </w:rPr>
            </w:pPr>
            <w:r>
              <w:rPr>
                <w:kern w:val="21"/>
                <w:szCs w:val="21"/>
              </w:rPr>
              <w:t>规划情况</w:t>
            </w:r>
          </w:p>
        </w:tc>
        <w:tc>
          <w:tcPr>
            <w:tcW w:w="3855" w:type="pct"/>
            <w:gridSpan w:val="3"/>
            <w:vAlign w:val="center"/>
          </w:tcPr>
          <w:p>
            <w:pPr>
              <w:adjustRightInd w:val="0"/>
              <w:snapToGrid w:val="0"/>
              <w:jc w:val="center"/>
              <w:rPr>
                <w:kern w:val="21"/>
                <w:szCs w:val="21"/>
              </w:rPr>
            </w:pPr>
            <w:r>
              <w:rPr>
                <w:kern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44" w:type="pct"/>
            <w:vAlign w:val="center"/>
          </w:tcPr>
          <w:p>
            <w:pPr>
              <w:adjustRightInd w:val="0"/>
              <w:snapToGrid w:val="0"/>
              <w:jc w:val="center"/>
              <w:rPr>
                <w:kern w:val="21"/>
                <w:szCs w:val="21"/>
              </w:rPr>
            </w:pPr>
            <w:r>
              <w:rPr>
                <w:kern w:val="21"/>
                <w:szCs w:val="21"/>
              </w:rPr>
              <w:t>规划环境影响</w:t>
            </w:r>
          </w:p>
          <w:p>
            <w:pPr>
              <w:adjustRightInd w:val="0"/>
              <w:snapToGrid w:val="0"/>
              <w:jc w:val="center"/>
              <w:rPr>
                <w:kern w:val="21"/>
                <w:szCs w:val="21"/>
              </w:rPr>
            </w:pPr>
            <w:r>
              <w:rPr>
                <w:kern w:val="21"/>
                <w:szCs w:val="21"/>
              </w:rPr>
              <w:t>评价情况</w:t>
            </w:r>
          </w:p>
        </w:tc>
        <w:tc>
          <w:tcPr>
            <w:tcW w:w="3855" w:type="pct"/>
            <w:gridSpan w:val="3"/>
            <w:vAlign w:val="center"/>
          </w:tcPr>
          <w:p>
            <w:pPr>
              <w:adjustRightInd w:val="0"/>
              <w:snapToGrid w:val="0"/>
              <w:jc w:val="center"/>
              <w:rPr>
                <w:kern w:val="21"/>
                <w:szCs w:val="21"/>
              </w:rPr>
            </w:pPr>
            <w:r>
              <w:rPr>
                <w:kern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44" w:type="pct"/>
            <w:vAlign w:val="center"/>
          </w:tcPr>
          <w:p>
            <w:pPr>
              <w:adjustRightInd w:val="0"/>
              <w:snapToGrid w:val="0"/>
              <w:jc w:val="center"/>
              <w:rPr>
                <w:kern w:val="21"/>
                <w:szCs w:val="21"/>
              </w:rPr>
            </w:pPr>
            <w:r>
              <w:rPr>
                <w:kern w:val="21"/>
                <w:szCs w:val="21"/>
              </w:rPr>
              <w:t>规划及规划环境</w:t>
            </w:r>
          </w:p>
          <w:p>
            <w:pPr>
              <w:adjustRightInd w:val="0"/>
              <w:snapToGrid w:val="0"/>
              <w:jc w:val="center"/>
              <w:rPr>
                <w:kern w:val="21"/>
                <w:szCs w:val="21"/>
              </w:rPr>
            </w:pPr>
            <w:r>
              <w:rPr>
                <w:kern w:val="21"/>
                <w:szCs w:val="21"/>
              </w:rPr>
              <w:t>影响评价符合性分析</w:t>
            </w:r>
          </w:p>
        </w:tc>
        <w:tc>
          <w:tcPr>
            <w:tcW w:w="3855" w:type="pct"/>
            <w:gridSpan w:val="3"/>
            <w:vAlign w:val="center"/>
          </w:tcPr>
          <w:p>
            <w:pPr>
              <w:adjustRightInd w:val="0"/>
              <w:snapToGrid w:val="0"/>
              <w:jc w:val="center"/>
              <w:rPr>
                <w:kern w:val="21"/>
                <w:szCs w:val="21"/>
              </w:rPr>
            </w:pPr>
            <w:r>
              <w:rPr>
                <w:kern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74" w:hRule="atLeast"/>
          <w:jc w:val="center"/>
        </w:trPr>
        <w:tc>
          <w:tcPr>
            <w:tcW w:w="1144" w:type="pct"/>
            <w:vAlign w:val="center"/>
          </w:tcPr>
          <w:p>
            <w:pPr>
              <w:autoSpaceDE w:val="0"/>
              <w:autoSpaceDN w:val="0"/>
              <w:adjustRightInd w:val="0"/>
              <w:snapToGrid w:val="0"/>
              <w:jc w:val="center"/>
              <w:rPr>
                <w:kern w:val="21"/>
                <w:szCs w:val="21"/>
              </w:rPr>
            </w:pPr>
            <w:r>
              <w:rPr>
                <w:kern w:val="21"/>
                <w:szCs w:val="21"/>
              </w:rPr>
              <w:t>其他符合性分析</w:t>
            </w:r>
          </w:p>
        </w:tc>
        <w:tc>
          <w:tcPr>
            <w:tcW w:w="3855" w:type="pct"/>
            <w:gridSpan w:val="3"/>
            <w:vAlign w:val="center"/>
          </w:tcPr>
          <w:p>
            <w:pPr>
              <w:autoSpaceDE w:val="0"/>
              <w:autoSpaceDN w:val="0"/>
              <w:adjustRightInd w:val="0"/>
              <w:snapToGrid w:val="0"/>
              <w:spacing w:line="360" w:lineRule="auto"/>
              <w:ind w:firstLine="422" w:firstLineChars="200"/>
              <w:rPr>
                <w:b/>
                <w:bCs/>
              </w:rPr>
            </w:pPr>
            <w:r>
              <w:rPr>
                <w:b/>
                <w:bCs/>
              </w:rPr>
              <w:t>1、产业政策符合性分析</w:t>
            </w:r>
          </w:p>
          <w:p>
            <w:pPr>
              <w:autoSpaceDE w:val="0"/>
              <w:autoSpaceDN w:val="0"/>
              <w:adjustRightInd w:val="0"/>
              <w:snapToGrid w:val="0"/>
              <w:spacing w:line="360" w:lineRule="auto"/>
              <w:ind w:firstLine="420" w:firstLineChars="200"/>
            </w:pPr>
            <w:r>
              <w:t>本项目行业类别属于“C3089耐火陶瓷制品及其他耐火材料制造”，产品、工艺和生产能力均不属于国家发展和改革委员会发布的《产业结构调整指导目录（</w:t>
            </w:r>
            <w:r>
              <w:rPr>
                <w:rFonts w:hint="eastAsia"/>
              </w:rPr>
              <w:t>2024年本</w:t>
            </w:r>
            <w:r>
              <w:t>）》和淄博市人民政府办公厅《关于印发淄博市产业结构调整指导意见和指导目录的通知》（淄政办发[2011]35号）中“鼓励类”、“限制类”和“淘汰类”项目，为允许建设项目，符合国家和淄博市产业政策要求；本项目已在山东省投资项目在线审批监管平台登记备案，备案文号：</w:t>
            </w:r>
            <w:r>
              <w:rPr>
                <w:szCs w:val="21"/>
              </w:rPr>
              <w:t>2312-370393-89-03-421861</w:t>
            </w:r>
            <w:r>
              <w:t>，详细备案文件见附件5。</w:t>
            </w:r>
          </w:p>
          <w:p>
            <w:pPr>
              <w:autoSpaceDE w:val="0"/>
              <w:autoSpaceDN w:val="0"/>
              <w:adjustRightInd w:val="0"/>
              <w:snapToGrid w:val="0"/>
              <w:spacing w:line="360" w:lineRule="auto"/>
              <w:ind w:firstLine="420" w:firstLineChars="200"/>
            </w:pPr>
            <w:r>
              <w:t>综上，本项目的建设符合国家和淄博市产业政策的要求。</w:t>
            </w:r>
          </w:p>
          <w:p>
            <w:pPr>
              <w:autoSpaceDE w:val="0"/>
              <w:autoSpaceDN w:val="0"/>
              <w:adjustRightInd w:val="0"/>
              <w:snapToGrid w:val="0"/>
              <w:spacing w:line="360" w:lineRule="auto"/>
              <w:ind w:firstLine="422" w:firstLineChars="200"/>
              <w:rPr>
                <w:b/>
                <w:bCs/>
              </w:rPr>
            </w:pPr>
            <w:r>
              <w:rPr>
                <w:b/>
                <w:bCs/>
              </w:rPr>
              <w:t>2、淄博市总体规划符合性分析</w:t>
            </w:r>
          </w:p>
          <w:p>
            <w:pPr>
              <w:adjustRightInd w:val="0"/>
              <w:snapToGrid w:val="0"/>
              <w:spacing w:line="360" w:lineRule="auto"/>
              <w:ind w:firstLine="420" w:firstLineChars="200"/>
              <w:jc w:val="left"/>
            </w:pPr>
            <w:r>
              <w:t>本项目位于</w:t>
            </w:r>
            <w:r>
              <w:rPr>
                <w:kern w:val="21"/>
                <w:szCs w:val="21"/>
              </w:rPr>
              <w:t>山东省淄博市经济开发区南定镇昌盛路9-7号</w:t>
            </w:r>
            <w:r>
              <w:t>，根据淄博市国土空间总体规划（2021-2035年）及《山东华清新材料科技有限公司年产2万吨人造铝矾石项目的初审意见》（南经发办[2023]62号），项目位置用地类型为工业用地，位于工业聚集区，符合镇总体规划，项目与淄博市国土空间总体规划（2021-2035年）位置关系图详见附图6，南定镇初审意见详见附件6。</w:t>
            </w:r>
          </w:p>
          <w:p>
            <w:pPr>
              <w:autoSpaceDE w:val="0"/>
              <w:autoSpaceDN w:val="0"/>
              <w:adjustRightInd w:val="0"/>
              <w:snapToGrid w:val="0"/>
              <w:spacing w:line="360" w:lineRule="auto"/>
              <w:ind w:firstLine="422" w:firstLineChars="200"/>
              <w:rPr>
                <w:b/>
                <w:bCs/>
              </w:rPr>
            </w:pPr>
            <w:r>
              <w:rPr>
                <w:b/>
                <w:bCs/>
              </w:rPr>
              <w:t>3、“</w:t>
            </w:r>
            <w:r>
              <w:rPr>
                <w:rFonts w:hint="eastAsia"/>
                <w:b/>
                <w:bCs/>
              </w:rPr>
              <w:t>三区三线</w:t>
            </w:r>
            <w:r>
              <w:rPr>
                <w:b/>
                <w:bCs/>
              </w:rPr>
              <w:t>”符合性分析</w:t>
            </w:r>
          </w:p>
          <w:p>
            <w:pPr>
              <w:autoSpaceDE w:val="0"/>
              <w:autoSpaceDN w:val="0"/>
              <w:adjustRightInd w:val="0"/>
              <w:snapToGrid w:val="0"/>
              <w:spacing w:line="360" w:lineRule="auto"/>
              <w:ind w:firstLine="420" w:firstLineChars="200"/>
            </w:pPr>
            <w:r>
              <w:t>（1）与三区三线符合性分析</w:t>
            </w:r>
          </w:p>
          <w:p>
            <w:pPr>
              <w:autoSpaceDE w:val="0"/>
              <w:autoSpaceDN w:val="0"/>
              <w:adjustRightInd w:val="0"/>
              <w:snapToGrid w:val="0"/>
              <w:spacing w:line="360" w:lineRule="auto"/>
              <w:ind w:firstLine="420" w:firstLineChars="200"/>
            </w:pPr>
            <w:r>
              <w:t>根据淄博经开区国土空间规划三区三线分布图的划分区域，本项目位于城镇开发边界内，不在生态保护红线内，不属于永久基本农田，详见附图5项目区域三区三线图。</w:t>
            </w:r>
          </w:p>
          <w:p>
            <w:pPr>
              <w:autoSpaceDE w:val="0"/>
              <w:autoSpaceDN w:val="0"/>
              <w:adjustRightInd w:val="0"/>
              <w:snapToGrid w:val="0"/>
              <w:spacing w:line="360" w:lineRule="auto"/>
              <w:ind w:firstLine="420" w:firstLineChars="200"/>
            </w:pPr>
            <w:r>
              <w:t>（2）环境质量底线</w:t>
            </w:r>
          </w:p>
          <w:p>
            <w:pPr>
              <w:autoSpaceDE w:val="0"/>
              <w:autoSpaceDN w:val="0"/>
              <w:adjustRightInd w:val="0"/>
              <w:snapToGrid w:val="0"/>
              <w:spacing w:line="360" w:lineRule="auto"/>
              <w:ind w:firstLine="420" w:firstLineChars="200"/>
            </w:pPr>
            <w:r>
              <w:t>项目周边环境空气质量不符合《环境空气质量标准》（GB3095-2012）及修改单二级质量要求；项目区域地表水漫泗河水质能够满足《地表水环境质量标准》（GB3838-2002）中的Ⅴ类标准；项目区域地下水符合《地下水质量标准》（GB/T14848-2017）Ⅲ类标准要求；项目区域噪声符合《声环境质量标准》（GB3096-2008）2类标准要求。该项目所排放的污染物对周围环境的影响较小，在可接受范围之内。项目所排放的污染物满足相关排放标准，满足总量控制指标的要求，不影响当地污染物减排任务的完成，该项目对周围环境的影响程度不大，满足环境质量底线要求。</w:t>
            </w:r>
            <w:r>
              <w:rPr>
                <w:lang w:val="zh-CN"/>
              </w:rPr>
              <w:t xml:space="preserve"> </w:t>
            </w:r>
          </w:p>
          <w:p>
            <w:pPr>
              <w:autoSpaceDE w:val="0"/>
              <w:autoSpaceDN w:val="0"/>
              <w:adjustRightInd w:val="0"/>
              <w:snapToGrid w:val="0"/>
              <w:spacing w:line="360" w:lineRule="auto"/>
              <w:ind w:firstLine="420" w:firstLineChars="200"/>
            </w:pPr>
            <w:r>
              <w:t>（3）资源利用上线</w:t>
            </w:r>
          </w:p>
          <w:p>
            <w:pPr>
              <w:autoSpaceDE w:val="0"/>
              <w:autoSpaceDN w:val="0"/>
              <w:adjustRightInd w:val="0"/>
              <w:snapToGrid w:val="0"/>
              <w:spacing w:line="360" w:lineRule="auto"/>
              <w:ind w:firstLine="420" w:firstLineChars="200"/>
            </w:pPr>
            <w:r>
              <w:rPr>
                <w:kern w:val="21"/>
                <w:szCs w:val="21"/>
              </w:rPr>
              <w:t>本项目租赁山东省淄博市经济开发区南定镇昌盛路9-7号厂房</w:t>
            </w:r>
            <w:r>
              <w:t>，利用现有厂房进行生产，所需能源主要为电、水，电由南定供电所接入，水由淄博市自来水有限责任公司提供，足够满足项目使用。项目资源利用量相对于区域资源利用总量较少，符合资源利用上线的要求。</w:t>
            </w:r>
          </w:p>
          <w:p>
            <w:pPr>
              <w:autoSpaceDE w:val="0"/>
              <w:autoSpaceDN w:val="0"/>
              <w:adjustRightInd w:val="0"/>
              <w:snapToGrid w:val="0"/>
              <w:spacing w:line="360" w:lineRule="auto"/>
              <w:ind w:firstLine="420" w:firstLineChars="200"/>
            </w:pPr>
            <w:r>
              <w:t>（4）环境准入清单</w:t>
            </w:r>
          </w:p>
          <w:p>
            <w:pPr>
              <w:autoSpaceDE w:val="0"/>
              <w:autoSpaceDN w:val="0"/>
              <w:adjustRightInd w:val="0"/>
              <w:snapToGrid w:val="0"/>
              <w:spacing w:line="360" w:lineRule="auto"/>
              <w:ind w:firstLine="420" w:firstLineChars="200"/>
              <w:rPr>
                <w:lang w:val="zh-CN"/>
              </w:rPr>
            </w:pPr>
            <w:r>
              <w:rPr>
                <w:lang w:val="zh-CN"/>
              </w:rPr>
              <w:t>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p>
          <w:p>
            <w:pPr>
              <w:autoSpaceDE w:val="0"/>
              <w:autoSpaceDN w:val="0"/>
              <w:adjustRightInd w:val="0"/>
              <w:snapToGrid w:val="0"/>
              <w:spacing w:line="360" w:lineRule="auto"/>
              <w:ind w:firstLine="420" w:firstLineChars="200"/>
              <w:rPr>
                <w:lang w:val="zh-CN"/>
              </w:rPr>
            </w:pPr>
            <w:r>
              <w:rPr>
                <w:lang w:val="zh-CN"/>
              </w:rPr>
              <w:t>项目位于</w:t>
            </w:r>
            <w:r>
              <w:rPr>
                <w:kern w:val="21"/>
                <w:szCs w:val="21"/>
              </w:rPr>
              <w:t>山东省淄博市经济开发区南定镇昌盛路9-7号厂房</w:t>
            </w:r>
            <w:r>
              <w:rPr>
                <w:lang w:val="zh-CN"/>
              </w:rPr>
              <w:t>。根据关</w:t>
            </w:r>
            <w:bookmarkStart w:id="2" w:name="_GoBack"/>
            <w:bookmarkEnd w:id="2"/>
            <w:r>
              <w:rPr>
                <w:lang w:val="zh-CN"/>
              </w:rPr>
              <w:t>于印发《淄博市“三线一单”生态环境准入</w:t>
            </w:r>
            <w:r>
              <w:rPr>
                <w:highlight w:val="none"/>
                <w:lang w:val="zh-CN"/>
              </w:rPr>
              <w:t>清单（动态更新版）》的通知（淄环</w:t>
            </w:r>
            <w:r>
              <w:rPr>
                <w:highlight w:val="none"/>
                <w:lang w:val="zh-CN"/>
              </w:rPr>
              <w:t>委办〔2021〕24号），项目位于淄博经济开发区南定镇，属于</w:t>
            </w:r>
            <w:r>
              <w:rPr>
                <w:rFonts w:hint="eastAsia"/>
                <w:highlight w:val="none"/>
                <w:lang w:val="en-US" w:eastAsia="zh-CN"/>
              </w:rPr>
              <w:t>重点</w:t>
            </w:r>
            <w:r>
              <w:rPr>
                <w:highlight w:val="none"/>
                <w:lang w:val="zh-CN"/>
              </w:rPr>
              <w:t>管控单元</w:t>
            </w:r>
            <w:r>
              <w:rPr>
                <w:rFonts w:hint="eastAsia"/>
                <w:highlight w:val="none"/>
                <w:lang w:val="zh-CN"/>
              </w:rPr>
              <w:t>ZH37030320007</w:t>
            </w:r>
            <w:r>
              <w:rPr>
                <w:highlight w:val="none"/>
                <w:lang w:val="zh-CN"/>
              </w:rPr>
              <w:t>。项目与《淄博市“三线一单”生态环境准入清单（动态更新版）》符合性分析见表1-2，项目与淄博市环境管控单元位置关系图详见附图</w:t>
            </w:r>
            <w:r>
              <w:rPr>
                <w:rFonts w:hint="eastAsia"/>
                <w:highlight w:val="none"/>
              </w:rPr>
              <w:t>7</w:t>
            </w:r>
            <w:r>
              <w:rPr>
                <w:highlight w:val="none"/>
                <w:lang w:val="zh-CN"/>
              </w:rPr>
              <w:t>。</w:t>
            </w:r>
          </w:p>
          <w:p>
            <w:pPr>
              <w:jc w:val="center"/>
              <w:rPr>
                <w:b/>
                <w:bCs/>
              </w:rPr>
            </w:pPr>
            <w:r>
              <w:rPr>
                <w:b/>
                <w:bCs/>
              </w:rPr>
              <w:t>表 1-2 与《淄博市“三线一单”生态环境准入清单（动态更新版）》符合性分析表</w:t>
            </w:r>
          </w:p>
          <w:tbl>
            <w:tblPr>
              <w:tblStyle w:val="40"/>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86"/>
              <w:gridCol w:w="2951"/>
              <w:gridCol w:w="1801"/>
              <w:gridCol w:w="114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1" w:type="pct"/>
                  <w:tcBorders>
                    <w:tl2br w:val="nil"/>
                    <w:tr2bl w:val="nil"/>
                  </w:tcBorders>
                  <w:vAlign w:val="center"/>
                </w:tcPr>
                <w:p>
                  <w:pPr>
                    <w:jc w:val="center"/>
                    <w:rPr>
                      <w:b/>
                      <w:bCs/>
                    </w:rPr>
                  </w:pPr>
                  <w:r>
                    <w:rPr>
                      <w:b/>
                      <w:bCs/>
                    </w:rPr>
                    <w:t>分类</w:t>
                  </w:r>
                </w:p>
              </w:tc>
              <w:tc>
                <w:tcPr>
                  <w:tcW w:w="2241" w:type="pct"/>
                  <w:tcBorders>
                    <w:tl2br w:val="nil"/>
                    <w:tr2bl w:val="nil"/>
                  </w:tcBorders>
                  <w:vAlign w:val="center"/>
                </w:tcPr>
                <w:p>
                  <w:pPr>
                    <w:jc w:val="center"/>
                    <w:rPr>
                      <w:b/>
                      <w:bCs/>
                    </w:rPr>
                  </w:pPr>
                  <w:r>
                    <w:rPr>
                      <w:b/>
                      <w:bCs/>
                    </w:rPr>
                    <w:t>文件要求</w:t>
                  </w:r>
                </w:p>
              </w:tc>
              <w:tc>
                <w:tcPr>
                  <w:tcW w:w="1368" w:type="pct"/>
                  <w:tcBorders>
                    <w:tl2br w:val="nil"/>
                    <w:tr2bl w:val="nil"/>
                  </w:tcBorders>
                  <w:vAlign w:val="center"/>
                </w:tcPr>
                <w:p>
                  <w:pPr>
                    <w:jc w:val="center"/>
                    <w:rPr>
                      <w:b/>
                      <w:bCs/>
                    </w:rPr>
                  </w:pPr>
                  <w:r>
                    <w:rPr>
                      <w:b/>
                      <w:bCs/>
                    </w:rPr>
                    <w:t>本项目情况</w:t>
                  </w:r>
                </w:p>
              </w:tc>
              <w:tc>
                <w:tcPr>
                  <w:tcW w:w="869" w:type="pct"/>
                  <w:tcBorders>
                    <w:tl2br w:val="nil"/>
                    <w:tr2bl w:val="nil"/>
                  </w:tcBorders>
                  <w:vAlign w:val="center"/>
                </w:tcPr>
                <w:p>
                  <w:pPr>
                    <w:jc w:val="center"/>
                    <w:rPr>
                      <w:b/>
                      <w:bCs/>
                    </w:rPr>
                  </w:pPr>
                  <w:r>
                    <w:rPr>
                      <w:b/>
                      <w:bCs/>
                    </w:rPr>
                    <w:t>符合情况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1" w:type="pct"/>
                  <w:vMerge w:val="restart"/>
                  <w:tcBorders>
                    <w:tl2br w:val="nil"/>
                    <w:tr2bl w:val="nil"/>
                  </w:tcBorders>
                  <w:vAlign w:val="center"/>
                </w:tcPr>
                <w:p>
                  <w:pPr>
                    <w:adjustRightInd w:val="0"/>
                    <w:snapToGrid w:val="0"/>
                    <w:jc w:val="center"/>
                    <w:rPr>
                      <w:szCs w:val="21"/>
                    </w:rPr>
                  </w:pPr>
                  <w:r>
                    <w:rPr>
                      <w:szCs w:val="21"/>
                    </w:rPr>
                    <w:t>空间 约束 布局</w:t>
                  </w:r>
                </w:p>
              </w:tc>
              <w:tc>
                <w:tcPr>
                  <w:tcW w:w="2241" w:type="pct"/>
                  <w:tcBorders>
                    <w:tl2br w:val="nil"/>
                    <w:tr2bl w:val="nil"/>
                  </w:tcBorders>
                  <w:vAlign w:val="center"/>
                </w:tcPr>
                <w:p>
                  <w:pPr>
                    <w:adjustRightInd w:val="0"/>
                    <w:snapToGrid w:val="0"/>
                    <w:jc w:val="center"/>
                    <w:rPr>
                      <w:szCs w:val="21"/>
                    </w:rPr>
                  </w:pPr>
                  <w:r>
                    <w:rPr>
                      <w:szCs w:val="21"/>
                    </w:rPr>
                    <w:t>1.禁止新建、扩建《产业结构调整指导目录》（现行）明确的淘汰类项目和引入《市场准入负面清单》（现行）禁止准入类事项；鼓励对列入《产业结构调整指导目录》的限制类、淘汰类工业项目进行淘汰和提升改造。</w:t>
                  </w:r>
                </w:p>
              </w:tc>
              <w:tc>
                <w:tcPr>
                  <w:tcW w:w="1368" w:type="pct"/>
                  <w:tcBorders>
                    <w:tl2br w:val="nil"/>
                    <w:tr2bl w:val="nil"/>
                  </w:tcBorders>
                  <w:vAlign w:val="center"/>
                </w:tcPr>
                <w:p>
                  <w:pPr>
                    <w:adjustRightInd w:val="0"/>
                    <w:snapToGrid w:val="0"/>
                    <w:jc w:val="center"/>
                    <w:rPr>
                      <w:szCs w:val="21"/>
                    </w:rPr>
                  </w:pPr>
                  <w:r>
                    <w:rPr>
                      <w:szCs w:val="21"/>
                    </w:rPr>
                    <w:t>本项目不属于《</w:t>
                  </w:r>
                  <w:r>
                    <w:t>产业结构调整指导目录（</w:t>
                  </w:r>
                  <w:r>
                    <w:rPr>
                      <w:rFonts w:hint="eastAsia"/>
                    </w:rPr>
                    <w:t>2024年本</w:t>
                  </w:r>
                  <w:r>
                    <w:t>）</w:t>
                  </w:r>
                  <w:r>
                    <w:rPr>
                      <w:szCs w:val="21"/>
                    </w:rPr>
                    <w:t>》中鼓励类、限制类、淘汰类建设项目，属于允许类</w:t>
                  </w:r>
                </w:p>
              </w:tc>
              <w:tc>
                <w:tcPr>
                  <w:tcW w:w="869" w:type="pct"/>
                  <w:vMerge w:val="restart"/>
                  <w:tcBorders>
                    <w:tl2br w:val="nil"/>
                    <w:tr2bl w:val="nil"/>
                  </w:tcBorders>
                  <w:vAlign w:val="center"/>
                </w:tcPr>
                <w:p>
                  <w:pPr>
                    <w:adjustRightInd w:val="0"/>
                    <w:snapToGrid w:val="0"/>
                    <w:jc w:val="center"/>
                    <w:rPr>
                      <w:szCs w:val="21"/>
                    </w:rPr>
                  </w:pPr>
                  <w:r>
                    <w:rPr>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1" w:type="pct"/>
                  <w:vMerge w:val="continue"/>
                  <w:tcBorders>
                    <w:tl2br w:val="nil"/>
                    <w:tr2bl w:val="nil"/>
                  </w:tcBorders>
                  <w:vAlign w:val="center"/>
                </w:tcPr>
                <w:p>
                  <w:pPr>
                    <w:adjustRightInd w:val="0"/>
                    <w:snapToGrid w:val="0"/>
                    <w:jc w:val="center"/>
                    <w:rPr>
                      <w:szCs w:val="21"/>
                    </w:rPr>
                  </w:pPr>
                </w:p>
              </w:tc>
              <w:tc>
                <w:tcPr>
                  <w:tcW w:w="2241" w:type="pct"/>
                  <w:tcBorders>
                    <w:tl2br w:val="nil"/>
                    <w:tr2bl w:val="nil"/>
                  </w:tcBorders>
                  <w:vAlign w:val="center"/>
                </w:tcPr>
                <w:p>
                  <w:pPr>
                    <w:adjustRightInd w:val="0"/>
                    <w:snapToGrid w:val="0"/>
                    <w:jc w:val="center"/>
                    <w:rPr>
                      <w:szCs w:val="21"/>
                    </w:rPr>
                  </w:pPr>
                  <w:r>
                    <w:rPr>
                      <w:szCs w:val="21"/>
                    </w:rPr>
                    <w:t>2. 大气受体敏感区从严控制新建、扩建排放大气污染物的工业项目；科学合理规划布局商业、居住并严格执行。</w:t>
                  </w:r>
                </w:p>
              </w:tc>
              <w:tc>
                <w:tcPr>
                  <w:tcW w:w="1368" w:type="pct"/>
                  <w:tcBorders>
                    <w:tl2br w:val="nil"/>
                    <w:tr2bl w:val="nil"/>
                  </w:tcBorders>
                  <w:vAlign w:val="center"/>
                </w:tcPr>
                <w:p>
                  <w:pPr>
                    <w:adjustRightInd w:val="0"/>
                    <w:snapToGrid w:val="0"/>
                    <w:jc w:val="center"/>
                    <w:rPr>
                      <w:szCs w:val="21"/>
                    </w:rPr>
                  </w:pPr>
                  <w:r>
                    <w:rPr>
                      <w:szCs w:val="21"/>
                    </w:rPr>
                    <w:t>拟建项目选址不位于大气</w:t>
                  </w:r>
                  <w:r>
                    <w:rPr>
                      <w:rFonts w:hint="eastAsia"/>
                    </w:rPr>
                    <w:t>受体</w:t>
                  </w:r>
                  <w:r>
                    <w:rPr>
                      <w:szCs w:val="21"/>
                    </w:rPr>
                    <w:t>敏感区，本次废气经环保设施处理达标后排放。</w:t>
                  </w:r>
                </w:p>
              </w:tc>
              <w:tc>
                <w:tcPr>
                  <w:tcW w:w="869" w:type="pct"/>
                  <w:vMerge w:val="continue"/>
                  <w:tcBorders>
                    <w:tl2br w:val="nil"/>
                    <w:tr2bl w:val="nil"/>
                  </w:tcBorders>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26" w:hRule="atLeast"/>
              </w:trPr>
              <w:tc>
                <w:tcPr>
                  <w:tcW w:w="521" w:type="pct"/>
                  <w:vMerge w:val="continue"/>
                  <w:tcBorders>
                    <w:tl2br w:val="nil"/>
                    <w:tr2bl w:val="nil"/>
                  </w:tcBorders>
                  <w:vAlign w:val="center"/>
                </w:tcPr>
                <w:p>
                  <w:pPr>
                    <w:adjustRightInd w:val="0"/>
                    <w:snapToGrid w:val="0"/>
                    <w:jc w:val="center"/>
                    <w:rPr>
                      <w:szCs w:val="21"/>
                    </w:rPr>
                  </w:pPr>
                </w:p>
              </w:tc>
              <w:tc>
                <w:tcPr>
                  <w:tcW w:w="2241" w:type="pct"/>
                  <w:tcBorders>
                    <w:tl2br w:val="nil"/>
                    <w:tr2bl w:val="nil"/>
                  </w:tcBorders>
                  <w:vAlign w:val="center"/>
                </w:tcPr>
                <w:p>
                  <w:pPr>
                    <w:adjustRightInd w:val="0"/>
                    <w:snapToGrid w:val="0"/>
                    <w:jc w:val="center"/>
                    <w:rPr>
                      <w:szCs w:val="21"/>
                    </w:rPr>
                  </w:pPr>
                  <w:r>
                    <w:rPr>
                      <w:szCs w:val="21"/>
                    </w:rPr>
                    <w:t>3. 污水处理设施不健全、未正常运行或污水管网未覆盖的地区，未配套污水处理设施的项目不得建。</w:t>
                  </w:r>
                </w:p>
              </w:tc>
              <w:tc>
                <w:tcPr>
                  <w:tcW w:w="1368" w:type="pct"/>
                  <w:tcBorders>
                    <w:tl2br w:val="nil"/>
                    <w:tr2bl w:val="nil"/>
                  </w:tcBorders>
                  <w:vAlign w:val="center"/>
                </w:tcPr>
                <w:p>
                  <w:pPr>
                    <w:adjustRightInd w:val="0"/>
                    <w:snapToGrid w:val="0"/>
                    <w:jc w:val="center"/>
                    <w:rPr>
                      <w:szCs w:val="21"/>
                    </w:rPr>
                  </w:pPr>
                  <w:r>
                    <w:rPr>
                      <w:szCs w:val="21"/>
                    </w:rPr>
                    <w:t>本项目不涉及废水外排。</w:t>
                  </w:r>
                </w:p>
              </w:tc>
              <w:tc>
                <w:tcPr>
                  <w:tcW w:w="869" w:type="pct"/>
                  <w:vMerge w:val="continue"/>
                  <w:tcBorders>
                    <w:tl2br w:val="nil"/>
                    <w:tr2bl w:val="nil"/>
                  </w:tcBorders>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1" w:type="pct"/>
                  <w:vMerge w:val="continue"/>
                  <w:tcBorders>
                    <w:tl2br w:val="nil"/>
                    <w:tr2bl w:val="nil"/>
                  </w:tcBorders>
                  <w:vAlign w:val="center"/>
                </w:tcPr>
                <w:p>
                  <w:pPr>
                    <w:adjustRightInd w:val="0"/>
                    <w:snapToGrid w:val="0"/>
                    <w:jc w:val="center"/>
                    <w:rPr>
                      <w:szCs w:val="21"/>
                    </w:rPr>
                  </w:pPr>
                </w:p>
              </w:tc>
              <w:tc>
                <w:tcPr>
                  <w:tcW w:w="2241" w:type="pct"/>
                  <w:tcBorders>
                    <w:tl2br w:val="nil"/>
                    <w:tr2bl w:val="nil"/>
                  </w:tcBorders>
                  <w:vAlign w:val="center"/>
                </w:tcPr>
                <w:p>
                  <w:pPr>
                    <w:adjustRightInd w:val="0"/>
                    <w:snapToGrid w:val="0"/>
                    <w:jc w:val="center"/>
                    <w:rPr>
                      <w:szCs w:val="21"/>
                    </w:rPr>
                  </w:pPr>
                  <w:r>
                    <w:rPr>
                      <w:szCs w:val="21"/>
                    </w:rPr>
                    <w:t>4. 按照省市要求，严格控制“两高”项目，新建“两高”项目实行“五个减量替代”</w:t>
                  </w:r>
                </w:p>
              </w:tc>
              <w:tc>
                <w:tcPr>
                  <w:tcW w:w="1368" w:type="pct"/>
                  <w:tcBorders>
                    <w:tl2br w:val="nil"/>
                    <w:tr2bl w:val="nil"/>
                  </w:tcBorders>
                  <w:vAlign w:val="center"/>
                </w:tcPr>
                <w:p>
                  <w:pPr>
                    <w:adjustRightInd w:val="0"/>
                    <w:snapToGrid w:val="0"/>
                    <w:jc w:val="center"/>
                    <w:rPr>
                      <w:szCs w:val="21"/>
                    </w:rPr>
                  </w:pPr>
                  <w:r>
                    <w:rPr>
                      <w:szCs w:val="21"/>
                    </w:rPr>
                    <w:t>本项目不属于两高项目。</w:t>
                  </w:r>
                </w:p>
              </w:tc>
              <w:tc>
                <w:tcPr>
                  <w:tcW w:w="869" w:type="pct"/>
                  <w:vMerge w:val="continue"/>
                  <w:tcBorders>
                    <w:tl2br w:val="nil"/>
                    <w:tr2bl w:val="nil"/>
                  </w:tcBorders>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1" w:type="pct"/>
                  <w:vMerge w:val="continue"/>
                  <w:tcBorders>
                    <w:tl2br w:val="nil"/>
                    <w:tr2bl w:val="nil"/>
                  </w:tcBorders>
                  <w:vAlign w:val="center"/>
                </w:tcPr>
                <w:p>
                  <w:pPr>
                    <w:adjustRightInd w:val="0"/>
                    <w:snapToGrid w:val="0"/>
                    <w:jc w:val="center"/>
                    <w:rPr>
                      <w:szCs w:val="21"/>
                    </w:rPr>
                  </w:pPr>
                </w:p>
              </w:tc>
              <w:tc>
                <w:tcPr>
                  <w:tcW w:w="2241" w:type="pct"/>
                  <w:tcBorders>
                    <w:tl2br w:val="nil"/>
                    <w:tr2bl w:val="nil"/>
                  </w:tcBorders>
                  <w:vAlign w:val="center"/>
                </w:tcPr>
                <w:p>
                  <w:pPr>
                    <w:adjustRightInd w:val="0"/>
                    <w:snapToGrid w:val="0"/>
                    <w:jc w:val="center"/>
                    <w:rPr>
                      <w:szCs w:val="21"/>
                    </w:rPr>
                  </w:pPr>
                  <w:r>
                    <w:rPr>
                      <w:szCs w:val="21"/>
                    </w:rPr>
                    <w:t>5.新建有污染物排放的工业项目，除在安全生产等方面有特殊要求的以外，应当进入工业园区或工业聚集区。</w:t>
                  </w:r>
                </w:p>
              </w:tc>
              <w:tc>
                <w:tcPr>
                  <w:tcW w:w="1368" w:type="pct"/>
                  <w:tcBorders>
                    <w:tl2br w:val="nil"/>
                    <w:tr2bl w:val="nil"/>
                  </w:tcBorders>
                  <w:vAlign w:val="center"/>
                </w:tcPr>
                <w:p>
                  <w:pPr>
                    <w:adjustRightInd w:val="0"/>
                    <w:snapToGrid w:val="0"/>
                    <w:jc w:val="center"/>
                    <w:rPr>
                      <w:szCs w:val="21"/>
                    </w:rPr>
                  </w:pPr>
                  <w:r>
                    <w:rPr>
                      <w:szCs w:val="21"/>
                    </w:rPr>
                    <w:t>本项目位于工业聚集区，项目用地为工业用地，租赁现有闲置厂房，不新增用地。</w:t>
                  </w:r>
                </w:p>
              </w:tc>
              <w:tc>
                <w:tcPr>
                  <w:tcW w:w="869" w:type="pct"/>
                  <w:vMerge w:val="continue"/>
                  <w:tcBorders>
                    <w:tl2br w:val="nil"/>
                    <w:tr2bl w:val="nil"/>
                  </w:tcBorders>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1" w:type="pct"/>
                  <w:vMerge w:val="restart"/>
                  <w:tcBorders>
                    <w:tl2br w:val="nil"/>
                    <w:tr2bl w:val="nil"/>
                  </w:tcBorders>
                  <w:vAlign w:val="center"/>
                </w:tcPr>
                <w:p>
                  <w:pPr>
                    <w:adjustRightInd w:val="0"/>
                    <w:snapToGrid w:val="0"/>
                    <w:jc w:val="center"/>
                    <w:rPr>
                      <w:szCs w:val="21"/>
                    </w:rPr>
                  </w:pPr>
                  <w:r>
                    <w:rPr>
                      <w:szCs w:val="21"/>
                    </w:rPr>
                    <w:t>污染 物排 放管 控</w:t>
                  </w:r>
                </w:p>
              </w:tc>
              <w:tc>
                <w:tcPr>
                  <w:tcW w:w="2241" w:type="pct"/>
                  <w:tcBorders>
                    <w:tl2br w:val="nil"/>
                    <w:tr2bl w:val="nil"/>
                  </w:tcBorders>
                  <w:vAlign w:val="center"/>
                </w:tcPr>
                <w:p>
                  <w:pPr>
                    <w:adjustRightInd w:val="0"/>
                    <w:snapToGrid w:val="0"/>
                    <w:jc w:val="center"/>
                    <w:rPr>
                      <w:szCs w:val="21"/>
                    </w:rPr>
                  </w:pPr>
                  <w:r>
                    <w:rPr>
                      <w:szCs w:val="21"/>
                    </w:rPr>
                    <w:t>1.涉“两高”项目企业应当积极实施节能改造提升，提高能源使用效率，推进节能减排。</w:t>
                  </w:r>
                </w:p>
              </w:tc>
              <w:tc>
                <w:tcPr>
                  <w:tcW w:w="1368" w:type="pct"/>
                  <w:tcBorders>
                    <w:tl2br w:val="nil"/>
                    <w:tr2bl w:val="nil"/>
                  </w:tcBorders>
                  <w:vAlign w:val="center"/>
                </w:tcPr>
                <w:p>
                  <w:pPr>
                    <w:adjustRightInd w:val="0"/>
                    <w:snapToGrid w:val="0"/>
                    <w:jc w:val="center"/>
                    <w:rPr>
                      <w:szCs w:val="21"/>
                    </w:rPr>
                  </w:pPr>
                  <w:r>
                    <w:rPr>
                      <w:szCs w:val="21"/>
                    </w:rPr>
                    <w:t>本项目不属于两高项目。</w:t>
                  </w:r>
                </w:p>
              </w:tc>
              <w:tc>
                <w:tcPr>
                  <w:tcW w:w="869" w:type="pct"/>
                  <w:vMerge w:val="restart"/>
                  <w:tcBorders>
                    <w:tl2br w:val="nil"/>
                    <w:tr2bl w:val="nil"/>
                  </w:tcBorders>
                  <w:vAlign w:val="center"/>
                </w:tcPr>
                <w:p>
                  <w:pPr>
                    <w:adjustRightInd w:val="0"/>
                    <w:snapToGrid w:val="0"/>
                    <w:jc w:val="center"/>
                    <w:rPr>
                      <w:szCs w:val="21"/>
                    </w:rPr>
                  </w:pPr>
                  <w:r>
                    <w:rPr>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1" w:type="pct"/>
                  <w:vMerge w:val="continue"/>
                  <w:tcBorders>
                    <w:tl2br w:val="nil"/>
                    <w:tr2bl w:val="nil"/>
                  </w:tcBorders>
                  <w:vAlign w:val="center"/>
                </w:tcPr>
                <w:p>
                  <w:pPr>
                    <w:adjustRightInd w:val="0"/>
                    <w:snapToGrid w:val="0"/>
                    <w:jc w:val="center"/>
                    <w:rPr>
                      <w:szCs w:val="21"/>
                    </w:rPr>
                  </w:pPr>
                </w:p>
              </w:tc>
              <w:tc>
                <w:tcPr>
                  <w:tcW w:w="2241" w:type="pct"/>
                  <w:tcBorders>
                    <w:tl2br w:val="nil"/>
                    <w:tr2bl w:val="nil"/>
                  </w:tcBorders>
                  <w:vAlign w:val="center"/>
                </w:tcPr>
                <w:p>
                  <w:pPr>
                    <w:adjustRightInd w:val="0"/>
                    <w:snapToGrid w:val="0"/>
                    <w:jc w:val="center"/>
                    <w:rPr>
                      <w:szCs w:val="21"/>
                    </w:rPr>
                  </w:pPr>
                  <w:r>
                    <w:rPr>
                      <w:szCs w:val="21"/>
                    </w:rPr>
                    <w:t>2.落实主要污染物总量替代要求，按照山东省生态环境厅《关于印发山东省建设项目主要大气污染物排放总量替代指标核算及管理办法的通知》，实施动态管控替代。</w:t>
                  </w:r>
                </w:p>
              </w:tc>
              <w:tc>
                <w:tcPr>
                  <w:tcW w:w="1368" w:type="pct"/>
                  <w:tcBorders>
                    <w:tl2br w:val="nil"/>
                    <w:tr2bl w:val="nil"/>
                  </w:tcBorders>
                  <w:vAlign w:val="center"/>
                </w:tcPr>
                <w:p>
                  <w:pPr>
                    <w:adjustRightInd w:val="0"/>
                    <w:snapToGrid w:val="0"/>
                    <w:jc w:val="center"/>
                    <w:rPr>
                      <w:szCs w:val="21"/>
                    </w:rPr>
                  </w:pPr>
                  <w:r>
                    <w:rPr>
                      <w:szCs w:val="21"/>
                    </w:rPr>
                    <w:t>按要求执行。</w:t>
                  </w:r>
                </w:p>
              </w:tc>
              <w:tc>
                <w:tcPr>
                  <w:tcW w:w="869" w:type="pct"/>
                  <w:vMerge w:val="continue"/>
                  <w:tcBorders>
                    <w:tl2br w:val="nil"/>
                    <w:tr2bl w:val="nil"/>
                  </w:tcBorders>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1" w:type="pct"/>
                  <w:vMerge w:val="continue"/>
                  <w:tcBorders>
                    <w:tl2br w:val="nil"/>
                    <w:tr2bl w:val="nil"/>
                  </w:tcBorders>
                  <w:vAlign w:val="center"/>
                </w:tcPr>
                <w:p>
                  <w:pPr>
                    <w:adjustRightInd w:val="0"/>
                    <w:snapToGrid w:val="0"/>
                    <w:jc w:val="center"/>
                    <w:rPr>
                      <w:szCs w:val="21"/>
                    </w:rPr>
                  </w:pPr>
                </w:p>
              </w:tc>
              <w:tc>
                <w:tcPr>
                  <w:tcW w:w="2241" w:type="pct"/>
                  <w:tcBorders>
                    <w:tl2br w:val="nil"/>
                    <w:tr2bl w:val="nil"/>
                  </w:tcBorders>
                  <w:vAlign w:val="center"/>
                </w:tcPr>
                <w:p>
                  <w:pPr>
                    <w:adjustRightInd w:val="0"/>
                    <w:snapToGrid w:val="0"/>
                    <w:jc w:val="center"/>
                    <w:rPr>
                      <w:szCs w:val="21"/>
                    </w:rPr>
                  </w:pPr>
                  <w:r>
                    <w:rPr>
                      <w:szCs w:val="21"/>
                    </w:rPr>
                    <w:t>3.废水应当按照要求进行预处理，达到行业排放标准或是综合排放标准后方可排放。</w:t>
                  </w:r>
                </w:p>
              </w:tc>
              <w:tc>
                <w:tcPr>
                  <w:tcW w:w="1368" w:type="pct"/>
                  <w:tcBorders>
                    <w:tl2br w:val="nil"/>
                    <w:tr2bl w:val="nil"/>
                  </w:tcBorders>
                  <w:vAlign w:val="center"/>
                </w:tcPr>
                <w:p>
                  <w:pPr>
                    <w:adjustRightInd w:val="0"/>
                    <w:snapToGrid w:val="0"/>
                    <w:jc w:val="center"/>
                    <w:rPr>
                      <w:szCs w:val="21"/>
                    </w:rPr>
                  </w:pPr>
                  <w:r>
                    <w:rPr>
                      <w:szCs w:val="21"/>
                    </w:rPr>
                    <w:t>本项目不涉及废水外排。</w:t>
                  </w:r>
                </w:p>
              </w:tc>
              <w:tc>
                <w:tcPr>
                  <w:tcW w:w="869" w:type="pct"/>
                  <w:vMerge w:val="continue"/>
                  <w:tcBorders>
                    <w:tl2br w:val="nil"/>
                    <w:tr2bl w:val="nil"/>
                  </w:tcBorders>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1" w:type="pct"/>
                  <w:vMerge w:val="continue"/>
                  <w:tcBorders>
                    <w:tl2br w:val="nil"/>
                    <w:tr2bl w:val="nil"/>
                  </w:tcBorders>
                  <w:vAlign w:val="center"/>
                </w:tcPr>
                <w:p>
                  <w:pPr>
                    <w:adjustRightInd w:val="0"/>
                    <w:snapToGrid w:val="0"/>
                    <w:jc w:val="center"/>
                    <w:rPr>
                      <w:szCs w:val="21"/>
                    </w:rPr>
                  </w:pPr>
                </w:p>
              </w:tc>
              <w:tc>
                <w:tcPr>
                  <w:tcW w:w="2241" w:type="pct"/>
                  <w:tcBorders>
                    <w:tl2br w:val="nil"/>
                    <w:tr2bl w:val="nil"/>
                  </w:tcBorders>
                  <w:vAlign w:val="center"/>
                </w:tcPr>
                <w:p>
                  <w:pPr>
                    <w:adjustRightInd w:val="0"/>
                    <w:snapToGrid w:val="0"/>
                    <w:jc w:val="center"/>
                    <w:rPr>
                      <w:szCs w:val="21"/>
                    </w:rPr>
                  </w:pPr>
                  <w:r>
                    <w:rPr>
                      <w:szCs w:val="21"/>
                    </w:rPr>
                    <w:t>4.禁止工业废水和生活污水未经处理直排环境；原则上除工业污水集中处理设施、城镇污水处理厂外不得新建入河排污口。</w:t>
                  </w:r>
                </w:p>
              </w:tc>
              <w:tc>
                <w:tcPr>
                  <w:tcW w:w="1368" w:type="pct"/>
                  <w:tcBorders>
                    <w:tl2br w:val="nil"/>
                    <w:tr2bl w:val="nil"/>
                  </w:tcBorders>
                  <w:vAlign w:val="center"/>
                </w:tcPr>
                <w:p>
                  <w:pPr>
                    <w:adjustRightInd w:val="0"/>
                    <w:snapToGrid w:val="0"/>
                    <w:jc w:val="center"/>
                    <w:rPr>
                      <w:szCs w:val="21"/>
                    </w:rPr>
                  </w:pPr>
                  <w:r>
                    <w:rPr>
                      <w:szCs w:val="21"/>
                    </w:rPr>
                    <w:t>本项目不涉及废水外排。</w:t>
                  </w:r>
                </w:p>
              </w:tc>
              <w:tc>
                <w:tcPr>
                  <w:tcW w:w="869" w:type="pct"/>
                  <w:vMerge w:val="continue"/>
                  <w:tcBorders>
                    <w:tl2br w:val="nil"/>
                    <w:tr2bl w:val="nil"/>
                  </w:tcBorders>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1" w:type="pct"/>
                  <w:vMerge w:val="continue"/>
                  <w:tcBorders>
                    <w:tl2br w:val="nil"/>
                    <w:tr2bl w:val="nil"/>
                  </w:tcBorders>
                  <w:vAlign w:val="center"/>
                </w:tcPr>
                <w:p>
                  <w:pPr>
                    <w:adjustRightInd w:val="0"/>
                    <w:snapToGrid w:val="0"/>
                    <w:jc w:val="center"/>
                    <w:rPr>
                      <w:szCs w:val="21"/>
                    </w:rPr>
                  </w:pPr>
                </w:p>
              </w:tc>
              <w:tc>
                <w:tcPr>
                  <w:tcW w:w="2241" w:type="pct"/>
                  <w:tcBorders>
                    <w:tl2br w:val="nil"/>
                    <w:tr2bl w:val="nil"/>
                  </w:tcBorders>
                  <w:vAlign w:val="center"/>
                </w:tcPr>
                <w:p>
                  <w:pPr>
                    <w:adjustRightInd w:val="0"/>
                    <w:snapToGrid w:val="0"/>
                    <w:jc w:val="center"/>
                    <w:rPr>
                      <w:szCs w:val="21"/>
                    </w:rPr>
                  </w:pPr>
                  <w:r>
                    <w:rPr>
                      <w:szCs w:val="21"/>
                    </w:rPr>
                    <w:t>5.陶瓷、表面涂装、建材、塑料加工等严格按照淄博市行业环境管控要求，实施源头替代，建立健全治理设施，确保污染物稳定达标排放，做到持证排污。</w:t>
                  </w:r>
                </w:p>
              </w:tc>
              <w:tc>
                <w:tcPr>
                  <w:tcW w:w="1368" w:type="pct"/>
                  <w:tcBorders>
                    <w:tl2br w:val="nil"/>
                    <w:tr2bl w:val="nil"/>
                  </w:tcBorders>
                  <w:vAlign w:val="center"/>
                </w:tcPr>
                <w:p>
                  <w:pPr>
                    <w:adjustRightInd w:val="0"/>
                    <w:snapToGrid w:val="0"/>
                    <w:jc w:val="center"/>
                    <w:rPr>
                      <w:szCs w:val="21"/>
                    </w:rPr>
                  </w:pPr>
                  <w:r>
                    <w:rPr>
                      <w:szCs w:val="21"/>
                    </w:rPr>
                    <w:t>项目完成后污染物排放均符合相关标准要求。</w:t>
                  </w:r>
                </w:p>
              </w:tc>
              <w:tc>
                <w:tcPr>
                  <w:tcW w:w="869" w:type="pct"/>
                  <w:vMerge w:val="continue"/>
                  <w:tcBorders>
                    <w:tl2br w:val="nil"/>
                    <w:tr2bl w:val="nil"/>
                  </w:tcBorders>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1" w:type="pct"/>
                  <w:vMerge w:val="continue"/>
                  <w:tcBorders>
                    <w:tl2br w:val="nil"/>
                    <w:tr2bl w:val="nil"/>
                  </w:tcBorders>
                  <w:vAlign w:val="center"/>
                </w:tcPr>
                <w:p>
                  <w:pPr>
                    <w:adjustRightInd w:val="0"/>
                    <w:snapToGrid w:val="0"/>
                    <w:jc w:val="center"/>
                    <w:rPr>
                      <w:szCs w:val="21"/>
                    </w:rPr>
                  </w:pPr>
                </w:p>
              </w:tc>
              <w:tc>
                <w:tcPr>
                  <w:tcW w:w="2241" w:type="pct"/>
                  <w:tcBorders>
                    <w:tl2br w:val="nil"/>
                    <w:tr2bl w:val="nil"/>
                  </w:tcBorders>
                  <w:vAlign w:val="center"/>
                </w:tcPr>
                <w:p>
                  <w:pPr>
                    <w:adjustRightInd w:val="0"/>
                    <w:snapToGrid w:val="0"/>
                    <w:jc w:val="center"/>
                    <w:rPr>
                      <w:szCs w:val="21"/>
                    </w:rPr>
                  </w:pPr>
                  <w:r>
                    <w:rPr>
                      <w:szCs w:val="21"/>
                    </w:rPr>
                    <w:t>6.进一步加强对建设工程施工、建筑物拆除、交通运输、道路保洁、物料运输与堆存、采石取土、养护绿化等活动的扬尘管理。</w:t>
                  </w:r>
                </w:p>
              </w:tc>
              <w:tc>
                <w:tcPr>
                  <w:tcW w:w="1368" w:type="pct"/>
                  <w:tcBorders>
                    <w:tl2br w:val="nil"/>
                    <w:tr2bl w:val="nil"/>
                  </w:tcBorders>
                  <w:vAlign w:val="center"/>
                </w:tcPr>
                <w:p>
                  <w:pPr>
                    <w:adjustRightInd w:val="0"/>
                    <w:snapToGrid w:val="0"/>
                    <w:jc w:val="center"/>
                    <w:rPr>
                      <w:szCs w:val="21"/>
                    </w:rPr>
                  </w:pPr>
                  <w:r>
                    <w:rPr>
                      <w:szCs w:val="21"/>
                    </w:rPr>
                    <w:t>本项目不涉及。</w:t>
                  </w:r>
                </w:p>
              </w:tc>
              <w:tc>
                <w:tcPr>
                  <w:tcW w:w="869" w:type="pct"/>
                  <w:vMerge w:val="continue"/>
                  <w:tcBorders>
                    <w:tl2br w:val="nil"/>
                    <w:tr2bl w:val="nil"/>
                  </w:tcBorders>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1" w:type="pct"/>
                  <w:vMerge w:val="continue"/>
                  <w:tcBorders>
                    <w:tl2br w:val="nil"/>
                    <w:tr2bl w:val="nil"/>
                  </w:tcBorders>
                  <w:vAlign w:val="center"/>
                </w:tcPr>
                <w:p>
                  <w:pPr>
                    <w:adjustRightInd w:val="0"/>
                    <w:snapToGrid w:val="0"/>
                    <w:jc w:val="center"/>
                    <w:rPr>
                      <w:szCs w:val="21"/>
                    </w:rPr>
                  </w:pPr>
                </w:p>
              </w:tc>
              <w:tc>
                <w:tcPr>
                  <w:tcW w:w="2241" w:type="pct"/>
                  <w:tcBorders>
                    <w:tl2br w:val="nil"/>
                    <w:tr2bl w:val="nil"/>
                  </w:tcBorders>
                  <w:vAlign w:val="center"/>
                </w:tcPr>
                <w:p>
                  <w:pPr>
                    <w:adjustRightInd w:val="0"/>
                    <w:snapToGrid w:val="0"/>
                    <w:jc w:val="center"/>
                    <w:rPr>
                      <w:szCs w:val="21"/>
                    </w:rPr>
                  </w:pPr>
                  <w:r>
                    <w:rPr>
                      <w:szCs w:val="21"/>
                    </w:rPr>
                    <w:t>7.加强餐饮服务业燃料烟气及油烟防治，鼓励餐饮业及居民生活能源使用天然气、液化石油气等洁净能源。餐饮行业按要求安装油烟高效净化设备并定期清洗和维护。</w:t>
                  </w:r>
                </w:p>
              </w:tc>
              <w:tc>
                <w:tcPr>
                  <w:tcW w:w="1368" w:type="pct"/>
                  <w:tcBorders>
                    <w:tl2br w:val="nil"/>
                    <w:tr2bl w:val="nil"/>
                  </w:tcBorders>
                  <w:vAlign w:val="center"/>
                </w:tcPr>
                <w:p>
                  <w:pPr>
                    <w:adjustRightInd w:val="0"/>
                    <w:snapToGrid w:val="0"/>
                    <w:jc w:val="center"/>
                    <w:rPr>
                      <w:szCs w:val="21"/>
                    </w:rPr>
                  </w:pPr>
                  <w:r>
                    <w:rPr>
                      <w:szCs w:val="21"/>
                    </w:rPr>
                    <w:t>本项目不涉及。</w:t>
                  </w:r>
                </w:p>
              </w:tc>
              <w:tc>
                <w:tcPr>
                  <w:tcW w:w="869" w:type="pct"/>
                  <w:vMerge w:val="continue"/>
                  <w:tcBorders>
                    <w:tl2br w:val="nil"/>
                    <w:tr2bl w:val="nil"/>
                  </w:tcBorders>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1" w:type="pct"/>
                  <w:vMerge w:val="restart"/>
                  <w:tcBorders>
                    <w:tl2br w:val="nil"/>
                    <w:tr2bl w:val="nil"/>
                  </w:tcBorders>
                  <w:vAlign w:val="center"/>
                </w:tcPr>
                <w:p>
                  <w:pPr>
                    <w:adjustRightInd w:val="0"/>
                    <w:snapToGrid w:val="0"/>
                    <w:jc w:val="center"/>
                    <w:rPr>
                      <w:szCs w:val="21"/>
                    </w:rPr>
                  </w:pPr>
                  <w:r>
                    <w:rPr>
                      <w:szCs w:val="21"/>
                    </w:rPr>
                    <w:t>环境风险 防控</w:t>
                  </w:r>
                </w:p>
              </w:tc>
              <w:tc>
                <w:tcPr>
                  <w:tcW w:w="2241" w:type="pct"/>
                  <w:tcBorders>
                    <w:tl2br w:val="nil"/>
                    <w:tr2bl w:val="nil"/>
                  </w:tcBorders>
                  <w:vAlign w:val="center"/>
                </w:tcPr>
                <w:p>
                  <w:pPr>
                    <w:adjustRightInd w:val="0"/>
                    <w:snapToGrid w:val="0"/>
                    <w:jc w:val="center"/>
                    <w:rPr>
                      <w:szCs w:val="21"/>
                    </w:rPr>
                  </w:pPr>
                  <w:r>
                    <w:rPr>
                      <w:szCs w:val="21"/>
                    </w:rPr>
                    <w:t>1.紧邻居住、科教、医院等环境敏感点的工业用地，禁止新建环境风险潜势等级高的建设项目；现有项目严格落实环评及批复环境风险防控要求。</w:t>
                  </w:r>
                </w:p>
              </w:tc>
              <w:tc>
                <w:tcPr>
                  <w:tcW w:w="1368" w:type="pct"/>
                  <w:tcBorders>
                    <w:tl2br w:val="nil"/>
                    <w:tr2bl w:val="nil"/>
                  </w:tcBorders>
                  <w:vAlign w:val="center"/>
                </w:tcPr>
                <w:p>
                  <w:pPr>
                    <w:adjustRightInd w:val="0"/>
                    <w:snapToGrid w:val="0"/>
                    <w:jc w:val="center"/>
                    <w:rPr>
                      <w:szCs w:val="21"/>
                    </w:rPr>
                  </w:pPr>
                  <w:r>
                    <w:rPr>
                      <w:szCs w:val="21"/>
                    </w:rPr>
                    <w:t>本项目不涉及环境敏感点。</w:t>
                  </w:r>
                </w:p>
              </w:tc>
              <w:tc>
                <w:tcPr>
                  <w:tcW w:w="869" w:type="pct"/>
                  <w:vMerge w:val="restart"/>
                  <w:tcBorders>
                    <w:tl2br w:val="nil"/>
                    <w:tr2bl w:val="nil"/>
                  </w:tcBorders>
                  <w:vAlign w:val="center"/>
                </w:tcPr>
                <w:p>
                  <w:pPr>
                    <w:adjustRightInd w:val="0"/>
                    <w:snapToGrid w:val="0"/>
                    <w:jc w:val="center"/>
                    <w:rPr>
                      <w:szCs w:val="21"/>
                    </w:rPr>
                  </w:pPr>
                  <w:r>
                    <w:rPr>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1" w:type="pct"/>
                  <w:vMerge w:val="continue"/>
                  <w:tcBorders>
                    <w:tl2br w:val="nil"/>
                    <w:tr2bl w:val="nil"/>
                  </w:tcBorders>
                  <w:vAlign w:val="center"/>
                </w:tcPr>
                <w:p>
                  <w:pPr>
                    <w:adjustRightInd w:val="0"/>
                    <w:snapToGrid w:val="0"/>
                    <w:jc w:val="center"/>
                    <w:rPr>
                      <w:szCs w:val="21"/>
                    </w:rPr>
                  </w:pPr>
                </w:p>
              </w:tc>
              <w:tc>
                <w:tcPr>
                  <w:tcW w:w="2241" w:type="pct"/>
                  <w:tcBorders>
                    <w:tl2br w:val="nil"/>
                    <w:tr2bl w:val="nil"/>
                  </w:tcBorders>
                  <w:vAlign w:val="center"/>
                </w:tcPr>
                <w:p>
                  <w:pPr>
                    <w:adjustRightInd w:val="0"/>
                    <w:snapToGrid w:val="0"/>
                    <w:jc w:val="center"/>
                    <w:rPr>
                      <w:szCs w:val="21"/>
                    </w:rPr>
                  </w:pPr>
                  <w:r>
                    <w:rPr>
                      <w:szCs w:val="21"/>
                    </w:rPr>
                    <w:t>2.加强农田土壤、灌溉水的监测，对周边区域环境风险源进行评估。</w:t>
                  </w:r>
                </w:p>
              </w:tc>
              <w:tc>
                <w:tcPr>
                  <w:tcW w:w="1368" w:type="pct"/>
                  <w:tcBorders>
                    <w:tl2br w:val="nil"/>
                    <w:tr2bl w:val="nil"/>
                  </w:tcBorders>
                  <w:vAlign w:val="center"/>
                </w:tcPr>
                <w:p>
                  <w:pPr>
                    <w:adjustRightInd w:val="0"/>
                    <w:snapToGrid w:val="0"/>
                    <w:jc w:val="center"/>
                    <w:rPr>
                      <w:szCs w:val="21"/>
                    </w:rPr>
                  </w:pPr>
                  <w:r>
                    <w:rPr>
                      <w:szCs w:val="21"/>
                    </w:rPr>
                    <w:t>按要求执行。</w:t>
                  </w:r>
                </w:p>
              </w:tc>
              <w:tc>
                <w:tcPr>
                  <w:tcW w:w="869" w:type="pct"/>
                  <w:vMerge w:val="continue"/>
                  <w:tcBorders>
                    <w:tl2br w:val="nil"/>
                    <w:tr2bl w:val="nil"/>
                  </w:tcBorders>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1" w:type="pct"/>
                  <w:vMerge w:val="continue"/>
                  <w:tcBorders>
                    <w:tl2br w:val="nil"/>
                    <w:tr2bl w:val="nil"/>
                  </w:tcBorders>
                  <w:vAlign w:val="center"/>
                </w:tcPr>
                <w:p>
                  <w:pPr>
                    <w:adjustRightInd w:val="0"/>
                    <w:snapToGrid w:val="0"/>
                    <w:jc w:val="center"/>
                    <w:rPr>
                      <w:szCs w:val="21"/>
                    </w:rPr>
                  </w:pPr>
                </w:p>
              </w:tc>
              <w:tc>
                <w:tcPr>
                  <w:tcW w:w="2241" w:type="pct"/>
                  <w:tcBorders>
                    <w:tl2br w:val="nil"/>
                    <w:tr2bl w:val="nil"/>
                  </w:tcBorders>
                  <w:vAlign w:val="center"/>
                </w:tcPr>
                <w:p>
                  <w:pPr>
                    <w:adjustRightInd w:val="0"/>
                    <w:snapToGrid w:val="0"/>
                    <w:jc w:val="center"/>
                    <w:rPr>
                      <w:szCs w:val="21"/>
                    </w:rPr>
                  </w:pPr>
                  <w:r>
                    <w:rPr>
                      <w:szCs w:val="21"/>
                    </w:rPr>
                    <w:t>3.企业应按照《企业事业单位突发环境事件应急预案备案管理办法（试行）》等要求，依法依规编制环境应急预案并定期开展演练。</w:t>
                  </w:r>
                </w:p>
              </w:tc>
              <w:tc>
                <w:tcPr>
                  <w:tcW w:w="1368" w:type="pct"/>
                  <w:tcBorders>
                    <w:tl2br w:val="nil"/>
                    <w:tr2bl w:val="nil"/>
                  </w:tcBorders>
                  <w:vAlign w:val="center"/>
                </w:tcPr>
                <w:p>
                  <w:pPr>
                    <w:adjustRightInd w:val="0"/>
                    <w:snapToGrid w:val="0"/>
                    <w:jc w:val="center"/>
                    <w:rPr>
                      <w:szCs w:val="21"/>
                    </w:rPr>
                  </w:pPr>
                  <w:r>
                    <w:rPr>
                      <w:szCs w:val="21"/>
                    </w:rPr>
                    <w:t>企业建立健全环境风险管理制度，定期开展演练。</w:t>
                  </w:r>
                </w:p>
              </w:tc>
              <w:tc>
                <w:tcPr>
                  <w:tcW w:w="869" w:type="pct"/>
                  <w:vMerge w:val="continue"/>
                  <w:tcBorders>
                    <w:tl2br w:val="nil"/>
                    <w:tr2bl w:val="nil"/>
                  </w:tcBorders>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1" w:type="pct"/>
                  <w:vMerge w:val="continue"/>
                  <w:tcBorders>
                    <w:tl2br w:val="nil"/>
                    <w:tr2bl w:val="nil"/>
                  </w:tcBorders>
                  <w:vAlign w:val="center"/>
                </w:tcPr>
                <w:p>
                  <w:pPr>
                    <w:adjustRightInd w:val="0"/>
                    <w:snapToGrid w:val="0"/>
                    <w:jc w:val="center"/>
                    <w:rPr>
                      <w:szCs w:val="21"/>
                    </w:rPr>
                  </w:pPr>
                </w:p>
              </w:tc>
              <w:tc>
                <w:tcPr>
                  <w:tcW w:w="2241" w:type="pct"/>
                  <w:tcBorders>
                    <w:tl2br w:val="nil"/>
                    <w:tr2bl w:val="nil"/>
                  </w:tcBorders>
                  <w:vAlign w:val="center"/>
                </w:tcPr>
                <w:p>
                  <w:pPr>
                    <w:adjustRightInd w:val="0"/>
                    <w:snapToGrid w:val="0"/>
                    <w:jc w:val="center"/>
                    <w:rPr>
                      <w:szCs w:val="21"/>
                    </w:rPr>
                  </w:pPr>
                  <w:r>
                    <w:rPr>
                      <w:szCs w:val="21"/>
                    </w:rPr>
                    <w:t>4.建立各企业危险废物的贮存、申报、经营许可（无废城市建设豁免的除外）、转移及处置管理制度，并负责对危废相应活动的全程监管和环境安全保障。</w:t>
                  </w:r>
                </w:p>
              </w:tc>
              <w:tc>
                <w:tcPr>
                  <w:tcW w:w="1368" w:type="pct"/>
                  <w:tcBorders>
                    <w:tl2br w:val="nil"/>
                    <w:tr2bl w:val="nil"/>
                  </w:tcBorders>
                  <w:vAlign w:val="center"/>
                </w:tcPr>
                <w:p>
                  <w:pPr>
                    <w:adjustRightInd w:val="0"/>
                    <w:snapToGrid w:val="0"/>
                    <w:jc w:val="center"/>
                    <w:rPr>
                      <w:szCs w:val="21"/>
                    </w:rPr>
                  </w:pPr>
                  <w:r>
                    <w:rPr>
                      <w:szCs w:val="21"/>
                    </w:rPr>
                    <w:t>按要求执行。</w:t>
                  </w:r>
                </w:p>
              </w:tc>
              <w:tc>
                <w:tcPr>
                  <w:tcW w:w="869" w:type="pct"/>
                  <w:vMerge w:val="continue"/>
                  <w:tcBorders>
                    <w:tl2br w:val="nil"/>
                    <w:tr2bl w:val="nil"/>
                  </w:tcBorders>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1" w:type="pct"/>
                  <w:vMerge w:val="continue"/>
                  <w:tcBorders>
                    <w:tl2br w:val="nil"/>
                    <w:tr2bl w:val="nil"/>
                  </w:tcBorders>
                  <w:vAlign w:val="center"/>
                </w:tcPr>
                <w:p>
                  <w:pPr>
                    <w:adjustRightInd w:val="0"/>
                    <w:snapToGrid w:val="0"/>
                    <w:jc w:val="center"/>
                    <w:rPr>
                      <w:szCs w:val="21"/>
                    </w:rPr>
                  </w:pPr>
                </w:p>
              </w:tc>
              <w:tc>
                <w:tcPr>
                  <w:tcW w:w="2241" w:type="pct"/>
                  <w:tcBorders>
                    <w:tl2br w:val="nil"/>
                    <w:tr2bl w:val="nil"/>
                  </w:tcBorders>
                  <w:vAlign w:val="center"/>
                </w:tcPr>
                <w:p>
                  <w:pPr>
                    <w:adjustRightInd w:val="0"/>
                    <w:snapToGrid w:val="0"/>
                    <w:jc w:val="center"/>
                    <w:rPr>
                      <w:szCs w:val="21"/>
                    </w:rPr>
                  </w:pPr>
                  <w:r>
                    <w:rPr>
                      <w:szCs w:val="21"/>
                    </w:rPr>
                    <w:t>5.按照省市要求，做好清洁取暖改造工作</w:t>
                  </w:r>
                </w:p>
              </w:tc>
              <w:tc>
                <w:tcPr>
                  <w:tcW w:w="1368" w:type="pct"/>
                  <w:tcBorders>
                    <w:tl2br w:val="nil"/>
                    <w:tr2bl w:val="nil"/>
                  </w:tcBorders>
                  <w:vAlign w:val="center"/>
                </w:tcPr>
                <w:p>
                  <w:pPr>
                    <w:adjustRightInd w:val="0"/>
                    <w:snapToGrid w:val="0"/>
                    <w:jc w:val="center"/>
                    <w:rPr>
                      <w:szCs w:val="21"/>
                    </w:rPr>
                  </w:pPr>
                  <w:r>
                    <w:rPr>
                      <w:szCs w:val="21"/>
                    </w:rPr>
                    <w:t>按要求执行。</w:t>
                  </w:r>
                </w:p>
              </w:tc>
              <w:tc>
                <w:tcPr>
                  <w:tcW w:w="869" w:type="pct"/>
                  <w:vMerge w:val="continue"/>
                  <w:tcBorders>
                    <w:tl2br w:val="nil"/>
                    <w:tr2bl w:val="nil"/>
                  </w:tcBorders>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1" w:type="pct"/>
                  <w:vMerge w:val="restart"/>
                  <w:tcBorders>
                    <w:tl2br w:val="nil"/>
                    <w:tr2bl w:val="nil"/>
                  </w:tcBorders>
                  <w:vAlign w:val="center"/>
                </w:tcPr>
                <w:p>
                  <w:pPr>
                    <w:adjustRightInd w:val="0"/>
                    <w:snapToGrid w:val="0"/>
                    <w:jc w:val="center"/>
                    <w:rPr>
                      <w:szCs w:val="21"/>
                    </w:rPr>
                  </w:pPr>
                  <w:r>
                    <w:rPr>
                      <w:szCs w:val="21"/>
                    </w:rPr>
                    <w:t>资源 开发 效率 要求</w:t>
                  </w:r>
                </w:p>
              </w:tc>
              <w:tc>
                <w:tcPr>
                  <w:tcW w:w="2241" w:type="pct"/>
                  <w:tcBorders>
                    <w:tl2br w:val="nil"/>
                    <w:tr2bl w:val="nil"/>
                  </w:tcBorders>
                  <w:vAlign w:val="center"/>
                </w:tcPr>
                <w:p>
                  <w:pPr>
                    <w:adjustRightInd w:val="0"/>
                    <w:snapToGrid w:val="0"/>
                    <w:jc w:val="center"/>
                    <w:rPr>
                      <w:szCs w:val="21"/>
                    </w:rPr>
                  </w:pPr>
                  <w:r>
                    <w:rPr>
                      <w:szCs w:val="21"/>
                    </w:rPr>
                    <w:t>1. 高污染燃料禁燃区内执行淄博市高污染燃料禁燃区划定文件的管控要求。</w:t>
                  </w:r>
                </w:p>
              </w:tc>
              <w:tc>
                <w:tcPr>
                  <w:tcW w:w="1368" w:type="pct"/>
                  <w:tcBorders>
                    <w:tl2br w:val="nil"/>
                    <w:tr2bl w:val="nil"/>
                  </w:tcBorders>
                  <w:vAlign w:val="center"/>
                </w:tcPr>
                <w:p>
                  <w:pPr>
                    <w:adjustRightInd w:val="0"/>
                    <w:snapToGrid w:val="0"/>
                    <w:jc w:val="center"/>
                    <w:rPr>
                      <w:szCs w:val="21"/>
                    </w:rPr>
                  </w:pPr>
                  <w:r>
                    <w:rPr>
                      <w:szCs w:val="21"/>
                    </w:rPr>
                    <w:t>本项目主要能源为水、电均来源于就近管网，项目用水、用电量较少符合文件要求。</w:t>
                  </w:r>
                </w:p>
              </w:tc>
              <w:tc>
                <w:tcPr>
                  <w:tcW w:w="869" w:type="pct"/>
                  <w:vMerge w:val="restart"/>
                  <w:tcBorders>
                    <w:tl2br w:val="nil"/>
                    <w:tr2bl w:val="nil"/>
                  </w:tcBorders>
                  <w:vAlign w:val="center"/>
                </w:tcPr>
                <w:p>
                  <w:pPr>
                    <w:adjustRightInd w:val="0"/>
                    <w:snapToGrid w:val="0"/>
                    <w:jc w:val="center"/>
                    <w:rPr>
                      <w:szCs w:val="21"/>
                    </w:rPr>
                  </w:pPr>
                  <w:r>
                    <w:rPr>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1" w:type="pct"/>
                  <w:vMerge w:val="continue"/>
                  <w:tcBorders>
                    <w:tl2br w:val="nil"/>
                    <w:tr2bl w:val="nil"/>
                  </w:tcBorders>
                  <w:vAlign w:val="center"/>
                </w:tcPr>
                <w:p>
                  <w:pPr>
                    <w:adjustRightInd w:val="0"/>
                    <w:snapToGrid w:val="0"/>
                    <w:jc w:val="center"/>
                    <w:rPr>
                      <w:szCs w:val="21"/>
                    </w:rPr>
                  </w:pPr>
                </w:p>
              </w:tc>
              <w:tc>
                <w:tcPr>
                  <w:tcW w:w="2241" w:type="pct"/>
                  <w:tcBorders>
                    <w:tl2br w:val="nil"/>
                    <w:tr2bl w:val="nil"/>
                  </w:tcBorders>
                  <w:vAlign w:val="center"/>
                </w:tcPr>
                <w:p>
                  <w:pPr>
                    <w:adjustRightInd w:val="0"/>
                    <w:snapToGrid w:val="0"/>
                    <w:jc w:val="center"/>
                    <w:rPr>
                      <w:szCs w:val="21"/>
                    </w:rPr>
                  </w:pPr>
                  <w:r>
                    <w:rPr>
                      <w:szCs w:val="21"/>
                    </w:rPr>
                    <w:t>2. 提升土地集约化水平。</w:t>
                  </w:r>
                </w:p>
              </w:tc>
              <w:tc>
                <w:tcPr>
                  <w:tcW w:w="1368" w:type="pct"/>
                  <w:tcBorders>
                    <w:tl2br w:val="nil"/>
                    <w:tr2bl w:val="nil"/>
                  </w:tcBorders>
                  <w:vAlign w:val="center"/>
                </w:tcPr>
                <w:p>
                  <w:pPr>
                    <w:adjustRightInd w:val="0"/>
                    <w:snapToGrid w:val="0"/>
                    <w:jc w:val="center"/>
                    <w:rPr>
                      <w:szCs w:val="21"/>
                    </w:rPr>
                  </w:pPr>
                  <w:r>
                    <w:rPr>
                      <w:szCs w:val="21"/>
                    </w:rPr>
                    <w:t>本项目不新增用地。</w:t>
                  </w:r>
                </w:p>
              </w:tc>
              <w:tc>
                <w:tcPr>
                  <w:tcW w:w="869" w:type="pct"/>
                  <w:vMerge w:val="continue"/>
                  <w:tcBorders>
                    <w:tl2br w:val="nil"/>
                    <w:tr2bl w:val="nil"/>
                  </w:tcBorders>
                  <w:vAlign w:val="center"/>
                </w:tcPr>
                <w:p>
                  <w:pPr>
                    <w:adjustRightInd w:val="0"/>
                    <w:snapToGrid w:val="0"/>
                    <w:ind w:firstLine="422"/>
                    <w:jc w:val="center"/>
                    <w:rPr>
                      <w:szCs w:val="21"/>
                    </w:rPr>
                  </w:pPr>
                </w:p>
              </w:tc>
            </w:tr>
          </w:tbl>
          <w:p>
            <w:pPr>
              <w:autoSpaceDE w:val="0"/>
              <w:autoSpaceDN w:val="0"/>
              <w:adjustRightInd w:val="0"/>
              <w:snapToGrid w:val="0"/>
              <w:spacing w:line="360" w:lineRule="auto"/>
              <w:ind w:firstLine="420" w:firstLineChars="200"/>
            </w:pPr>
            <w:r>
              <w:t>综上，对照《淄博市“三线一单”生态环境准入清单（动态更新版）》的通知（淄环委办〔2021〕24号）文件要求，本项目符合“三线一单”要求。</w:t>
            </w:r>
          </w:p>
          <w:p>
            <w:pPr>
              <w:autoSpaceDE w:val="0"/>
              <w:autoSpaceDN w:val="0"/>
              <w:adjustRightInd w:val="0"/>
              <w:snapToGrid w:val="0"/>
              <w:spacing w:line="360" w:lineRule="auto"/>
              <w:ind w:firstLine="422" w:firstLineChars="200"/>
              <w:rPr>
                <w:b/>
                <w:bCs/>
              </w:rPr>
            </w:pPr>
            <w:r>
              <w:rPr>
                <w:b/>
                <w:bCs/>
              </w:rPr>
              <w:t>4、与《山东省环境保护条例》的符合性分析</w:t>
            </w:r>
          </w:p>
          <w:p>
            <w:pPr>
              <w:jc w:val="center"/>
              <w:rPr>
                <w:b/>
                <w:bCs/>
              </w:rPr>
            </w:pPr>
            <w:r>
              <w:rPr>
                <w:b/>
                <w:bCs/>
              </w:rPr>
              <w:t>表1-3 本项目与《山东省环境保护条例》的符合性分析</w:t>
            </w:r>
          </w:p>
          <w:tbl>
            <w:tblPr>
              <w:tblStyle w:val="4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970"/>
              <w:gridCol w:w="2500"/>
              <w:gridCol w:w="111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56" w:type="pct"/>
                  <w:tcBorders>
                    <w:tl2br w:val="nil"/>
                    <w:tr2bl w:val="nil"/>
                  </w:tcBorders>
                  <w:vAlign w:val="center"/>
                </w:tcPr>
                <w:p>
                  <w:pPr>
                    <w:jc w:val="center"/>
                    <w:rPr>
                      <w:b/>
                      <w:bCs/>
                    </w:rPr>
                  </w:pPr>
                  <w:r>
                    <w:rPr>
                      <w:b/>
                      <w:bCs/>
                    </w:rPr>
                    <w:t>条例要求</w:t>
                  </w:r>
                </w:p>
              </w:tc>
              <w:tc>
                <w:tcPr>
                  <w:tcW w:w="1899" w:type="pct"/>
                  <w:tcBorders>
                    <w:tl2br w:val="nil"/>
                    <w:tr2bl w:val="nil"/>
                  </w:tcBorders>
                  <w:vAlign w:val="center"/>
                </w:tcPr>
                <w:p>
                  <w:pPr>
                    <w:jc w:val="center"/>
                    <w:rPr>
                      <w:b/>
                      <w:bCs/>
                    </w:rPr>
                  </w:pPr>
                  <w:r>
                    <w:rPr>
                      <w:b/>
                      <w:bCs/>
                    </w:rPr>
                    <w:t>本项目情况</w:t>
                  </w:r>
                </w:p>
              </w:tc>
              <w:tc>
                <w:tcPr>
                  <w:tcW w:w="844" w:type="pct"/>
                  <w:tcBorders>
                    <w:tl2br w:val="nil"/>
                    <w:tr2bl w:val="nil"/>
                  </w:tcBorders>
                  <w:vAlign w:val="center"/>
                </w:tcPr>
                <w:p>
                  <w:pPr>
                    <w:jc w:val="center"/>
                    <w:rPr>
                      <w:b/>
                      <w:bCs/>
                    </w:rPr>
                  </w:pPr>
                  <w:r>
                    <w:rPr>
                      <w:b/>
                      <w:bCs/>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56" w:type="pct"/>
                  <w:tcBorders>
                    <w:tl2br w:val="nil"/>
                    <w:tr2bl w:val="nil"/>
                  </w:tcBorders>
                  <w:vAlign w:val="center"/>
                </w:tcPr>
                <w:p>
                  <w:pPr>
                    <w:spacing w:line="0" w:lineRule="atLeast"/>
                    <w:jc w:val="center"/>
                  </w:pPr>
                  <w:r>
                    <w:t>县级以上人民政府应当根据产业结构调整和产业布局优化的要求，引导工业企业入驻工业园区；新建有污染物排放的工业项目，除在安全生产等方面有特殊要求的以外，应当进入工业园区或者工业集聚区。</w:t>
                  </w:r>
                </w:p>
              </w:tc>
              <w:tc>
                <w:tcPr>
                  <w:tcW w:w="1899" w:type="pct"/>
                  <w:tcBorders>
                    <w:tl2br w:val="nil"/>
                    <w:tr2bl w:val="nil"/>
                  </w:tcBorders>
                  <w:vAlign w:val="center"/>
                </w:tcPr>
                <w:p>
                  <w:pPr>
                    <w:spacing w:line="0" w:lineRule="atLeast"/>
                    <w:jc w:val="center"/>
                  </w:pPr>
                  <w:r>
                    <w:rPr>
                      <w:rFonts w:hint="eastAsia"/>
                    </w:rPr>
                    <w:t>根据初审意见本项目位于工业聚集区。</w:t>
                  </w:r>
                </w:p>
              </w:tc>
              <w:tc>
                <w:tcPr>
                  <w:tcW w:w="844" w:type="pct"/>
                  <w:tcBorders>
                    <w:tl2br w:val="nil"/>
                    <w:tr2bl w:val="nil"/>
                  </w:tcBorders>
                  <w:vAlign w:val="center"/>
                </w:tcPr>
                <w:p>
                  <w:pPr>
                    <w:jc w:val="center"/>
                    <w:rPr>
                      <w:szCs w:val="21"/>
                    </w:rPr>
                  </w:pPr>
                  <w:r>
                    <w:rPr>
                      <w:rFonts w:hint="eastAsia"/>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56" w:type="pct"/>
                  <w:tcBorders>
                    <w:tl2br w:val="nil"/>
                    <w:tr2bl w:val="nil"/>
                  </w:tcBorders>
                  <w:vAlign w:val="center"/>
                </w:tcPr>
                <w:p>
                  <w:pPr>
                    <w:spacing w:line="0" w:lineRule="atLeast"/>
                    <w:jc w:val="center"/>
                  </w:pPr>
                  <w:r>
                    <w:t>排污单位应当采取措施，防止在生产建设或者其他活动中产生的废气、废水、废渣、医疗废物、粉尘、恶臭气体、放射性物质以及噪声、振动、光辐射、电磁辐射等对环境的污染和危害，其污染排放不得超过排放标准和重点污染物排放总量控制指标。实行排污许可管理的排污单位，应当按照排污许可证规定的污染物种类、浓度、排放去向和许可排放量等要求排放污染物。</w:t>
                  </w:r>
                </w:p>
              </w:tc>
              <w:tc>
                <w:tcPr>
                  <w:tcW w:w="1899" w:type="pct"/>
                  <w:tcBorders>
                    <w:tl2br w:val="nil"/>
                    <w:tr2bl w:val="nil"/>
                  </w:tcBorders>
                  <w:vAlign w:val="center"/>
                </w:tcPr>
                <w:p>
                  <w:pPr>
                    <w:spacing w:line="0" w:lineRule="atLeast"/>
                    <w:jc w:val="center"/>
                  </w:pPr>
                  <w:r>
                    <w:rPr>
                      <w:szCs w:val="21"/>
                    </w:rPr>
                    <w:t>本项目液体硫酸铝加热蒸发产生的蒸发冷凝水作为循环冷却水补充回用，不外排；生活污水经化粪池处理后由环卫部门定期清运，不外排；本项目粉碎、</w:t>
                  </w:r>
                  <w:r>
                    <w:t>混合搅拌釜上料</w:t>
                  </w:r>
                  <w:r>
                    <w:rPr>
                      <w:rFonts w:hint="eastAsia"/>
                    </w:rPr>
                    <w:t>口</w:t>
                  </w:r>
                  <w:r>
                    <w:rPr>
                      <w:szCs w:val="21"/>
                    </w:rPr>
                    <w:t>、包装工序产生的颗粒物采用“集气罩+布袋除尘器”处理，处理后通过1根15m排气筒（DA001）排放，料仓产生的粉尘经收集后通过仓顶的布袋除尘器进行处理后无组织排放。</w:t>
                  </w:r>
                </w:p>
              </w:tc>
              <w:tc>
                <w:tcPr>
                  <w:tcW w:w="844" w:type="pct"/>
                  <w:tcBorders>
                    <w:tl2br w:val="nil"/>
                    <w:tr2bl w:val="nil"/>
                  </w:tcBorders>
                  <w:vAlign w:val="center"/>
                </w:tcPr>
                <w:p>
                  <w:pPr>
                    <w:jc w:val="center"/>
                    <w:rPr>
                      <w:szCs w:val="21"/>
                    </w:rPr>
                  </w:pPr>
                  <w:r>
                    <w:rPr>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2256" w:type="pct"/>
                  <w:tcBorders>
                    <w:tl2br w:val="nil"/>
                    <w:tr2bl w:val="nil"/>
                  </w:tcBorders>
                  <w:vAlign w:val="center"/>
                </w:tcPr>
                <w:p>
                  <w:pPr>
                    <w:widowControl/>
                    <w:spacing w:line="0" w:lineRule="atLeast"/>
                    <w:jc w:val="center"/>
                    <w:rPr>
                      <w:kern w:val="0"/>
                      <w:szCs w:val="21"/>
                    </w:rPr>
                  </w:pPr>
                  <w:r>
                    <w:rPr>
                      <w:kern w:val="0"/>
                      <w:szCs w:val="21"/>
                    </w:rPr>
                    <w:t>新建、改建、扩建建设项目，应当根据环境影响评价文件以及生态环境主管部门审批决定的要求建设环境保护设施、落实环境保护措施。环境保护设施应当与主体工程同时设计、同时施工、同时投产使用。</w:t>
                  </w:r>
                </w:p>
              </w:tc>
              <w:tc>
                <w:tcPr>
                  <w:tcW w:w="1899" w:type="pct"/>
                  <w:tcBorders>
                    <w:tl2br w:val="nil"/>
                    <w:tr2bl w:val="nil"/>
                  </w:tcBorders>
                  <w:vAlign w:val="center"/>
                </w:tcPr>
                <w:p>
                  <w:pPr>
                    <w:widowControl/>
                    <w:spacing w:line="0" w:lineRule="atLeast"/>
                    <w:jc w:val="center"/>
                    <w:rPr>
                      <w:kern w:val="0"/>
                      <w:szCs w:val="21"/>
                    </w:rPr>
                  </w:pPr>
                  <w:r>
                    <w:rPr>
                      <w:kern w:val="0"/>
                      <w:szCs w:val="21"/>
                    </w:rPr>
                    <w:t>本项目环保设施遵循三同时要求。</w:t>
                  </w:r>
                </w:p>
              </w:tc>
              <w:tc>
                <w:tcPr>
                  <w:tcW w:w="844" w:type="pct"/>
                  <w:tcBorders>
                    <w:tl2br w:val="nil"/>
                    <w:tr2bl w:val="nil"/>
                  </w:tcBorders>
                  <w:vAlign w:val="center"/>
                </w:tcPr>
                <w:p>
                  <w:pPr>
                    <w:jc w:val="center"/>
                    <w:rPr>
                      <w:szCs w:val="21"/>
                    </w:rPr>
                  </w:pPr>
                  <w:r>
                    <w:rPr>
                      <w:szCs w:val="21"/>
                    </w:rPr>
                    <w:t>符合</w:t>
                  </w:r>
                </w:p>
              </w:tc>
            </w:tr>
          </w:tbl>
          <w:p>
            <w:pPr>
              <w:autoSpaceDE w:val="0"/>
              <w:autoSpaceDN w:val="0"/>
              <w:adjustRightInd w:val="0"/>
              <w:snapToGrid w:val="0"/>
              <w:spacing w:line="360" w:lineRule="auto"/>
              <w:ind w:firstLine="422" w:firstLineChars="200"/>
              <w:rPr>
                <w:b/>
                <w:bCs/>
              </w:rPr>
            </w:pPr>
            <w:r>
              <w:rPr>
                <w:b/>
                <w:bCs/>
              </w:rPr>
              <w:t>5、与《关于严格项目审批工作坚决防止新上“散乱污”项目的通知》（鲁环字〔2021〕58号）的符合性分析</w:t>
            </w:r>
          </w:p>
          <w:p>
            <w:pPr>
              <w:jc w:val="center"/>
              <w:rPr>
                <w:b/>
                <w:bCs/>
              </w:rPr>
            </w:pPr>
            <w:r>
              <w:rPr>
                <w:b/>
                <w:bCs/>
              </w:rPr>
              <w:t>表1-4  本项目与《关于严格项目审批工作坚决防止新上“散乱污”项目的通知》（鲁环字〔2021〕58号）的符合性分析</w:t>
            </w:r>
          </w:p>
          <w:tbl>
            <w:tblPr>
              <w:tblStyle w:val="40"/>
              <w:tblW w:w="495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113"/>
              <w:gridCol w:w="1601"/>
              <w:gridCol w:w="8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vAlign w:val="center"/>
                </w:tcPr>
                <w:p>
                  <w:pPr>
                    <w:jc w:val="center"/>
                    <w:rPr>
                      <w:b/>
                      <w:bCs/>
                      <w:szCs w:val="21"/>
                    </w:rPr>
                  </w:pPr>
                  <w:r>
                    <w:rPr>
                      <w:b/>
                      <w:bCs/>
                      <w:szCs w:val="21"/>
                    </w:rPr>
                    <w:t>文件要求</w:t>
                  </w:r>
                </w:p>
              </w:tc>
              <w:tc>
                <w:tcPr>
                  <w:tcW w:w="1228" w:type="pct"/>
                  <w:tcBorders>
                    <w:tl2br w:val="nil"/>
                    <w:tr2bl w:val="nil"/>
                  </w:tcBorders>
                  <w:vAlign w:val="center"/>
                </w:tcPr>
                <w:p>
                  <w:pPr>
                    <w:jc w:val="center"/>
                    <w:rPr>
                      <w:b/>
                      <w:bCs/>
                      <w:szCs w:val="21"/>
                    </w:rPr>
                  </w:pPr>
                  <w:r>
                    <w:rPr>
                      <w:b/>
                      <w:bCs/>
                      <w:szCs w:val="21"/>
                    </w:rPr>
                    <w:t>本项目情况</w:t>
                  </w:r>
                </w:p>
              </w:tc>
              <w:tc>
                <w:tcPr>
                  <w:tcW w:w="615" w:type="pct"/>
                  <w:tcBorders>
                    <w:tl2br w:val="nil"/>
                    <w:tr2bl w:val="nil"/>
                  </w:tcBorders>
                  <w:vAlign w:val="center"/>
                </w:tcPr>
                <w:p>
                  <w:pPr>
                    <w:jc w:val="center"/>
                    <w:rPr>
                      <w:b/>
                      <w:bCs/>
                      <w:szCs w:val="21"/>
                    </w:rPr>
                  </w:pPr>
                  <w:r>
                    <w:rPr>
                      <w:b/>
                      <w:bCs/>
                      <w:szCs w:val="21"/>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vAlign w:val="center"/>
                </w:tcPr>
                <w:p>
                  <w:pPr>
                    <w:jc w:val="center"/>
                    <w:rPr>
                      <w:szCs w:val="21"/>
                    </w:rPr>
                  </w:pPr>
                  <w:r>
                    <w:rPr>
                      <w:szCs w:val="21"/>
                    </w:rPr>
                    <w:t>一、认真贯彻执行产业政策。新上项目必须符合产业政策要求，禁止采用公布的淘汰工艺和落后设备，不得引进耗能高、污染大、生产粗放、不符合产业政策的项目。</w:t>
                  </w:r>
                </w:p>
              </w:tc>
              <w:tc>
                <w:tcPr>
                  <w:tcW w:w="1228" w:type="pct"/>
                  <w:tcBorders>
                    <w:tl2br w:val="nil"/>
                    <w:tr2bl w:val="nil"/>
                  </w:tcBorders>
                  <w:vAlign w:val="center"/>
                </w:tcPr>
                <w:p>
                  <w:pPr>
                    <w:jc w:val="center"/>
                    <w:rPr>
                      <w:szCs w:val="21"/>
                    </w:rPr>
                  </w:pPr>
                  <w:r>
                    <w:rPr>
                      <w:szCs w:val="21"/>
                    </w:rPr>
                    <w:t>本项目不属于《</w:t>
                  </w:r>
                  <w:r>
                    <w:t>产业结构调整指导目录（</w:t>
                  </w:r>
                  <w:r>
                    <w:rPr>
                      <w:rFonts w:hint="eastAsia"/>
                    </w:rPr>
                    <w:t>2024年本</w:t>
                  </w:r>
                  <w:r>
                    <w:t>）</w:t>
                  </w:r>
                  <w:r>
                    <w:rPr>
                      <w:szCs w:val="21"/>
                    </w:rPr>
                    <w:t>》中鼓励类、限制类、淘汰类，为允许类。</w:t>
                  </w:r>
                </w:p>
              </w:tc>
              <w:tc>
                <w:tcPr>
                  <w:tcW w:w="615" w:type="pct"/>
                  <w:tcBorders>
                    <w:tl2br w:val="nil"/>
                    <w:tr2bl w:val="nil"/>
                  </w:tcBorders>
                  <w:vAlign w:val="center"/>
                </w:tcPr>
                <w:p>
                  <w:pPr>
                    <w:jc w:val="center"/>
                    <w:rPr>
                      <w:szCs w:val="21"/>
                    </w:rPr>
                  </w:pPr>
                  <w:r>
                    <w:rPr>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vAlign w:val="center"/>
                </w:tcPr>
                <w:p>
                  <w:pPr>
                    <w:jc w:val="center"/>
                    <w:rPr>
                      <w:szCs w:val="21"/>
                    </w:rPr>
                  </w:pPr>
                  <w:r>
                    <w:rPr>
                      <w:szCs w:val="21"/>
                    </w:rPr>
                    <w:t>二、强化规划刚性约束。新上项目必须符合国土空间规划、产业发展规划等要求，积极引导产业园区外“散乱污”整治搬迁改造企业进入产业园区或工业集聚区，并鼓励租赁标准厂房。按照“布局集中、用地集约、产业集聚、空间优化”的原则，高标准制定产业发展规划，明确主导产业、布局和产业发展方向，引导企业规范化、规模化、集约化发展。</w:t>
                  </w:r>
                </w:p>
              </w:tc>
              <w:tc>
                <w:tcPr>
                  <w:tcW w:w="1228" w:type="pct"/>
                  <w:vMerge w:val="restart"/>
                  <w:tcBorders>
                    <w:tl2br w:val="nil"/>
                    <w:tr2bl w:val="nil"/>
                  </w:tcBorders>
                  <w:vAlign w:val="center"/>
                </w:tcPr>
                <w:p>
                  <w:pPr>
                    <w:jc w:val="center"/>
                    <w:rPr>
                      <w:szCs w:val="21"/>
                    </w:rPr>
                  </w:pPr>
                  <w:r>
                    <w:rPr>
                      <w:szCs w:val="21"/>
                    </w:rPr>
                    <w:t>本项目位于山东省淄博市经济开发区南定镇昌盛路9-7号，位于工业聚集区，项目用地为工业用地，依托现有厂房进行建设，不新增用地</w:t>
                  </w:r>
                  <w:r>
                    <w:rPr>
                      <w:kern w:val="0"/>
                      <w:szCs w:val="21"/>
                    </w:rPr>
                    <w:t>。</w:t>
                  </w:r>
                </w:p>
              </w:tc>
              <w:tc>
                <w:tcPr>
                  <w:tcW w:w="615" w:type="pct"/>
                  <w:tcBorders>
                    <w:tl2br w:val="nil"/>
                    <w:tr2bl w:val="nil"/>
                  </w:tcBorders>
                  <w:vAlign w:val="center"/>
                </w:tcPr>
                <w:p>
                  <w:pPr>
                    <w:jc w:val="center"/>
                    <w:rPr>
                      <w:szCs w:val="21"/>
                    </w:rPr>
                  </w:pPr>
                  <w:r>
                    <w:rPr>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vAlign w:val="center"/>
                </w:tcPr>
                <w:p>
                  <w:pPr>
                    <w:jc w:val="center"/>
                    <w:rPr>
                      <w:szCs w:val="21"/>
                    </w:rPr>
                  </w:pPr>
                  <w:r>
                    <w:rPr>
                      <w:szCs w:val="21"/>
                    </w:rPr>
                    <w:t>三、科学把好项目选址关。新建有污染物排放的工业项目，除在安全生产等方面有特殊要求的以外，应当进入工业园区或工业集聚区。</w:t>
                  </w:r>
                </w:p>
              </w:tc>
              <w:tc>
                <w:tcPr>
                  <w:tcW w:w="1228" w:type="pct"/>
                  <w:vMerge w:val="continue"/>
                  <w:tcBorders>
                    <w:tl2br w:val="nil"/>
                    <w:tr2bl w:val="nil"/>
                  </w:tcBorders>
                  <w:vAlign w:val="center"/>
                </w:tcPr>
                <w:p>
                  <w:pPr>
                    <w:ind w:firstLine="422"/>
                    <w:jc w:val="center"/>
                    <w:rPr>
                      <w:szCs w:val="21"/>
                    </w:rPr>
                  </w:pPr>
                </w:p>
              </w:tc>
              <w:tc>
                <w:tcPr>
                  <w:tcW w:w="615" w:type="pct"/>
                  <w:tcBorders>
                    <w:tl2br w:val="nil"/>
                    <w:tr2bl w:val="nil"/>
                  </w:tcBorders>
                  <w:vAlign w:val="center"/>
                </w:tcPr>
                <w:p>
                  <w:pPr>
                    <w:jc w:val="center"/>
                    <w:rPr>
                      <w:szCs w:val="21"/>
                    </w:rPr>
                  </w:pPr>
                  <w:r>
                    <w:rPr>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vAlign w:val="center"/>
                </w:tcPr>
                <w:p>
                  <w:pPr>
                    <w:jc w:val="center"/>
                    <w:rPr>
                      <w:szCs w:val="21"/>
                    </w:rPr>
                  </w:pPr>
                  <w:r>
                    <w:rPr>
                      <w:szCs w:val="21"/>
                    </w:rPr>
                    <w:t>四、严把项目环评审批关。新上项目必须严格执行环评审批“三挂钩”机制和“五个不批”要求，落实“三线一单”生态环境分区管控要求。强化替代约束，涉及主要污染物排放的，必须落实区域污染物排放替代，确保增产减污；涉及煤炭消耗的，必须落实煤炭消费减量替代，否则各级环评审批部门一律不予审批通过。</w:t>
                  </w:r>
                </w:p>
              </w:tc>
              <w:tc>
                <w:tcPr>
                  <w:tcW w:w="1228" w:type="pct"/>
                  <w:tcBorders>
                    <w:tl2br w:val="nil"/>
                    <w:tr2bl w:val="nil"/>
                  </w:tcBorders>
                  <w:vAlign w:val="center"/>
                </w:tcPr>
                <w:p>
                  <w:pPr>
                    <w:jc w:val="center"/>
                    <w:rPr>
                      <w:szCs w:val="21"/>
                    </w:rPr>
                  </w:pPr>
                  <w:r>
                    <w:rPr>
                      <w:szCs w:val="21"/>
                    </w:rPr>
                    <w:t>项目严格执行环评审批要求。主要污染物排放执行倍量替代要求。</w:t>
                  </w:r>
                </w:p>
              </w:tc>
              <w:tc>
                <w:tcPr>
                  <w:tcW w:w="615" w:type="pct"/>
                  <w:tcBorders>
                    <w:tl2br w:val="nil"/>
                    <w:tr2bl w:val="nil"/>
                  </w:tcBorders>
                  <w:vAlign w:val="center"/>
                </w:tcPr>
                <w:p>
                  <w:pPr>
                    <w:jc w:val="center"/>
                    <w:rPr>
                      <w:szCs w:val="21"/>
                    </w:rPr>
                  </w:pPr>
                  <w:r>
                    <w:rPr>
                      <w:szCs w:val="21"/>
                    </w:rPr>
                    <w:t>符合</w:t>
                  </w:r>
                </w:p>
              </w:tc>
            </w:tr>
          </w:tbl>
          <w:p>
            <w:pPr>
              <w:pStyle w:val="301"/>
              <w:ind w:firstLine="420"/>
              <w:rPr>
                <w:rFonts w:ascii="Times New Roman" w:hAnsi="Times New Roman"/>
                <w:b/>
                <w:bCs/>
              </w:rPr>
            </w:pPr>
            <w:r>
              <w:rPr>
                <w:rFonts w:ascii="Times New Roman" w:hAnsi="Times New Roman"/>
                <w:sz w:val="21"/>
                <w:szCs w:val="21"/>
              </w:rPr>
              <w:t>根据上表，本项目符合《关于严格项目审批工作坚决防止新上“散乱污”项目的通知》（鲁环字[2021]58号）的要求。</w:t>
            </w:r>
          </w:p>
          <w:p>
            <w:pPr>
              <w:autoSpaceDE w:val="0"/>
              <w:autoSpaceDN w:val="0"/>
              <w:adjustRightInd w:val="0"/>
              <w:snapToGrid w:val="0"/>
              <w:spacing w:line="360" w:lineRule="auto"/>
              <w:ind w:firstLine="422" w:firstLineChars="200"/>
              <w:rPr>
                <w:b/>
                <w:bCs/>
              </w:rPr>
            </w:pPr>
            <w:r>
              <w:rPr>
                <w:b/>
                <w:bCs/>
              </w:rPr>
              <w:t>6、与山东省2021-2025年《深入打好蓝天保卫战行动计划》、《深入打好碧水保卫战行动计划》、《深入打好净土保卫战行动计划》符合性分析</w:t>
            </w:r>
          </w:p>
          <w:p>
            <w:pPr>
              <w:jc w:val="center"/>
              <w:rPr>
                <w:b/>
                <w:bCs/>
              </w:rPr>
            </w:pPr>
            <w:r>
              <w:rPr>
                <w:b/>
                <w:bCs/>
              </w:rPr>
              <w:t>表1-5 符合性分析一览表</w:t>
            </w:r>
          </w:p>
          <w:tbl>
            <w:tblPr>
              <w:tblStyle w:val="40"/>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83"/>
              <w:gridCol w:w="3920"/>
              <w:gridCol w:w="14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3" w:type="dxa"/>
                  <w:tcBorders>
                    <w:tl2br w:val="nil"/>
                    <w:tr2bl w:val="nil"/>
                  </w:tcBorders>
                  <w:vAlign w:val="center"/>
                </w:tcPr>
                <w:p>
                  <w:pPr>
                    <w:jc w:val="center"/>
                    <w:rPr>
                      <w:b/>
                      <w:bCs/>
                    </w:rPr>
                  </w:pPr>
                  <w:r>
                    <w:rPr>
                      <w:b/>
                      <w:bCs/>
                    </w:rPr>
                    <w:t>文件名称</w:t>
                  </w:r>
                </w:p>
              </w:tc>
              <w:tc>
                <w:tcPr>
                  <w:tcW w:w="3920" w:type="dxa"/>
                  <w:tcBorders>
                    <w:tl2br w:val="nil"/>
                    <w:tr2bl w:val="nil"/>
                  </w:tcBorders>
                  <w:vAlign w:val="center"/>
                </w:tcPr>
                <w:p>
                  <w:pPr>
                    <w:jc w:val="center"/>
                    <w:rPr>
                      <w:b/>
                      <w:bCs/>
                    </w:rPr>
                  </w:pPr>
                  <w:r>
                    <w:rPr>
                      <w:b/>
                      <w:bCs/>
                    </w:rPr>
                    <w:t>文件要求</w:t>
                  </w:r>
                </w:p>
              </w:tc>
              <w:tc>
                <w:tcPr>
                  <w:tcW w:w="1474" w:type="dxa"/>
                  <w:tcBorders>
                    <w:tl2br w:val="nil"/>
                    <w:tr2bl w:val="nil"/>
                  </w:tcBorders>
                  <w:vAlign w:val="center"/>
                </w:tcPr>
                <w:p>
                  <w:pPr>
                    <w:jc w:val="center"/>
                    <w:rPr>
                      <w:b/>
                      <w:bCs/>
                    </w:rPr>
                  </w:pPr>
                  <w:r>
                    <w:rPr>
                      <w:b/>
                      <w:bCs/>
                    </w:rPr>
                    <w:t>本项目情况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183" w:type="dxa"/>
                  <w:vMerge w:val="restart"/>
                  <w:tcBorders>
                    <w:tl2br w:val="nil"/>
                    <w:tr2bl w:val="nil"/>
                  </w:tcBorders>
                  <w:vAlign w:val="center"/>
                </w:tcPr>
                <w:p>
                  <w:pPr>
                    <w:jc w:val="center"/>
                    <w:rPr>
                      <w:szCs w:val="21"/>
                    </w:rPr>
                  </w:pPr>
                  <w:r>
                    <w:rPr>
                      <w:szCs w:val="21"/>
                    </w:rPr>
                    <w:t>《深入打好蓝天保卫战行动计划》</w:t>
                  </w:r>
                </w:p>
              </w:tc>
              <w:tc>
                <w:tcPr>
                  <w:tcW w:w="3920" w:type="dxa"/>
                  <w:tcBorders>
                    <w:tl2br w:val="nil"/>
                    <w:tr2bl w:val="nil"/>
                  </w:tcBorders>
                  <w:vAlign w:val="center"/>
                </w:tcPr>
                <w:p>
                  <w:pPr>
                    <w:jc w:val="center"/>
                    <w:rPr>
                      <w:szCs w:val="21"/>
                    </w:rPr>
                  </w:pPr>
                  <w:r>
                    <w:rPr>
                      <w:szCs w:val="21"/>
                    </w:rPr>
                    <w:t>淘汰低效落后产能。聚焦钢铁、地炼、焦化、煤电、水泥、轮胎、煤炭、化工8个重点行业，加快淘汰低效落后产能。严格执行质量、环保、能耗、安全等法规标准，按照《产业结构调整指导目录》，对“淘汰类”落后生产工艺装备和落后产品全部淘汰出清。各市聚焦“高耗能、高污染、高排放、高风险”等行业，分类组织实施转移、压减、整合、关停任务。</w:t>
                  </w:r>
                </w:p>
              </w:tc>
              <w:tc>
                <w:tcPr>
                  <w:tcW w:w="1474" w:type="dxa"/>
                  <w:tcBorders>
                    <w:tl2br w:val="nil"/>
                    <w:tr2bl w:val="nil"/>
                  </w:tcBorders>
                  <w:vAlign w:val="center"/>
                </w:tcPr>
                <w:p>
                  <w:pPr>
                    <w:jc w:val="center"/>
                    <w:rPr>
                      <w:szCs w:val="21"/>
                    </w:rPr>
                  </w:pPr>
                  <w:r>
                    <w:rPr>
                      <w:szCs w:val="21"/>
                    </w:rPr>
                    <w:t>本项目不属于重点行业，不属于落后产能符合文件要求。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183" w:type="dxa"/>
                  <w:vMerge w:val="continue"/>
                  <w:tcBorders>
                    <w:tl2br w:val="nil"/>
                    <w:tr2bl w:val="nil"/>
                  </w:tcBorders>
                  <w:vAlign w:val="center"/>
                </w:tcPr>
                <w:p>
                  <w:pPr>
                    <w:jc w:val="center"/>
                    <w:rPr>
                      <w:szCs w:val="21"/>
                    </w:rPr>
                  </w:pPr>
                </w:p>
              </w:tc>
              <w:tc>
                <w:tcPr>
                  <w:tcW w:w="3920" w:type="dxa"/>
                  <w:tcBorders>
                    <w:tl2br w:val="nil"/>
                    <w:tr2bl w:val="nil"/>
                  </w:tcBorders>
                  <w:vAlign w:val="center"/>
                </w:tcPr>
                <w:p>
                  <w:pPr>
                    <w:jc w:val="center"/>
                    <w:rPr>
                      <w:szCs w:val="21"/>
                    </w:rPr>
                  </w:pPr>
                  <w:r>
                    <w:rPr>
                      <w:szCs w:val="21"/>
                    </w:rPr>
                    <w:t>压减煤炭消费量。持续压减煤炭消费总量，制定碳达峰方案，推动钢铁、建材、有色、电力等重点行业率先达峰。加快能源低碳转型，实施可再生能源倍增行动。大力推进集中供热和余热利用，淘汰集中供热范围内的燃煤锅炉和散煤。对以煤、石油焦、渣油、重油等为燃料的工业炉窑，加快使用工厂余热、电厂热力、清洁能源等进行替代。</w:t>
                  </w:r>
                </w:p>
              </w:tc>
              <w:tc>
                <w:tcPr>
                  <w:tcW w:w="1474" w:type="dxa"/>
                  <w:tcBorders>
                    <w:tl2br w:val="nil"/>
                    <w:tr2bl w:val="nil"/>
                  </w:tcBorders>
                  <w:vAlign w:val="center"/>
                </w:tcPr>
                <w:p>
                  <w:pPr>
                    <w:jc w:val="center"/>
                    <w:rPr>
                      <w:szCs w:val="21"/>
                    </w:rPr>
                  </w:pPr>
                  <w:r>
                    <w:rPr>
                      <w:szCs w:val="21"/>
                    </w:rPr>
                    <w:t>本项目不使用煤炭；符合文件要求。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183" w:type="dxa"/>
                  <w:vMerge w:val="continue"/>
                  <w:tcBorders>
                    <w:tl2br w:val="nil"/>
                    <w:tr2bl w:val="nil"/>
                  </w:tcBorders>
                  <w:vAlign w:val="center"/>
                </w:tcPr>
                <w:p>
                  <w:pPr>
                    <w:jc w:val="center"/>
                    <w:rPr>
                      <w:szCs w:val="21"/>
                    </w:rPr>
                  </w:pPr>
                </w:p>
              </w:tc>
              <w:tc>
                <w:tcPr>
                  <w:tcW w:w="3920" w:type="dxa"/>
                  <w:tcBorders>
                    <w:tl2br w:val="nil"/>
                    <w:tr2bl w:val="nil"/>
                  </w:tcBorders>
                  <w:vAlign w:val="center"/>
                </w:tcPr>
                <w:p>
                  <w:pPr>
                    <w:jc w:val="center"/>
                    <w:rPr>
                      <w:szCs w:val="21"/>
                    </w:rPr>
                  </w:pPr>
                  <w:r>
                    <w:rPr>
                      <w:szCs w:val="21"/>
                    </w:rPr>
                    <w:t>优化货物运输方式。优化交通运输结构，大力发展铁港联运，基本形成大宗货物和集装箱中长距离运输以铁路、水路或管道为主的格局。PM2.5和O3未达标的城市，新、改、扩建项目涉及大宗物料运输的，应采用清洁运输方式。</w:t>
                  </w:r>
                </w:p>
              </w:tc>
              <w:tc>
                <w:tcPr>
                  <w:tcW w:w="1474" w:type="dxa"/>
                  <w:tcBorders>
                    <w:tl2br w:val="nil"/>
                    <w:tr2bl w:val="nil"/>
                  </w:tcBorders>
                  <w:vAlign w:val="center"/>
                </w:tcPr>
                <w:p>
                  <w:pPr>
                    <w:jc w:val="center"/>
                    <w:rPr>
                      <w:szCs w:val="21"/>
                    </w:rPr>
                  </w:pPr>
                  <w:r>
                    <w:rPr>
                      <w:szCs w:val="21"/>
                    </w:rPr>
                    <w:t>本项目物料运输车辆加盖篷布，采用清洁运输方式，符合文件要求。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183" w:type="dxa"/>
                  <w:vMerge w:val="continue"/>
                  <w:tcBorders>
                    <w:tl2br w:val="nil"/>
                    <w:tr2bl w:val="nil"/>
                  </w:tcBorders>
                  <w:vAlign w:val="center"/>
                </w:tcPr>
                <w:p>
                  <w:pPr>
                    <w:jc w:val="center"/>
                    <w:rPr>
                      <w:szCs w:val="21"/>
                    </w:rPr>
                  </w:pPr>
                </w:p>
              </w:tc>
              <w:tc>
                <w:tcPr>
                  <w:tcW w:w="3920" w:type="dxa"/>
                  <w:tcBorders>
                    <w:tl2br w:val="nil"/>
                    <w:tr2bl w:val="nil"/>
                  </w:tcBorders>
                  <w:vAlign w:val="center"/>
                </w:tcPr>
                <w:p>
                  <w:pPr>
                    <w:jc w:val="center"/>
                    <w:rPr>
                      <w:szCs w:val="21"/>
                    </w:rPr>
                  </w:pPr>
                  <w:r>
                    <w:rPr>
                      <w:szCs w:val="21"/>
                    </w:rPr>
                    <w:t>强化工业源NOx深度治理。严格治理设施运行监管，燃煤机组、锅炉、钢铁企业污染排放稳定达到超低排放要求。实施玻璃、陶瓷、铸造、铁合金、有色等行业污染深度治理，确保各类大气污染物稳定达标排放。</w:t>
                  </w:r>
                </w:p>
              </w:tc>
              <w:tc>
                <w:tcPr>
                  <w:tcW w:w="1474" w:type="dxa"/>
                  <w:tcBorders>
                    <w:tl2br w:val="nil"/>
                    <w:tr2bl w:val="nil"/>
                  </w:tcBorders>
                  <w:vAlign w:val="center"/>
                </w:tcPr>
                <w:p>
                  <w:pPr>
                    <w:jc w:val="center"/>
                    <w:rPr>
                      <w:szCs w:val="21"/>
                    </w:rPr>
                  </w:pPr>
                  <w:r>
                    <w:rPr>
                      <w:szCs w:val="21"/>
                    </w:rPr>
                    <w:t>本项目不属于NOx重点监管行业，符合文件要求。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183" w:type="dxa"/>
                  <w:tcBorders>
                    <w:tl2br w:val="nil"/>
                    <w:tr2bl w:val="nil"/>
                  </w:tcBorders>
                  <w:vAlign w:val="center"/>
                </w:tcPr>
                <w:p>
                  <w:pPr>
                    <w:jc w:val="center"/>
                    <w:rPr>
                      <w:szCs w:val="21"/>
                    </w:rPr>
                  </w:pPr>
                  <w:r>
                    <w:rPr>
                      <w:szCs w:val="21"/>
                    </w:rPr>
                    <w:t>《深入打好碧水保卫战行动计划》</w:t>
                  </w:r>
                </w:p>
              </w:tc>
              <w:tc>
                <w:tcPr>
                  <w:tcW w:w="3920" w:type="dxa"/>
                  <w:tcBorders>
                    <w:tl2br w:val="nil"/>
                    <w:tr2bl w:val="nil"/>
                  </w:tcBorders>
                  <w:vAlign w:val="center"/>
                </w:tcPr>
                <w:p>
                  <w:pPr>
                    <w:jc w:val="center"/>
                    <w:rPr>
                      <w:szCs w:val="21"/>
                    </w:rPr>
                  </w:pPr>
                  <w:r>
                    <w:rPr>
                      <w:szCs w:val="21"/>
                    </w:rPr>
                    <w:t>聚焦汇入南四湖、东平湖等重点湖库以及莱州湾、丁字湾、胶州湾等重点海湾的河流，开展涉氮涉磷等重点行业污染治理。开展硫酸盐、氟化物等特征污染物治理，2021年8月底前，梳理形成全省硫酸盐与氟化物浓度较高河流（河段）清单，提升汇水范围内涉硫涉氟工业企业特征污染物治理能力。南四湖流域以5条硫酸盐浓度和2条氟化物浓度较高的河流为重点，实施流域内造纸、化工、玻璃、煤矿等行业的涉硫涉氟工矿企业特征污染物治理。</w:t>
                  </w:r>
                </w:p>
              </w:tc>
              <w:tc>
                <w:tcPr>
                  <w:tcW w:w="1474" w:type="dxa"/>
                  <w:tcBorders>
                    <w:tl2br w:val="nil"/>
                    <w:tr2bl w:val="nil"/>
                  </w:tcBorders>
                  <w:vAlign w:val="center"/>
                </w:tcPr>
                <w:p>
                  <w:pPr>
                    <w:jc w:val="center"/>
                    <w:rPr>
                      <w:szCs w:val="21"/>
                    </w:rPr>
                  </w:pPr>
                  <w:r>
                    <w:rPr>
                      <w:szCs w:val="21"/>
                    </w:rPr>
                    <w:t>区域地表水为漫泗河，水质满足GB3838-2002中Ⅴ类标准，符合文件要求。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183" w:type="dxa"/>
                  <w:tcBorders>
                    <w:tl2br w:val="nil"/>
                    <w:tr2bl w:val="nil"/>
                  </w:tcBorders>
                  <w:vAlign w:val="center"/>
                </w:tcPr>
                <w:p>
                  <w:pPr>
                    <w:jc w:val="center"/>
                    <w:rPr>
                      <w:szCs w:val="21"/>
                    </w:rPr>
                  </w:pPr>
                  <w:r>
                    <w:rPr>
                      <w:szCs w:val="21"/>
                    </w:rPr>
                    <w:t>《深入打好净土保卫战行动计划》</w:t>
                  </w:r>
                </w:p>
              </w:tc>
              <w:tc>
                <w:tcPr>
                  <w:tcW w:w="3920" w:type="dxa"/>
                  <w:tcBorders>
                    <w:tl2br w:val="nil"/>
                    <w:tr2bl w:val="nil"/>
                  </w:tcBorders>
                  <w:vAlign w:val="center"/>
                </w:tcPr>
                <w:p>
                  <w:pPr>
                    <w:jc w:val="center"/>
                    <w:rPr>
                      <w:szCs w:val="21"/>
                    </w:rPr>
                  </w:pPr>
                  <w:r>
                    <w:rPr>
                      <w:szCs w:val="21"/>
                    </w:rPr>
                    <w:t>依法严格执行农用地分类管理制度，将符合条件的优先保护类耕地划为永久基本农田，实行严格保护，确保土壤环境质量不下降。安全利用类耕地要因地制宜制定实施安全利用方案，按年度总结评估。</w:t>
                  </w:r>
                </w:p>
              </w:tc>
              <w:tc>
                <w:tcPr>
                  <w:tcW w:w="1474" w:type="dxa"/>
                  <w:tcBorders>
                    <w:tl2br w:val="nil"/>
                    <w:tr2bl w:val="nil"/>
                  </w:tcBorders>
                  <w:vAlign w:val="center"/>
                </w:tcPr>
                <w:p>
                  <w:pPr>
                    <w:jc w:val="center"/>
                    <w:rPr>
                      <w:szCs w:val="21"/>
                    </w:rPr>
                  </w:pPr>
                  <w:r>
                    <w:rPr>
                      <w:szCs w:val="21"/>
                    </w:rPr>
                    <w:t>本项目用地为工业用地，位于工业聚集区，符合文件要求。符合文件要求。</w:t>
                  </w:r>
                </w:p>
              </w:tc>
            </w:tr>
          </w:tbl>
          <w:p>
            <w:pPr>
              <w:autoSpaceDE w:val="0"/>
              <w:autoSpaceDN w:val="0"/>
              <w:adjustRightInd w:val="0"/>
              <w:snapToGrid w:val="0"/>
              <w:spacing w:line="360" w:lineRule="auto"/>
              <w:ind w:firstLine="420" w:firstLineChars="200"/>
            </w:pPr>
            <w:r>
              <w:t>综上，本项目建设符合山东省2021-2025年《深入打好蓝天保卫战行动计划》、《深入打好碧水保卫战行动计划》、《深入打好净土保卫战行动计划》要求。</w:t>
            </w:r>
          </w:p>
          <w:p>
            <w:pPr>
              <w:autoSpaceDE w:val="0"/>
              <w:autoSpaceDN w:val="0"/>
              <w:adjustRightInd w:val="0"/>
              <w:snapToGrid w:val="0"/>
              <w:spacing w:line="360" w:lineRule="auto"/>
              <w:ind w:firstLine="422" w:firstLineChars="200"/>
              <w:rPr>
                <w:b/>
                <w:bCs/>
              </w:rPr>
            </w:pPr>
            <w:r>
              <w:rPr>
                <w:b/>
                <w:bCs/>
              </w:rPr>
              <w:t>7、与《山东省“十四五”生态环境保护规划》符合性分析</w:t>
            </w:r>
          </w:p>
          <w:p>
            <w:pPr>
              <w:jc w:val="center"/>
              <w:rPr>
                <w:b/>
                <w:bCs/>
              </w:rPr>
            </w:pPr>
            <w:r>
              <w:rPr>
                <w:b/>
                <w:bCs/>
              </w:rPr>
              <w:t>表1-6  符合性分析一览表</w:t>
            </w:r>
          </w:p>
          <w:tbl>
            <w:tblPr>
              <w:tblStyle w:val="40"/>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116"/>
              <w:gridCol w:w="146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79" w:type="dxa"/>
                  <w:tcBorders>
                    <w:tl2br w:val="nil"/>
                    <w:tr2bl w:val="nil"/>
                  </w:tcBorders>
                  <w:vAlign w:val="center"/>
                </w:tcPr>
                <w:p>
                  <w:pPr>
                    <w:jc w:val="center"/>
                    <w:rPr>
                      <w:b/>
                      <w:bCs/>
                    </w:rPr>
                  </w:pPr>
                  <w:r>
                    <w:rPr>
                      <w:b/>
                      <w:bCs/>
                    </w:rPr>
                    <w:t>文件要求</w:t>
                  </w:r>
                </w:p>
              </w:tc>
              <w:tc>
                <w:tcPr>
                  <w:tcW w:w="1487" w:type="dxa"/>
                  <w:tcBorders>
                    <w:tl2br w:val="nil"/>
                    <w:tr2bl w:val="nil"/>
                  </w:tcBorders>
                  <w:vAlign w:val="center"/>
                </w:tcPr>
                <w:p>
                  <w:pPr>
                    <w:jc w:val="center"/>
                    <w:rPr>
                      <w:b/>
                      <w:bCs/>
                    </w:rPr>
                  </w:pPr>
                  <w:r>
                    <w:rPr>
                      <w:b/>
                      <w:bCs/>
                    </w:rPr>
                    <w:t>本项目情况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5279" w:type="dxa"/>
                  <w:tcBorders>
                    <w:tl2br w:val="nil"/>
                    <w:tr2bl w:val="nil"/>
                  </w:tcBorders>
                  <w:vAlign w:val="center"/>
                </w:tcPr>
                <w:p>
                  <w:pPr>
                    <w:jc w:val="center"/>
                    <w:rPr>
                      <w:szCs w:val="21"/>
                    </w:rPr>
                  </w:pPr>
                  <w:r>
                    <w:rPr>
                      <w:szCs w:val="21"/>
                    </w:rPr>
                    <w:t>坚决淘汰落后动能。严格落实《产业结构调整指导目录》加快推动“淘汰类”生产工艺和产品退出。精准聚焦钢铁、地炼、焦化、煤电、水泥、轮胎、煤炭、化工等8个重点行业，加快淘汰低效落后动能。进一步健全并严格落实环保、安全、技术、能耗、效益标准，各市制定具体措施，重点围绕再生橡胶、废旧塑料再生、砖瓦、石灰、石膏等行业，分类组织实施转移、压减、整合、关停任务，推动低效落后产能退出。</w:t>
                  </w:r>
                </w:p>
              </w:tc>
              <w:tc>
                <w:tcPr>
                  <w:tcW w:w="1487" w:type="dxa"/>
                  <w:tcBorders>
                    <w:tl2br w:val="nil"/>
                    <w:tr2bl w:val="nil"/>
                  </w:tcBorders>
                  <w:vAlign w:val="center"/>
                </w:tcPr>
                <w:p>
                  <w:pPr>
                    <w:jc w:val="center"/>
                    <w:rPr>
                      <w:szCs w:val="21"/>
                    </w:rPr>
                  </w:pPr>
                  <w:r>
                    <w:rPr>
                      <w:szCs w:val="21"/>
                    </w:rPr>
                    <w:t>本项目不属于《产业结构调整指导目录》中的“淘汰类”，不属于8个重点行业，符合文件要求。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5279" w:type="dxa"/>
                  <w:tcBorders>
                    <w:tl2br w:val="nil"/>
                    <w:tr2bl w:val="nil"/>
                  </w:tcBorders>
                  <w:vAlign w:val="center"/>
                </w:tcPr>
                <w:p>
                  <w:pPr>
                    <w:jc w:val="center"/>
                    <w:rPr>
                      <w:szCs w:val="21"/>
                    </w:rPr>
                  </w:pPr>
                  <w:r>
                    <w:rPr>
                      <w:szCs w:val="21"/>
                    </w:rPr>
                    <w:t>着力提高工业园区绿色化水平。提高铸造、有色、化工、砖瓦、玻璃、耐火材料、陶瓷、制革、印染等行业的园区集聚水平，深入推进园区循环化改造。</w:t>
                  </w:r>
                </w:p>
              </w:tc>
              <w:tc>
                <w:tcPr>
                  <w:tcW w:w="1487" w:type="dxa"/>
                  <w:tcBorders>
                    <w:tl2br w:val="nil"/>
                    <w:tr2bl w:val="nil"/>
                  </w:tcBorders>
                  <w:vAlign w:val="center"/>
                </w:tcPr>
                <w:p>
                  <w:pPr>
                    <w:jc w:val="center"/>
                    <w:rPr>
                      <w:szCs w:val="21"/>
                    </w:rPr>
                  </w:pPr>
                  <w:r>
                    <w:rPr>
                      <w:szCs w:val="21"/>
                    </w:rPr>
                    <w:t>本项目符合文件要求。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5279" w:type="dxa"/>
                  <w:tcBorders>
                    <w:tl2br w:val="nil"/>
                    <w:tr2bl w:val="nil"/>
                  </w:tcBorders>
                  <w:vAlign w:val="center"/>
                </w:tcPr>
                <w:p>
                  <w:pPr>
                    <w:jc w:val="center"/>
                    <w:rPr>
                      <w:szCs w:val="21"/>
                    </w:rPr>
                  </w:pPr>
                  <w:r>
                    <w:rPr>
                      <w:szCs w:val="21"/>
                    </w:rPr>
                    <w:t>优化能源供给结构。积极推进能源生产和消费革命，加快构建清洁低碳安全高效能源体系，推进能源低碳化转型。严控化石能源消费总量，推动煤炭等化石能源清洁高效利用。实施可再生能源替代行动，加快推进风电、光伏、生物质等可再生能源发展。</w:t>
                  </w:r>
                </w:p>
              </w:tc>
              <w:tc>
                <w:tcPr>
                  <w:tcW w:w="1487" w:type="dxa"/>
                  <w:tcBorders>
                    <w:tl2br w:val="nil"/>
                    <w:tr2bl w:val="nil"/>
                  </w:tcBorders>
                  <w:vAlign w:val="center"/>
                </w:tcPr>
                <w:p>
                  <w:pPr>
                    <w:jc w:val="center"/>
                    <w:rPr>
                      <w:szCs w:val="21"/>
                    </w:rPr>
                  </w:pPr>
                  <w:r>
                    <w:rPr>
                      <w:szCs w:val="21"/>
                    </w:rPr>
                    <w:t>本项目使用的能源为电、水，符合文件要求。</w:t>
                  </w:r>
                </w:p>
              </w:tc>
            </w:tr>
          </w:tbl>
          <w:p>
            <w:pPr>
              <w:autoSpaceDE w:val="0"/>
              <w:autoSpaceDN w:val="0"/>
              <w:adjustRightInd w:val="0"/>
              <w:snapToGrid w:val="0"/>
              <w:spacing w:line="360" w:lineRule="auto"/>
              <w:ind w:firstLine="420" w:firstLineChars="200"/>
            </w:pPr>
            <w:r>
              <w:t>综上，本项目建设符合《山东省“十四五”生态环境保护规划》要求。</w:t>
            </w:r>
          </w:p>
          <w:p>
            <w:pPr>
              <w:autoSpaceDE w:val="0"/>
              <w:autoSpaceDN w:val="0"/>
              <w:adjustRightInd w:val="0"/>
              <w:snapToGrid w:val="0"/>
              <w:spacing w:line="360" w:lineRule="auto"/>
              <w:ind w:firstLine="422" w:firstLineChars="200"/>
              <w:rPr>
                <w:b/>
                <w:bCs/>
              </w:rPr>
            </w:pPr>
            <w:r>
              <w:rPr>
                <w:b/>
                <w:bCs/>
              </w:rPr>
              <w:t>8、与《山东省人民政府办公厅关于坚决遏制“两高”项目盲目发展促进能源资源高质量配置利用有关事项的通知》（</w:t>
            </w:r>
            <w:r>
              <w:rPr>
                <w:b/>
                <w:bCs/>
                <w:lang w:val="en"/>
              </w:rPr>
              <w:t>鲁政办字〔2022〕9号</w:t>
            </w:r>
            <w:r>
              <w:rPr>
                <w:b/>
                <w:bCs/>
              </w:rPr>
              <w:t>）的符合性分析</w:t>
            </w:r>
          </w:p>
          <w:p>
            <w:pPr>
              <w:keepNext/>
              <w:keepLines/>
              <w:adjustRightInd w:val="0"/>
              <w:snapToGrid w:val="0"/>
              <w:jc w:val="center"/>
              <w:outlineLvl w:val="1"/>
              <w:rPr>
                <w:b/>
                <w:bCs/>
                <w:szCs w:val="21"/>
                <w:lang w:bidi="ar"/>
              </w:rPr>
            </w:pPr>
            <w:r>
              <w:rPr>
                <w:b/>
                <w:bCs/>
                <w:szCs w:val="21"/>
                <w:lang w:bidi="ar"/>
              </w:rPr>
              <w:t>表1-7  项目与《山东省人民政府办公厅关于坚决遏制“两高”项目盲目发展促进能源资源高质量配置利用有关事项的通知》（</w:t>
            </w:r>
            <w:r>
              <w:rPr>
                <w:b/>
                <w:bCs/>
                <w:szCs w:val="21"/>
                <w:lang w:val="en" w:bidi="ar"/>
              </w:rPr>
              <w:t>鲁政办字〔2022〕9号</w:t>
            </w:r>
            <w:r>
              <w:rPr>
                <w:b/>
                <w:bCs/>
                <w:szCs w:val="21"/>
                <w:lang w:bidi="ar"/>
              </w:rPr>
              <w:t>）的符合性分析一览表</w:t>
            </w:r>
          </w:p>
          <w:tbl>
            <w:tblPr>
              <w:tblStyle w:val="40"/>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3938"/>
              <w:gridCol w:w="1717"/>
              <w:gridCol w:w="92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2990" w:type="pct"/>
                  <w:tcBorders>
                    <w:tl2br w:val="nil"/>
                    <w:tr2bl w:val="nil"/>
                  </w:tcBorders>
                  <w:vAlign w:val="center"/>
                </w:tcPr>
                <w:p>
                  <w:pPr>
                    <w:autoSpaceDE w:val="0"/>
                    <w:autoSpaceDN w:val="0"/>
                    <w:adjustRightInd w:val="0"/>
                    <w:snapToGrid w:val="0"/>
                    <w:spacing w:line="360" w:lineRule="auto"/>
                    <w:jc w:val="center"/>
                    <w:rPr>
                      <w:b/>
                      <w:bCs/>
                    </w:rPr>
                  </w:pPr>
                  <w:r>
                    <w:rPr>
                      <w:b/>
                      <w:bCs/>
                    </w:rPr>
                    <w:t>通知要求</w:t>
                  </w:r>
                </w:p>
              </w:tc>
              <w:tc>
                <w:tcPr>
                  <w:tcW w:w="1304" w:type="pct"/>
                  <w:tcBorders>
                    <w:tl2br w:val="nil"/>
                    <w:tr2bl w:val="nil"/>
                  </w:tcBorders>
                  <w:vAlign w:val="center"/>
                </w:tcPr>
                <w:p>
                  <w:pPr>
                    <w:autoSpaceDE w:val="0"/>
                    <w:autoSpaceDN w:val="0"/>
                    <w:adjustRightInd w:val="0"/>
                    <w:snapToGrid w:val="0"/>
                    <w:spacing w:line="360" w:lineRule="auto"/>
                    <w:jc w:val="center"/>
                    <w:rPr>
                      <w:b/>
                      <w:bCs/>
                    </w:rPr>
                  </w:pPr>
                  <w:r>
                    <w:rPr>
                      <w:b/>
                      <w:bCs/>
                    </w:rPr>
                    <w:t>项目情况</w:t>
                  </w:r>
                </w:p>
              </w:tc>
              <w:tc>
                <w:tcPr>
                  <w:tcW w:w="704" w:type="pct"/>
                  <w:tcBorders>
                    <w:tl2br w:val="nil"/>
                    <w:tr2bl w:val="nil"/>
                  </w:tcBorders>
                  <w:vAlign w:val="center"/>
                </w:tcPr>
                <w:p>
                  <w:pPr>
                    <w:autoSpaceDE w:val="0"/>
                    <w:autoSpaceDN w:val="0"/>
                    <w:adjustRightInd w:val="0"/>
                    <w:snapToGrid w:val="0"/>
                    <w:spacing w:line="360" w:lineRule="auto"/>
                    <w:jc w:val="center"/>
                    <w:rPr>
                      <w:b/>
                      <w:bCs/>
                    </w:rPr>
                  </w:pPr>
                  <w:r>
                    <w:rPr>
                      <w:b/>
                      <w:bCs/>
                    </w:rPr>
                    <w:t>符合性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2990" w:type="pct"/>
                  <w:tcBorders>
                    <w:tl2br w:val="nil"/>
                    <w:tr2bl w:val="nil"/>
                  </w:tcBorders>
                  <w:vAlign w:val="center"/>
                </w:tcPr>
                <w:p>
                  <w:pPr>
                    <w:jc w:val="center"/>
                    <w:rPr>
                      <w:szCs w:val="21"/>
                    </w:rPr>
                  </w:pPr>
                  <w:r>
                    <w:rPr>
                      <w:szCs w:val="21"/>
                    </w:rPr>
                    <w:t> 1.明确“两高”行业范围。“两高”行业主要包括炼化、焦化、煤制液体燃料、基础化学原料、化肥、轮胎、水泥、石灰、沥青防水材料、平板玻璃、陶瓷、钢铁、铁合金、有色、铸造、煤电等16个行业。“两高”行业范围根据国家规定和山东省实际动态调整。</w:t>
                  </w:r>
                </w:p>
              </w:tc>
              <w:tc>
                <w:tcPr>
                  <w:tcW w:w="1304" w:type="pct"/>
                  <w:tcBorders>
                    <w:tl2br w:val="nil"/>
                    <w:tr2bl w:val="nil"/>
                  </w:tcBorders>
                  <w:vAlign w:val="center"/>
                </w:tcPr>
                <w:p>
                  <w:pPr>
                    <w:jc w:val="center"/>
                    <w:rPr>
                      <w:szCs w:val="21"/>
                    </w:rPr>
                  </w:pPr>
                  <w:r>
                    <w:rPr>
                      <w:szCs w:val="21"/>
                    </w:rPr>
                    <w:t>本项目不属左栏所列行业。</w:t>
                  </w:r>
                </w:p>
              </w:tc>
              <w:tc>
                <w:tcPr>
                  <w:tcW w:w="704" w:type="pct"/>
                  <w:tcBorders>
                    <w:tl2br w:val="nil"/>
                    <w:tr2bl w:val="nil"/>
                  </w:tcBorders>
                  <w:vAlign w:val="center"/>
                </w:tcPr>
                <w:p>
                  <w:pPr>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2990" w:type="pct"/>
                  <w:tcBorders>
                    <w:tl2br w:val="nil"/>
                    <w:tr2bl w:val="nil"/>
                  </w:tcBorders>
                  <w:vAlign w:val="center"/>
                </w:tcPr>
                <w:p>
                  <w:pPr>
                    <w:jc w:val="center"/>
                    <w:rPr>
                      <w:szCs w:val="21"/>
                    </w:rPr>
                  </w:pPr>
                  <w:r>
                    <w:rPr>
                      <w:szCs w:val="21"/>
                    </w:rPr>
                    <w:t>4.严守“两高”行业能耗煤耗只减不增底线。严格落实节能审查以及能源和煤炭消费减量替代制度，16个“两高”行业新上项目必须落实能源消费减量替代，耗煤项目必须落实煤炭消费减量替代，且替代源必须来自“两高”行业项目。对新建煤电、炼化、钢铁、焦化、水泥（含熟料和粉磨站）及轮胎项目，实施提级审批，由省级核准或备案。新增年综合能耗超过5万吨标准煤“两高”项目，须提报国家发展改革委、生态环境部等有关部委窗口指导。国家布局山东省的“两高”项目单独下达的能耗煤耗指标，可按国家规定用于项目建设。</w:t>
                  </w:r>
                </w:p>
              </w:tc>
              <w:tc>
                <w:tcPr>
                  <w:tcW w:w="1304" w:type="pct"/>
                  <w:tcBorders>
                    <w:tl2br w:val="nil"/>
                    <w:tr2bl w:val="nil"/>
                  </w:tcBorders>
                  <w:vAlign w:val="center"/>
                </w:tcPr>
                <w:p>
                  <w:pPr>
                    <w:jc w:val="center"/>
                    <w:rPr>
                      <w:szCs w:val="21"/>
                    </w:rPr>
                  </w:pPr>
                  <w:r>
                    <w:rPr>
                      <w:szCs w:val="21"/>
                    </w:rPr>
                    <w:t>本项目不属于“两高”项目。</w:t>
                  </w:r>
                </w:p>
              </w:tc>
              <w:tc>
                <w:tcPr>
                  <w:tcW w:w="704" w:type="pct"/>
                  <w:tcBorders>
                    <w:tl2br w:val="nil"/>
                    <w:tr2bl w:val="nil"/>
                  </w:tcBorders>
                  <w:vAlign w:val="center"/>
                </w:tcPr>
                <w:p>
                  <w:pPr>
                    <w:jc w:val="center"/>
                    <w:rPr>
                      <w:szCs w:val="21"/>
                    </w:rPr>
                  </w:pPr>
                  <w:r>
                    <w:rPr>
                      <w:szCs w:val="21"/>
                    </w:rPr>
                    <w:t>符合</w:t>
                  </w:r>
                </w:p>
              </w:tc>
            </w:tr>
          </w:tbl>
          <w:p>
            <w:pPr>
              <w:autoSpaceDE w:val="0"/>
              <w:autoSpaceDN w:val="0"/>
              <w:adjustRightInd w:val="0"/>
              <w:snapToGrid w:val="0"/>
              <w:spacing w:line="360" w:lineRule="auto"/>
              <w:ind w:firstLine="420" w:firstLineChars="200"/>
            </w:pPr>
            <w:r>
              <w:rPr>
                <w:rFonts w:hint="eastAsia"/>
              </w:rPr>
              <w:t>根据《关于“两高”项目管理有关事项的补充通知》（鲁发改工业[2023]34号），将沥青防水材料和醋酸，调出“两高”项目范围，将铸造用生铁从钢铁行业调出单列，</w:t>
            </w:r>
            <w:r>
              <w:rPr>
                <w:bCs/>
              </w:rPr>
              <w:t>本项目不属于“两高”项目</w:t>
            </w:r>
            <w:r>
              <w:t>。</w:t>
            </w:r>
          </w:p>
        </w:tc>
      </w:tr>
    </w:tbl>
    <w:p>
      <w:pPr>
        <w:pStyle w:val="34"/>
        <w:numPr>
          <w:ilvl w:val="0"/>
          <w:numId w:val="4"/>
        </w:numPr>
        <w:ind w:firstLine="3000" w:firstLineChars="1000"/>
        <w:outlineLvl w:val="0"/>
        <w:rPr>
          <w:rFonts w:ascii="Times New Roman" w:hAnsi="Times New Roman" w:eastAsia="黑体"/>
          <w:snapToGrid w:val="0"/>
          <w:sz w:val="30"/>
          <w:szCs w:val="30"/>
        </w:rPr>
      </w:pPr>
      <w:r>
        <w:rPr>
          <w:rFonts w:ascii="Times New Roman" w:hAnsi="Times New Roman" w:eastAsia="黑体"/>
          <w:snapToGrid w:val="0"/>
          <w:sz w:val="30"/>
          <w:szCs w:val="30"/>
        </w:rPr>
        <w:t>建设项目工程分析</w:t>
      </w:r>
    </w:p>
    <w:tbl>
      <w:tblPr>
        <w:tblStyle w:val="40"/>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78"/>
        <w:gridCol w:w="798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95" w:type="pct"/>
            <w:vAlign w:val="center"/>
          </w:tcPr>
          <w:p>
            <w:pPr>
              <w:pStyle w:val="34"/>
              <w:adjustRightInd w:val="0"/>
              <w:snapToGrid w:val="0"/>
              <w:spacing w:before="0" w:beforeAutospacing="0" w:after="0" w:afterAutospacing="0"/>
              <w:ind w:firstLine="422"/>
              <w:jc w:val="center"/>
              <w:rPr>
                <w:rFonts w:ascii="Times New Roman" w:hAnsi="Times New Roman"/>
                <w:kern w:val="21"/>
                <w:sz w:val="21"/>
                <w:szCs w:val="21"/>
              </w:rPr>
            </w:pPr>
            <w:r>
              <w:rPr>
                <w:rFonts w:ascii="Times New Roman" w:hAnsi="Times New Roman"/>
                <w:kern w:val="21"/>
                <w:sz w:val="21"/>
                <w:szCs w:val="21"/>
              </w:rPr>
              <w:t>建设内容</w:t>
            </w:r>
          </w:p>
        </w:tc>
        <w:tc>
          <w:tcPr>
            <w:tcW w:w="4404" w:type="pct"/>
            <w:vAlign w:val="center"/>
          </w:tcPr>
          <w:p>
            <w:pPr>
              <w:adjustRightInd w:val="0"/>
              <w:snapToGrid w:val="0"/>
              <w:spacing w:line="360" w:lineRule="auto"/>
              <w:ind w:firstLine="422" w:firstLineChars="200"/>
              <w:rPr>
                <w:b/>
                <w:bCs/>
              </w:rPr>
            </w:pPr>
            <w:r>
              <w:rPr>
                <w:b/>
                <w:bCs/>
              </w:rPr>
              <w:t>一、建设项目工程内容</w:t>
            </w:r>
          </w:p>
          <w:p>
            <w:pPr>
              <w:adjustRightInd w:val="0"/>
              <w:snapToGrid w:val="0"/>
              <w:spacing w:line="360" w:lineRule="auto"/>
              <w:ind w:firstLine="420" w:firstLineChars="200"/>
            </w:pPr>
            <w:r>
              <w:t>（1）项目建设内容</w:t>
            </w:r>
          </w:p>
          <w:p>
            <w:pPr>
              <w:adjustRightInd w:val="0"/>
              <w:snapToGrid w:val="0"/>
              <w:spacing w:line="360" w:lineRule="auto"/>
              <w:ind w:firstLine="420" w:firstLineChars="200"/>
            </w:pPr>
            <w:r>
              <w:t>拟建项目租赁</w:t>
            </w:r>
            <w:r>
              <w:rPr>
                <w:kern w:val="21"/>
                <w:szCs w:val="21"/>
              </w:rPr>
              <w:t>山东省淄博市经济开发区南定镇昌盛路9-7号</w:t>
            </w:r>
            <w:r>
              <w:t>厂房进行建设，利用主要建设内容见表2-1。</w:t>
            </w:r>
          </w:p>
          <w:p>
            <w:pPr>
              <w:adjustRightInd w:val="0"/>
              <w:snapToGrid w:val="0"/>
              <w:jc w:val="center"/>
              <w:rPr>
                <w:b/>
                <w:bCs/>
              </w:rPr>
            </w:pPr>
            <w:r>
              <w:rPr>
                <w:b/>
                <w:bCs/>
                <w:szCs w:val="21"/>
              </w:rPr>
              <w:t>表2-1  项目主要建设内容一览表</w:t>
            </w:r>
          </w:p>
          <w:tbl>
            <w:tblPr>
              <w:tblStyle w:val="40"/>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15"/>
              <w:gridCol w:w="1304"/>
              <w:gridCol w:w="4096"/>
              <w:gridCol w:w="131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6" w:type="pct"/>
                  <w:vAlign w:val="center"/>
                </w:tcPr>
                <w:p>
                  <w:pPr>
                    <w:pStyle w:val="106"/>
                    <w:rPr>
                      <w:b/>
                      <w:snapToGrid/>
                      <w:kern w:val="2"/>
                    </w:rPr>
                  </w:pPr>
                  <w:r>
                    <w:rPr>
                      <w:b/>
                      <w:snapToGrid/>
                      <w:kern w:val="2"/>
                    </w:rPr>
                    <w:t>工程</w:t>
                  </w:r>
                </w:p>
              </w:tc>
              <w:tc>
                <w:tcPr>
                  <w:tcW w:w="843" w:type="pct"/>
                  <w:vAlign w:val="center"/>
                </w:tcPr>
                <w:p>
                  <w:pPr>
                    <w:pStyle w:val="106"/>
                    <w:rPr>
                      <w:b/>
                      <w:snapToGrid/>
                      <w:kern w:val="2"/>
                    </w:rPr>
                  </w:pPr>
                  <w:r>
                    <w:rPr>
                      <w:b/>
                      <w:snapToGrid/>
                      <w:kern w:val="2"/>
                    </w:rPr>
                    <w:t>组成</w:t>
                  </w:r>
                </w:p>
              </w:tc>
              <w:tc>
                <w:tcPr>
                  <w:tcW w:w="2648" w:type="pct"/>
                  <w:vAlign w:val="center"/>
                </w:tcPr>
                <w:p>
                  <w:pPr>
                    <w:pStyle w:val="106"/>
                    <w:rPr>
                      <w:b/>
                      <w:snapToGrid/>
                      <w:kern w:val="2"/>
                    </w:rPr>
                  </w:pPr>
                  <w:r>
                    <w:rPr>
                      <w:b/>
                      <w:snapToGrid/>
                      <w:kern w:val="2"/>
                    </w:rPr>
                    <w:t>建设内容</w:t>
                  </w:r>
                </w:p>
              </w:tc>
              <w:tc>
                <w:tcPr>
                  <w:tcW w:w="851" w:type="pct"/>
                  <w:vAlign w:val="center"/>
                </w:tcPr>
                <w:p>
                  <w:pPr>
                    <w:pStyle w:val="106"/>
                    <w:rPr>
                      <w:b/>
                      <w:snapToGrid/>
                      <w:kern w:val="2"/>
                    </w:rPr>
                  </w:pPr>
                  <w:r>
                    <w:rPr>
                      <w:b/>
                      <w:snapToGrid/>
                      <w:kern w:val="2"/>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7" w:hRule="atLeast"/>
                <w:jc w:val="center"/>
              </w:trPr>
              <w:tc>
                <w:tcPr>
                  <w:tcW w:w="656" w:type="pct"/>
                  <w:vMerge w:val="restart"/>
                  <w:vAlign w:val="center"/>
                </w:tcPr>
                <w:p>
                  <w:pPr>
                    <w:pStyle w:val="106"/>
                    <w:rPr>
                      <w:bCs/>
                      <w:snapToGrid/>
                      <w:kern w:val="2"/>
                    </w:rPr>
                  </w:pPr>
                  <w:r>
                    <w:rPr>
                      <w:bCs/>
                      <w:snapToGrid/>
                      <w:kern w:val="2"/>
                    </w:rPr>
                    <w:t>主体</w:t>
                  </w:r>
                </w:p>
                <w:p>
                  <w:pPr>
                    <w:pStyle w:val="106"/>
                    <w:rPr>
                      <w:bCs/>
                      <w:snapToGrid/>
                      <w:kern w:val="2"/>
                    </w:rPr>
                  </w:pPr>
                  <w:r>
                    <w:rPr>
                      <w:bCs/>
                      <w:snapToGrid/>
                      <w:kern w:val="2"/>
                    </w:rPr>
                    <w:t>工程</w:t>
                  </w:r>
                </w:p>
              </w:tc>
              <w:tc>
                <w:tcPr>
                  <w:tcW w:w="843" w:type="pct"/>
                  <w:vAlign w:val="center"/>
                </w:tcPr>
                <w:p>
                  <w:pPr>
                    <w:pStyle w:val="106"/>
                    <w:rPr>
                      <w:bCs/>
                      <w:snapToGrid/>
                      <w:kern w:val="2"/>
                    </w:rPr>
                  </w:pPr>
                  <w:r>
                    <w:rPr>
                      <w:bCs/>
                      <w:snapToGrid/>
                      <w:kern w:val="2"/>
                    </w:rPr>
                    <w:t>生产车间</w:t>
                  </w:r>
                </w:p>
              </w:tc>
              <w:tc>
                <w:tcPr>
                  <w:tcW w:w="2648" w:type="pct"/>
                  <w:vAlign w:val="center"/>
                </w:tcPr>
                <w:p>
                  <w:pPr>
                    <w:pStyle w:val="106"/>
                    <w:rPr>
                      <w:bCs/>
                      <w:snapToGrid/>
                      <w:kern w:val="2"/>
                    </w:rPr>
                  </w:pPr>
                  <w:r>
                    <w:rPr>
                      <w:bCs/>
                      <w:snapToGrid/>
                      <w:kern w:val="2"/>
                    </w:rPr>
                    <w:t>建设生产车间1座，占地面积600 m</w:t>
                  </w:r>
                  <w:r>
                    <w:rPr>
                      <w:bCs/>
                      <w:snapToGrid/>
                      <w:kern w:val="2"/>
                      <w:vertAlign w:val="superscript"/>
                    </w:rPr>
                    <w:t>2</w:t>
                  </w:r>
                  <w:r>
                    <w:rPr>
                      <w:bCs/>
                      <w:snapToGrid/>
                      <w:kern w:val="2"/>
                    </w:rPr>
                    <w:t>，共1层，主要设备包括电加热釜、结晶机、</w:t>
                  </w:r>
                  <w:r>
                    <w:rPr>
                      <w:rFonts w:hint="eastAsia"/>
                      <w:bCs/>
                      <w:snapToGrid/>
                      <w:kern w:val="2"/>
                    </w:rPr>
                    <w:t>粉碎机、提升机、</w:t>
                  </w:r>
                  <w:r>
                    <w:rPr>
                      <w:bCs/>
                      <w:snapToGrid/>
                      <w:kern w:val="2"/>
                    </w:rPr>
                    <w:t>混合搅拌釜、</w:t>
                  </w:r>
                  <w:r>
                    <w:rPr>
                      <w:rFonts w:hint="eastAsia"/>
                      <w:bCs/>
                      <w:snapToGrid/>
                      <w:kern w:val="2"/>
                    </w:rPr>
                    <w:t>液体硫酸铝储罐</w:t>
                  </w:r>
                  <w:r>
                    <w:rPr>
                      <w:bCs/>
                      <w:snapToGrid/>
                      <w:kern w:val="2"/>
                    </w:rPr>
                    <w:t>等设备，主要进行产品的生产。</w:t>
                  </w:r>
                </w:p>
              </w:tc>
              <w:tc>
                <w:tcPr>
                  <w:tcW w:w="851" w:type="pct"/>
                  <w:vMerge w:val="restart"/>
                  <w:vAlign w:val="center"/>
                </w:tcPr>
                <w:p>
                  <w:pPr>
                    <w:pStyle w:val="106"/>
                    <w:rPr>
                      <w:bCs/>
                      <w:snapToGrid/>
                      <w:kern w:val="2"/>
                    </w:rPr>
                  </w:pPr>
                  <w:r>
                    <w:rPr>
                      <w:bCs/>
                      <w:snapToGrid/>
                      <w:kern w:val="2"/>
                    </w:rPr>
                    <w:t>依托现有厂房在厂房内部进行建设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7" w:hRule="atLeast"/>
                <w:jc w:val="center"/>
              </w:trPr>
              <w:tc>
                <w:tcPr>
                  <w:tcW w:w="656" w:type="pct"/>
                  <w:vMerge w:val="continue"/>
                  <w:vAlign w:val="center"/>
                </w:tcPr>
                <w:p>
                  <w:pPr>
                    <w:pStyle w:val="106"/>
                    <w:rPr>
                      <w:bCs/>
                      <w:snapToGrid/>
                      <w:kern w:val="2"/>
                    </w:rPr>
                  </w:pPr>
                </w:p>
              </w:tc>
              <w:tc>
                <w:tcPr>
                  <w:tcW w:w="843" w:type="pct"/>
                  <w:vAlign w:val="center"/>
                </w:tcPr>
                <w:p>
                  <w:pPr>
                    <w:pStyle w:val="106"/>
                    <w:rPr>
                      <w:bCs/>
                      <w:snapToGrid/>
                      <w:kern w:val="2"/>
                    </w:rPr>
                  </w:pPr>
                  <w:r>
                    <w:rPr>
                      <w:bCs/>
                      <w:snapToGrid/>
                      <w:kern w:val="2"/>
                    </w:rPr>
                    <w:t>包装车间</w:t>
                  </w:r>
                </w:p>
              </w:tc>
              <w:tc>
                <w:tcPr>
                  <w:tcW w:w="2648" w:type="pct"/>
                  <w:vAlign w:val="center"/>
                </w:tcPr>
                <w:p>
                  <w:pPr>
                    <w:pStyle w:val="106"/>
                    <w:rPr>
                      <w:bCs/>
                      <w:snapToGrid/>
                      <w:kern w:val="2"/>
                    </w:rPr>
                  </w:pPr>
                  <w:r>
                    <w:rPr>
                      <w:bCs/>
                      <w:snapToGrid/>
                      <w:kern w:val="2"/>
                    </w:rPr>
                    <w:t>建设包装车间1座，主要设备包括包装机、立柱码垛机等设备，主要进行产品的包装码垛等。</w:t>
                  </w:r>
                </w:p>
              </w:tc>
              <w:tc>
                <w:tcPr>
                  <w:tcW w:w="851" w:type="pct"/>
                  <w:vMerge w:val="continue"/>
                  <w:vAlign w:val="center"/>
                </w:tcPr>
                <w:p>
                  <w:pPr>
                    <w:pStyle w:val="106"/>
                    <w:rPr>
                      <w:bCs/>
                      <w:snapToGrid/>
                      <w:kern w:val="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6" w:type="pct"/>
                  <w:vMerge w:val="restart"/>
                  <w:vAlign w:val="center"/>
                </w:tcPr>
                <w:p>
                  <w:pPr>
                    <w:pStyle w:val="106"/>
                    <w:rPr>
                      <w:bCs/>
                      <w:snapToGrid/>
                      <w:kern w:val="2"/>
                    </w:rPr>
                  </w:pPr>
                  <w:r>
                    <w:rPr>
                      <w:bCs/>
                      <w:snapToGrid/>
                      <w:kern w:val="2"/>
                    </w:rPr>
                    <w:t>储运工程</w:t>
                  </w:r>
                </w:p>
              </w:tc>
              <w:tc>
                <w:tcPr>
                  <w:tcW w:w="843" w:type="pct"/>
                  <w:vAlign w:val="center"/>
                </w:tcPr>
                <w:p>
                  <w:pPr>
                    <w:pStyle w:val="106"/>
                    <w:rPr>
                      <w:bCs/>
                      <w:snapToGrid/>
                      <w:kern w:val="2"/>
                    </w:rPr>
                  </w:pPr>
                  <w:r>
                    <w:rPr>
                      <w:bCs/>
                      <w:snapToGrid/>
                      <w:kern w:val="2"/>
                    </w:rPr>
                    <w:t>原料仓库</w:t>
                  </w:r>
                </w:p>
              </w:tc>
              <w:tc>
                <w:tcPr>
                  <w:tcW w:w="2648" w:type="pct"/>
                  <w:vAlign w:val="center"/>
                </w:tcPr>
                <w:p>
                  <w:pPr>
                    <w:pStyle w:val="106"/>
                    <w:rPr>
                      <w:bCs/>
                      <w:snapToGrid/>
                      <w:kern w:val="2"/>
                    </w:rPr>
                  </w:pPr>
                  <w:r>
                    <w:rPr>
                      <w:bCs/>
                      <w:snapToGrid/>
                      <w:kern w:val="2"/>
                    </w:rPr>
                    <w:t>1座，占地面积400m</w:t>
                  </w:r>
                  <w:r>
                    <w:rPr>
                      <w:bCs/>
                      <w:snapToGrid/>
                      <w:kern w:val="2"/>
                      <w:vertAlign w:val="superscript"/>
                    </w:rPr>
                    <w:t>2</w:t>
                  </w:r>
                </w:p>
              </w:tc>
              <w:tc>
                <w:tcPr>
                  <w:tcW w:w="851" w:type="pct"/>
                  <w:vMerge w:val="restart"/>
                  <w:vAlign w:val="center"/>
                </w:tcPr>
                <w:p>
                  <w:pPr>
                    <w:pStyle w:val="106"/>
                    <w:rPr>
                      <w:bCs/>
                      <w:snapToGrid/>
                      <w:kern w:val="2"/>
                    </w:rPr>
                  </w:pPr>
                  <w:r>
                    <w:rPr>
                      <w:bCs/>
                      <w:snapToGrid/>
                      <w:kern w:val="2"/>
                    </w:rPr>
                    <w:t>依托现有厂房在厂房内部进行建设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6" w:type="pct"/>
                  <w:vMerge w:val="continue"/>
                  <w:vAlign w:val="center"/>
                </w:tcPr>
                <w:p>
                  <w:pPr>
                    <w:pStyle w:val="106"/>
                    <w:rPr>
                      <w:bCs/>
                      <w:snapToGrid/>
                      <w:kern w:val="2"/>
                    </w:rPr>
                  </w:pPr>
                </w:p>
              </w:tc>
              <w:tc>
                <w:tcPr>
                  <w:tcW w:w="843" w:type="pct"/>
                  <w:vAlign w:val="center"/>
                </w:tcPr>
                <w:p>
                  <w:pPr>
                    <w:pStyle w:val="106"/>
                    <w:rPr>
                      <w:bCs/>
                      <w:snapToGrid/>
                      <w:kern w:val="2"/>
                    </w:rPr>
                  </w:pPr>
                  <w:r>
                    <w:rPr>
                      <w:bCs/>
                      <w:snapToGrid/>
                      <w:kern w:val="2"/>
                    </w:rPr>
                    <w:t>成品仓库</w:t>
                  </w:r>
                </w:p>
              </w:tc>
              <w:tc>
                <w:tcPr>
                  <w:tcW w:w="2648" w:type="pct"/>
                  <w:vAlign w:val="center"/>
                </w:tcPr>
                <w:p>
                  <w:pPr>
                    <w:pStyle w:val="106"/>
                    <w:rPr>
                      <w:bCs/>
                      <w:snapToGrid/>
                      <w:kern w:val="2"/>
                    </w:rPr>
                  </w:pPr>
                  <w:r>
                    <w:rPr>
                      <w:bCs/>
                      <w:snapToGrid/>
                      <w:kern w:val="2"/>
                    </w:rPr>
                    <w:t>1座，占地面积500m</w:t>
                  </w:r>
                  <w:r>
                    <w:rPr>
                      <w:bCs/>
                      <w:snapToGrid/>
                      <w:kern w:val="2"/>
                      <w:vertAlign w:val="superscript"/>
                    </w:rPr>
                    <w:t>2</w:t>
                  </w:r>
                </w:p>
              </w:tc>
              <w:tc>
                <w:tcPr>
                  <w:tcW w:w="851" w:type="pct"/>
                  <w:vMerge w:val="continue"/>
                  <w:vAlign w:val="center"/>
                </w:tcPr>
                <w:p>
                  <w:pPr>
                    <w:pStyle w:val="106"/>
                    <w:rPr>
                      <w:bCs/>
                      <w:snapToGrid/>
                      <w:kern w:val="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6" w:type="pct"/>
                  <w:vMerge w:val="continue"/>
                  <w:vAlign w:val="center"/>
                </w:tcPr>
                <w:p>
                  <w:pPr>
                    <w:pStyle w:val="106"/>
                    <w:rPr>
                      <w:bCs/>
                      <w:snapToGrid/>
                      <w:kern w:val="2"/>
                    </w:rPr>
                  </w:pPr>
                </w:p>
              </w:tc>
              <w:tc>
                <w:tcPr>
                  <w:tcW w:w="843" w:type="pct"/>
                  <w:vAlign w:val="center"/>
                </w:tcPr>
                <w:p>
                  <w:pPr>
                    <w:pStyle w:val="106"/>
                    <w:rPr>
                      <w:bCs/>
                      <w:snapToGrid/>
                      <w:kern w:val="2"/>
                    </w:rPr>
                  </w:pPr>
                  <w:r>
                    <w:rPr>
                      <w:bCs/>
                      <w:snapToGrid/>
                      <w:kern w:val="2"/>
                    </w:rPr>
                    <w:t>罐区</w:t>
                  </w:r>
                </w:p>
              </w:tc>
              <w:tc>
                <w:tcPr>
                  <w:tcW w:w="2648" w:type="pct"/>
                  <w:vAlign w:val="center"/>
                </w:tcPr>
                <w:p>
                  <w:pPr>
                    <w:adjustRightInd w:val="0"/>
                    <w:snapToGrid w:val="0"/>
                    <w:ind w:firstLine="422"/>
                    <w:jc w:val="center"/>
                    <w:rPr>
                      <w:szCs w:val="21"/>
                    </w:rPr>
                  </w:pPr>
                  <w:r>
                    <w:rPr>
                      <w:szCs w:val="21"/>
                    </w:rPr>
                    <w:t>1个600m</w:t>
                  </w:r>
                  <w:r>
                    <w:rPr>
                      <w:szCs w:val="21"/>
                      <w:vertAlign w:val="superscript"/>
                    </w:rPr>
                    <w:t>3</w:t>
                  </w:r>
                  <w:r>
                    <w:rPr>
                      <w:szCs w:val="21"/>
                    </w:rPr>
                    <w:t>、3个60m</w:t>
                  </w:r>
                  <w:r>
                    <w:rPr>
                      <w:szCs w:val="21"/>
                      <w:vertAlign w:val="superscript"/>
                    </w:rPr>
                    <w:t>3</w:t>
                  </w:r>
                  <w:r>
                    <w:rPr>
                      <w:szCs w:val="21"/>
                    </w:rPr>
                    <w:t>的液体硫酸铝储罐</w:t>
                  </w:r>
                </w:p>
              </w:tc>
              <w:tc>
                <w:tcPr>
                  <w:tcW w:w="851" w:type="pct"/>
                  <w:vMerge w:val="continue"/>
                  <w:vAlign w:val="center"/>
                </w:tcPr>
                <w:p>
                  <w:pPr>
                    <w:pStyle w:val="106"/>
                    <w:rPr>
                      <w:bCs/>
                      <w:snapToGrid/>
                      <w:kern w:val="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6" w:type="pct"/>
                  <w:vMerge w:val="restart"/>
                  <w:vAlign w:val="center"/>
                </w:tcPr>
                <w:p>
                  <w:pPr>
                    <w:pStyle w:val="106"/>
                    <w:rPr>
                      <w:bCs/>
                      <w:snapToGrid/>
                      <w:kern w:val="2"/>
                    </w:rPr>
                  </w:pPr>
                  <w:r>
                    <w:rPr>
                      <w:bCs/>
                      <w:snapToGrid/>
                      <w:kern w:val="2"/>
                    </w:rPr>
                    <w:t>辅助</w:t>
                  </w:r>
                </w:p>
                <w:p>
                  <w:pPr>
                    <w:pStyle w:val="106"/>
                    <w:rPr>
                      <w:bCs/>
                      <w:snapToGrid/>
                      <w:kern w:val="2"/>
                    </w:rPr>
                  </w:pPr>
                  <w:r>
                    <w:rPr>
                      <w:bCs/>
                      <w:snapToGrid/>
                      <w:kern w:val="2"/>
                    </w:rPr>
                    <w:t>工程</w:t>
                  </w:r>
                </w:p>
              </w:tc>
              <w:tc>
                <w:tcPr>
                  <w:tcW w:w="843" w:type="pct"/>
                  <w:vAlign w:val="center"/>
                </w:tcPr>
                <w:p>
                  <w:pPr>
                    <w:pStyle w:val="106"/>
                    <w:rPr>
                      <w:bCs/>
                      <w:snapToGrid/>
                      <w:kern w:val="2"/>
                    </w:rPr>
                  </w:pPr>
                  <w:r>
                    <w:rPr>
                      <w:bCs/>
                      <w:snapToGrid/>
                      <w:kern w:val="2"/>
                    </w:rPr>
                    <w:t>办公楼</w:t>
                  </w:r>
                </w:p>
              </w:tc>
              <w:tc>
                <w:tcPr>
                  <w:tcW w:w="2648" w:type="pct"/>
                  <w:vAlign w:val="center"/>
                </w:tcPr>
                <w:p>
                  <w:pPr>
                    <w:pStyle w:val="106"/>
                    <w:rPr>
                      <w:bCs/>
                      <w:snapToGrid/>
                      <w:kern w:val="2"/>
                    </w:rPr>
                  </w:pPr>
                  <w:r>
                    <w:rPr>
                      <w:bCs/>
                      <w:snapToGrid/>
                      <w:kern w:val="2"/>
                    </w:rPr>
                    <w:t>1座，2层，占地面积225m</w:t>
                  </w:r>
                  <w:r>
                    <w:rPr>
                      <w:bCs/>
                      <w:snapToGrid/>
                      <w:kern w:val="2"/>
                      <w:vertAlign w:val="superscript"/>
                    </w:rPr>
                    <w:t>2</w:t>
                  </w:r>
                </w:p>
              </w:tc>
              <w:tc>
                <w:tcPr>
                  <w:tcW w:w="851" w:type="pct"/>
                  <w:vAlign w:val="center"/>
                </w:tcPr>
                <w:p>
                  <w:pPr>
                    <w:pStyle w:val="106"/>
                    <w:rPr>
                      <w:bCs/>
                      <w:snapToGrid/>
                      <w:kern w:val="2"/>
                    </w:rPr>
                  </w:pPr>
                  <w:r>
                    <w:rPr>
                      <w:bCs/>
                      <w:snapToGrid/>
                      <w:kern w:val="2"/>
                    </w:rPr>
                    <w:t>依托现有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6" w:type="pct"/>
                  <w:vMerge w:val="continue"/>
                  <w:vAlign w:val="center"/>
                </w:tcPr>
                <w:p>
                  <w:pPr>
                    <w:pStyle w:val="106"/>
                    <w:rPr>
                      <w:bCs/>
                      <w:snapToGrid/>
                      <w:kern w:val="2"/>
                    </w:rPr>
                  </w:pPr>
                </w:p>
              </w:tc>
              <w:tc>
                <w:tcPr>
                  <w:tcW w:w="843" w:type="pct"/>
                  <w:vAlign w:val="center"/>
                </w:tcPr>
                <w:p>
                  <w:pPr>
                    <w:pStyle w:val="106"/>
                    <w:rPr>
                      <w:bCs/>
                      <w:snapToGrid/>
                      <w:kern w:val="2"/>
                    </w:rPr>
                  </w:pPr>
                  <w:r>
                    <w:rPr>
                      <w:bCs/>
                      <w:snapToGrid/>
                      <w:kern w:val="2"/>
                    </w:rPr>
                    <w:t>循环</w:t>
                  </w:r>
                  <w:r>
                    <w:rPr>
                      <w:rFonts w:hint="eastAsia"/>
                      <w:bCs/>
                      <w:snapToGrid/>
                      <w:kern w:val="2"/>
                    </w:rPr>
                    <w:t>冷却</w:t>
                  </w:r>
                  <w:r>
                    <w:rPr>
                      <w:bCs/>
                      <w:snapToGrid/>
                      <w:kern w:val="2"/>
                    </w:rPr>
                    <w:t>水池</w:t>
                  </w:r>
                </w:p>
              </w:tc>
              <w:tc>
                <w:tcPr>
                  <w:tcW w:w="2648" w:type="pct"/>
                  <w:vAlign w:val="center"/>
                </w:tcPr>
                <w:p>
                  <w:pPr>
                    <w:pStyle w:val="106"/>
                    <w:rPr>
                      <w:bCs/>
                      <w:snapToGrid/>
                      <w:kern w:val="2"/>
                    </w:rPr>
                  </w:pPr>
                  <w:r>
                    <w:rPr>
                      <w:bCs/>
                      <w:snapToGrid/>
                      <w:kern w:val="2"/>
                    </w:rPr>
                    <w:t>145m</w:t>
                  </w:r>
                  <w:r>
                    <w:rPr>
                      <w:bCs/>
                      <w:snapToGrid/>
                      <w:kern w:val="2"/>
                      <w:vertAlign w:val="superscript"/>
                    </w:rPr>
                    <w:t>3</w:t>
                  </w:r>
                </w:p>
              </w:tc>
              <w:tc>
                <w:tcPr>
                  <w:tcW w:w="851" w:type="pct"/>
                  <w:vAlign w:val="center"/>
                </w:tcPr>
                <w:p>
                  <w:pPr>
                    <w:pStyle w:val="106"/>
                    <w:rPr>
                      <w:bCs/>
                      <w:snapToGrid/>
                      <w:kern w:val="2"/>
                    </w:rPr>
                  </w:pPr>
                  <w:r>
                    <w:rPr>
                      <w:bCs/>
                      <w:snapToGrid/>
                      <w:kern w:val="2"/>
                    </w:rPr>
                    <w:t>依托现有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6" w:type="pct"/>
                  <w:vMerge w:val="continue"/>
                  <w:vAlign w:val="center"/>
                </w:tcPr>
                <w:p>
                  <w:pPr>
                    <w:pStyle w:val="106"/>
                    <w:rPr>
                      <w:bCs/>
                      <w:snapToGrid/>
                      <w:kern w:val="2"/>
                    </w:rPr>
                  </w:pPr>
                </w:p>
              </w:tc>
              <w:tc>
                <w:tcPr>
                  <w:tcW w:w="843" w:type="pct"/>
                  <w:vAlign w:val="center"/>
                </w:tcPr>
                <w:p>
                  <w:pPr>
                    <w:pStyle w:val="106"/>
                    <w:rPr>
                      <w:bCs/>
                      <w:snapToGrid/>
                      <w:kern w:val="2"/>
                    </w:rPr>
                  </w:pPr>
                  <w:r>
                    <w:rPr>
                      <w:rFonts w:hint="eastAsia"/>
                      <w:bCs/>
                      <w:snapToGrid/>
                      <w:kern w:val="2"/>
                    </w:rPr>
                    <w:t>蒸汽冷凝水暂存</w:t>
                  </w:r>
                  <w:r>
                    <w:rPr>
                      <w:bCs/>
                      <w:snapToGrid/>
                      <w:kern w:val="2"/>
                    </w:rPr>
                    <w:t>池</w:t>
                  </w:r>
                </w:p>
              </w:tc>
              <w:tc>
                <w:tcPr>
                  <w:tcW w:w="2648" w:type="pct"/>
                  <w:vAlign w:val="center"/>
                </w:tcPr>
                <w:p>
                  <w:pPr>
                    <w:pStyle w:val="106"/>
                    <w:rPr>
                      <w:bCs/>
                      <w:snapToGrid/>
                      <w:kern w:val="2"/>
                    </w:rPr>
                  </w:pPr>
                  <w:r>
                    <w:rPr>
                      <w:bCs/>
                      <w:snapToGrid/>
                      <w:kern w:val="2"/>
                    </w:rPr>
                    <w:t>40m</w:t>
                  </w:r>
                  <w:r>
                    <w:rPr>
                      <w:bCs/>
                      <w:snapToGrid/>
                      <w:kern w:val="2"/>
                      <w:vertAlign w:val="superscript"/>
                    </w:rPr>
                    <w:t>3</w:t>
                  </w:r>
                </w:p>
              </w:tc>
              <w:tc>
                <w:tcPr>
                  <w:tcW w:w="851" w:type="pct"/>
                  <w:vAlign w:val="center"/>
                </w:tcPr>
                <w:p>
                  <w:pPr>
                    <w:pStyle w:val="106"/>
                    <w:rPr>
                      <w:bCs/>
                      <w:snapToGrid/>
                      <w:kern w:val="2"/>
                    </w:rPr>
                  </w:pPr>
                  <w:r>
                    <w:rPr>
                      <w:bCs/>
                      <w:snapToGrid/>
                      <w:kern w:val="2"/>
                    </w:rPr>
                    <w:t>依托现有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6" w:type="pct"/>
                  <w:vMerge w:val="continue"/>
                  <w:vAlign w:val="center"/>
                </w:tcPr>
                <w:p>
                  <w:pPr>
                    <w:pStyle w:val="106"/>
                    <w:rPr>
                      <w:bCs/>
                      <w:snapToGrid/>
                      <w:kern w:val="2"/>
                    </w:rPr>
                  </w:pPr>
                </w:p>
              </w:tc>
              <w:tc>
                <w:tcPr>
                  <w:tcW w:w="843" w:type="pct"/>
                  <w:vAlign w:val="center"/>
                </w:tcPr>
                <w:p>
                  <w:pPr>
                    <w:pStyle w:val="106"/>
                    <w:rPr>
                      <w:bCs/>
                      <w:snapToGrid/>
                      <w:kern w:val="2"/>
                    </w:rPr>
                  </w:pPr>
                  <w:r>
                    <w:rPr>
                      <w:bCs/>
                      <w:snapToGrid/>
                      <w:kern w:val="2"/>
                    </w:rPr>
                    <w:t>配电室</w:t>
                  </w:r>
                </w:p>
              </w:tc>
              <w:tc>
                <w:tcPr>
                  <w:tcW w:w="2648" w:type="pct"/>
                  <w:vAlign w:val="center"/>
                </w:tcPr>
                <w:p>
                  <w:pPr>
                    <w:pStyle w:val="106"/>
                    <w:rPr>
                      <w:bCs/>
                      <w:snapToGrid/>
                      <w:kern w:val="2"/>
                    </w:rPr>
                  </w:pPr>
                  <w:r>
                    <w:rPr>
                      <w:bCs/>
                      <w:snapToGrid/>
                      <w:kern w:val="2"/>
                    </w:rPr>
                    <w:t>占地面积63m</w:t>
                  </w:r>
                  <w:r>
                    <w:rPr>
                      <w:bCs/>
                      <w:snapToGrid/>
                      <w:kern w:val="2"/>
                      <w:vertAlign w:val="superscript"/>
                    </w:rPr>
                    <w:t>2</w:t>
                  </w:r>
                  <w:r>
                    <w:rPr>
                      <w:bCs/>
                      <w:snapToGrid/>
                      <w:kern w:val="2"/>
                    </w:rPr>
                    <w:t>，</w:t>
                  </w:r>
                  <w:r>
                    <w:rPr>
                      <w:bCs/>
                      <w:snapToGrid/>
                      <w:kern w:val="2"/>
                      <w:lang w:val="zh-CN"/>
                    </w:rPr>
                    <w:t>由南定镇供电所提供</w:t>
                  </w:r>
                  <w:r>
                    <w:rPr>
                      <w:bCs/>
                      <w:snapToGrid/>
                      <w:kern w:val="2"/>
                    </w:rPr>
                    <w:t>。</w:t>
                  </w:r>
                </w:p>
              </w:tc>
              <w:tc>
                <w:tcPr>
                  <w:tcW w:w="851" w:type="pct"/>
                  <w:vAlign w:val="center"/>
                </w:tcPr>
                <w:p>
                  <w:pPr>
                    <w:pStyle w:val="106"/>
                    <w:rPr>
                      <w:bCs/>
                      <w:snapToGrid/>
                      <w:kern w:val="2"/>
                    </w:rPr>
                  </w:pPr>
                  <w:r>
                    <w:rPr>
                      <w:bCs/>
                      <w:snapToGrid/>
                      <w:kern w:val="2"/>
                    </w:rPr>
                    <w:t>依托现有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6" w:type="pct"/>
                  <w:vMerge w:val="continue"/>
                  <w:vAlign w:val="center"/>
                </w:tcPr>
                <w:p>
                  <w:pPr>
                    <w:pStyle w:val="106"/>
                    <w:rPr>
                      <w:bCs/>
                      <w:snapToGrid/>
                      <w:kern w:val="2"/>
                    </w:rPr>
                  </w:pPr>
                </w:p>
              </w:tc>
              <w:tc>
                <w:tcPr>
                  <w:tcW w:w="843" w:type="pct"/>
                  <w:vAlign w:val="center"/>
                </w:tcPr>
                <w:p>
                  <w:pPr>
                    <w:pStyle w:val="106"/>
                    <w:rPr>
                      <w:bCs/>
                      <w:snapToGrid/>
                      <w:kern w:val="2"/>
                    </w:rPr>
                  </w:pPr>
                  <w:r>
                    <w:rPr>
                      <w:bCs/>
                      <w:snapToGrid/>
                      <w:kern w:val="2"/>
                    </w:rPr>
                    <w:t>试验楼</w:t>
                  </w:r>
                </w:p>
              </w:tc>
              <w:tc>
                <w:tcPr>
                  <w:tcW w:w="2648" w:type="pct"/>
                  <w:vAlign w:val="center"/>
                </w:tcPr>
                <w:p>
                  <w:pPr>
                    <w:pStyle w:val="106"/>
                    <w:rPr>
                      <w:bCs/>
                      <w:snapToGrid/>
                      <w:kern w:val="2"/>
                    </w:rPr>
                  </w:pPr>
                  <w:r>
                    <w:rPr>
                      <w:bCs/>
                      <w:snapToGrid/>
                      <w:kern w:val="2"/>
                    </w:rPr>
                    <w:t>1座，2层，占地面积85m</w:t>
                  </w:r>
                  <w:r>
                    <w:rPr>
                      <w:bCs/>
                      <w:snapToGrid/>
                      <w:kern w:val="2"/>
                      <w:vertAlign w:val="superscript"/>
                    </w:rPr>
                    <w:t>2</w:t>
                  </w:r>
                </w:p>
              </w:tc>
              <w:tc>
                <w:tcPr>
                  <w:tcW w:w="851" w:type="pct"/>
                  <w:vAlign w:val="center"/>
                </w:tcPr>
                <w:p>
                  <w:pPr>
                    <w:pStyle w:val="106"/>
                    <w:rPr>
                      <w:bCs/>
                      <w:snapToGrid/>
                      <w:kern w:val="2"/>
                    </w:rPr>
                  </w:pPr>
                  <w:r>
                    <w:rPr>
                      <w:bCs/>
                      <w:snapToGrid/>
                      <w:kern w:val="2"/>
                    </w:rPr>
                    <w:t>依托现有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6" w:type="pct"/>
                  <w:vMerge w:val="continue"/>
                  <w:vAlign w:val="center"/>
                </w:tcPr>
                <w:p>
                  <w:pPr>
                    <w:pStyle w:val="106"/>
                    <w:rPr>
                      <w:bCs/>
                      <w:snapToGrid/>
                      <w:kern w:val="2"/>
                    </w:rPr>
                  </w:pPr>
                </w:p>
              </w:tc>
              <w:tc>
                <w:tcPr>
                  <w:tcW w:w="843" w:type="pct"/>
                  <w:vAlign w:val="center"/>
                </w:tcPr>
                <w:p>
                  <w:pPr>
                    <w:pStyle w:val="106"/>
                    <w:rPr>
                      <w:bCs/>
                      <w:snapToGrid/>
                      <w:kern w:val="2"/>
                    </w:rPr>
                  </w:pPr>
                  <w:r>
                    <w:rPr>
                      <w:bCs/>
                      <w:snapToGrid/>
                      <w:kern w:val="2"/>
                    </w:rPr>
                    <w:t>维修工具间</w:t>
                  </w:r>
                </w:p>
              </w:tc>
              <w:tc>
                <w:tcPr>
                  <w:tcW w:w="2648" w:type="pct"/>
                  <w:vAlign w:val="center"/>
                </w:tcPr>
                <w:p>
                  <w:pPr>
                    <w:pStyle w:val="106"/>
                    <w:rPr>
                      <w:bCs/>
                      <w:snapToGrid/>
                      <w:kern w:val="2"/>
                    </w:rPr>
                  </w:pPr>
                  <w:r>
                    <w:rPr>
                      <w:bCs/>
                      <w:snapToGrid/>
                      <w:kern w:val="2"/>
                    </w:rPr>
                    <w:t>1间，占地面积80 m</w:t>
                  </w:r>
                  <w:r>
                    <w:rPr>
                      <w:bCs/>
                      <w:snapToGrid/>
                      <w:kern w:val="2"/>
                      <w:vertAlign w:val="superscript"/>
                    </w:rPr>
                    <w:t>2</w:t>
                  </w:r>
                </w:p>
              </w:tc>
              <w:tc>
                <w:tcPr>
                  <w:tcW w:w="851" w:type="pct"/>
                  <w:vAlign w:val="center"/>
                </w:tcPr>
                <w:p>
                  <w:pPr>
                    <w:pStyle w:val="106"/>
                    <w:rPr>
                      <w:bCs/>
                      <w:snapToGrid/>
                      <w:kern w:val="2"/>
                    </w:rPr>
                  </w:pPr>
                  <w:r>
                    <w:rPr>
                      <w:bCs/>
                      <w:snapToGrid/>
                      <w:kern w:val="2"/>
                    </w:rPr>
                    <w:t>依托现有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7" w:hRule="atLeast"/>
                <w:jc w:val="center"/>
              </w:trPr>
              <w:tc>
                <w:tcPr>
                  <w:tcW w:w="656" w:type="pct"/>
                  <w:vMerge w:val="restart"/>
                  <w:vAlign w:val="center"/>
                </w:tcPr>
                <w:p>
                  <w:pPr>
                    <w:pStyle w:val="106"/>
                    <w:rPr>
                      <w:bCs/>
                      <w:snapToGrid/>
                      <w:kern w:val="2"/>
                    </w:rPr>
                  </w:pPr>
                  <w:r>
                    <w:rPr>
                      <w:bCs/>
                      <w:snapToGrid/>
                      <w:kern w:val="2"/>
                    </w:rPr>
                    <w:t>公用</w:t>
                  </w:r>
                </w:p>
                <w:p>
                  <w:pPr>
                    <w:pStyle w:val="106"/>
                    <w:rPr>
                      <w:bCs/>
                      <w:snapToGrid/>
                      <w:kern w:val="2"/>
                    </w:rPr>
                  </w:pPr>
                  <w:r>
                    <w:rPr>
                      <w:bCs/>
                      <w:snapToGrid/>
                      <w:kern w:val="2"/>
                    </w:rPr>
                    <w:t>工程</w:t>
                  </w:r>
                </w:p>
              </w:tc>
              <w:tc>
                <w:tcPr>
                  <w:tcW w:w="843" w:type="pct"/>
                  <w:vAlign w:val="center"/>
                </w:tcPr>
                <w:p>
                  <w:pPr>
                    <w:pStyle w:val="106"/>
                    <w:rPr>
                      <w:bCs/>
                      <w:snapToGrid/>
                      <w:kern w:val="2"/>
                    </w:rPr>
                  </w:pPr>
                  <w:r>
                    <w:rPr>
                      <w:bCs/>
                      <w:snapToGrid/>
                      <w:kern w:val="2"/>
                    </w:rPr>
                    <w:t>供水</w:t>
                  </w:r>
                </w:p>
              </w:tc>
              <w:tc>
                <w:tcPr>
                  <w:tcW w:w="2648" w:type="pct"/>
                  <w:vAlign w:val="center"/>
                </w:tcPr>
                <w:p>
                  <w:pPr>
                    <w:pStyle w:val="106"/>
                    <w:rPr>
                      <w:bCs/>
                      <w:snapToGrid/>
                      <w:kern w:val="2"/>
                    </w:rPr>
                  </w:pPr>
                  <w:r>
                    <w:rPr>
                      <w:bCs/>
                      <w:snapToGrid/>
                      <w:kern w:val="2"/>
                    </w:rPr>
                    <w:t>由淄博市自来水有限责任公司供给。</w:t>
                  </w:r>
                </w:p>
              </w:tc>
              <w:tc>
                <w:tcPr>
                  <w:tcW w:w="851" w:type="pct"/>
                  <w:vAlign w:val="center"/>
                </w:tcPr>
                <w:p>
                  <w:pPr>
                    <w:pStyle w:val="106"/>
                    <w:rPr>
                      <w:bCs/>
                      <w:snapToGrid/>
                      <w:kern w:val="2"/>
                    </w:rPr>
                  </w:pPr>
                  <w:r>
                    <w:rPr>
                      <w:bCs/>
                      <w:snapToGrid/>
                      <w:kern w:val="2"/>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56" w:type="pct"/>
                  <w:vMerge w:val="continue"/>
                  <w:vAlign w:val="center"/>
                </w:tcPr>
                <w:p>
                  <w:pPr>
                    <w:pStyle w:val="106"/>
                    <w:rPr>
                      <w:bCs/>
                      <w:snapToGrid/>
                      <w:kern w:val="2"/>
                    </w:rPr>
                  </w:pPr>
                </w:p>
              </w:tc>
              <w:tc>
                <w:tcPr>
                  <w:tcW w:w="843" w:type="pct"/>
                  <w:vAlign w:val="center"/>
                </w:tcPr>
                <w:p>
                  <w:pPr>
                    <w:pStyle w:val="106"/>
                    <w:rPr>
                      <w:bCs/>
                      <w:snapToGrid/>
                      <w:kern w:val="2"/>
                    </w:rPr>
                  </w:pPr>
                  <w:r>
                    <w:rPr>
                      <w:bCs/>
                      <w:snapToGrid/>
                      <w:kern w:val="2"/>
                    </w:rPr>
                    <w:t>供电</w:t>
                  </w:r>
                </w:p>
              </w:tc>
              <w:tc>
                <w:tcPr>
                  <w:tcW w:w="2648" w:type="pct"/>
                  <w:vAlign w:val="center"/>
                </w:tcPr>
                <w:p>
                  <w:pPr>
                    <w:pStyle w:val="106"/>
                    <w:rPr>
                      <w:bCs/>
                      <w:snapToGrid/>
                      <w:kern w:val="2"/>
                      <w:lang w:val="zh-CN"/>
                    </w:rPr>
                  </w:pPr>
                  <w:r>
                    <w:rPr>
                      <w:bCs/>
                      <w:snapToGrid/>
                      <w:kern w:val="2"/>
                    </w:rPr>
                    <w:t>厂房内部有一座配电室，占地面积63m</w:t>
                  </w:r>
                  <w:r>
                    <w:rPr>
                      <w:bCs/>
                      <w:snapToGrid/>
                      <w:kern w:val="2"/>
                      <w:vertAlign w:val="superscript"/>
                    </w:rPr>
                    <w:t>2</w:t>
                  </w:r>
                  <w:r>
                    <w:rPr>
                      <w:bCs/>
                      <w:snapToGrid/>
                      <w:kern w:val="2"/>
                    </w:rPr>
                    <w:t>，</w:t>
                  </w:r>
                  <w:r>
                    <w:rPr>
                      <w:bCs/>
                      <w:snapToGrid/>
                      <w:kern w:val="2"/>
                      <w:lang w:val="zh-CN"/>
                    </w:rPr>
                    <w:t>由南定镇供电所提供，用电</w:t>
                  </w:r>
                  <w:r>
                    <w:rPr>
                      <w:bCs/>
                      <w:snapToGrid/>
                      <w:kern w:val="2"/>
                    </w:rPr>
                    <w:t>量45万</w:t>
                  </w:r>
                  <w:r>
                    <w:rPr>
                      <w:rFonts w:hint="eastAsia"/>
                      <w:bCs/>
                      <w:snapToGrid/>
                      <w:kern w:val="2"/>
                    </w:rPr>
                    <w:t>kW</w:t>
                  </w:r>
                  <w:r>
                    <w:rPr>
                      <w:bCs/>
                      <w:snapToGrid/>
                      <w:kern w:val="2"/>
                    </w:rPr>
                    <w:t>h/a。</w:t>
                  </w:r>
                </w:p>
              </w:tc>
              <w:tc>
                <w:tcPr>
                  <w:tcW w:w="851" w:type="pct"/>
                  <w:vAlign w:val="center"/>
                </w:tcPr>
                <w:p>
                  <w:pPr>
                    <w:pStyle w:val="106"/>
                    <w:rPr>
                      <w:bCs/>
                      <w:snapToGrid/>
                      <w:kern w:val="2"/>
                    </w:rPr>
                  </w:pPr>
                  <w:r>
                    <w:rPr>
                      <w:bCs/>
                      <w:snapToGrid/>
                      <w:kern w:val="2"/>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6" w:type="pct"/>
                  <w:vMerge w:val="restart"/>
                  <w:vAlign w:val="center"/>
                </w:tcPr>
                <w:p>
                  <w:pPr>
                    <w:pStyle w:val="106"/>
                    <w:rPr>
                      <w:bCs/>
                      <w:snapToGrid/>
                      <w:kern w:val="2"/>
                    </w:rPr>
                  </w:pPr>
                  <w:r>
                    <w:rPr>
                      <w:bCs/>
                      <w:snapToGrid/>
                      <w:kern w:val="2"/>
                    </w:rPr>
                    <w:t>环保</w:t>
                  </w:r>
                </w:p>
                <w:p>
                  <w:pPr>
                    <w:pStyle w:val="106"/>
                    <w:rPr>
                      <w:bCs/>
                      <w:snapToGrid/>
                      <w:kern w:val="2"/>
                    </w:rPr>
                  </w:pPr>
                  <w:r>
                    <w:rPr>
                      <w:bCs/>
                      <w:snapToGrid/>
                      <w:kern w:val="2"/>
                    </w:rPr>
                    <w:t>工程</w:t>
                  </w:r>
                </w:p>
              </w:tc>
              <w:tc>
                <w:tcPr>
                  <w:tcW w:w="843" w:type="pct"/>
                  <w:vAlign w:val="center"/>
                </w:tcPr>
                <w:p>
                  <w:pPr>
                    <w:pStyle w:val="106"/>
                    <w:rPr>
                      <w:bCs/>
                      <w:snapToGrid/>
                      <w:kern w:val="2"/>
                    </w:rPr>
                  </w:pPr>
                  <w:r>
                    <w:rPr>
                      <w:bCs/>
                      <w:snapToGrid/>
                      <w:kern w:val="2"/>
                    </w:rPr>
                    <w:t>废气</w:t>
                  </w:r>
                </w:p>
              </w:tc>
              <w:tc>
                <w:tcPr>
                  <w:tcW w:w="2648" w:type="pct"/>
                  <w:vAlign w:val="center"/>
                </w:tcPr>
                <w:p>
                  <w:pPr>
                    <w:pStyle w:val="106"/>
                    <w:rPr>
                      <w:bCs/>
                      <w:snapToGrid/>
                      <w:kern w:val="2"/>
                    </w:rPr>
                  </w:pPr>
                  <w:r>
                    <w:t>本项目粉碎、混合搅拌釜上料</w:t>
                  </w:r>
                  <w:r>
                    <w:rPr>
                      <w:rFonts w:hint="eastAsia"/>
                    </w:rPr>
                    <w:t>口</w:t>
                  </w:r>
                  <w:r>
                    <w:t>、包装工序产生的颗粒物采用“集气罩+布袋除尘器”处理，处理后通过1根15m排气筒（DA001）排放，料仓产生的粉尘经收集后通过仓顶的布袋除尘器进行处理后无组织排放。</w:t>
                  </w:r>
                </w:p>
              </w:tc>
              <w:tc>
                <w:tcPr>
                  <w:tcW w:w="851" w:type="pct"/>
                  <w:vAlign w:val="center"/>
                </w:tcPr>
                <w:p>
                  <w:pPr>
                    <w:pStyle w:val="106"/>
                    <w:rPr>
                      <w:bCs/>
                      <w:snapToGrid/>
                      <w:kern w:val="2"/>
                    </w:rPr>
                  </w:pPr>
                  <w:r>
                    <w:rPr>
                      <w:bCs/>
                      <w:snapToGrid/>
                      <w:kern w:val="2"/>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87" w:hRule="atLeast"/>
                <w:jc w:val="center"/>
              </w:trPr>
              <w:tc>
                <w:tcPr>
                  <w:tcW w:w="656" w:type="pct"/>
                  <w:vMerge w:val="continue"/>
                  <w:vAlign w:val="center"/>
                </w:tcPr>
                <w:p>
                  <w:pPr>
                    <w:pStyle w:val="106"/>
                    <w:rPr>
                      <w:bCs/>
                      <w:snapToGrid/>
                      <w:kern w:val="2"/>
                    </w:rPr>
                  </w:pPr>
                </w:p>
              </w:tc>
              <w:tc>
                <w:tcPr>
                  <w:tcW w:w="843" w:type="pct"/>
                  <w:vAlign w:val="center"/>
                </w:tcPr>
                <w:p>
                  <w:pPr>
                    <w:pStyle w:val="106"/>
                    <w:rPr>
                      <w:bCs/>
                      <w:snapToGrid/>
                      <w:kern w:val="2"/>
                    </w:rPr>
                  </w:pPr>
                  <w:r>
                    <w:rPr>
                      <w:bCs/>
                      <w:snapToGrid/>
                      <w:kern w:val="2"/>
                    </w:rPr>
                    <w:t>废水</w:t>
                  </w:r>
                </w:p>
              </w:tc>
              <w:tc>
                <w:tcPr>
                  <w:tcW w:w="2648" w:type="pct"/>
                  <w:vAlign w:val="center"/>
                </w:tcPr>
                <w:p>
                  <w:pPr>
                    <w:pStyle w:val="106"/>
                    <w:rPr>
                      <w:bCs/>
                      <w:snapToGrid/>
                      <w:kern w:val="2"/>
                    </w:rPr>
                  </w:pPr>
                  <w:r>
                    <w:t>本项目液体硫酸铝加热蒸发产生的废水作为循环冷却水补充回用，不外排；</w:t>
                  </w:r>
                  <w:r>
                    <w:rPr>
                      <w:bCs/>
                      <w:snapToGrid/>
                      <w:kern w:val="2"/>
                    </w:rPr>
                    <w:t>生活污水经化粪池处理后由环卫部门定期清运，不外排。</w:t>
                  </w:r>
                </w:p>
              </w:tc>
              <w:tc>
                <w:tcPr>
                  <w:tcW w:w="851" w:type="pct"/>
                  <w:vAlign w:val="center"/>
                </w:tcPr>
                <w:p>
                  <w:pPr>
                    <w:pStyle w:val="106"/>
                    <w:rPr>
                      <w:bCs/>
                      <w:snapToGrid/>
                      <w:kern w:val="2"/>
                    </w:rPr>
                  </w:pPr>
                  <w:r>
                    <w:rPr>
                      <w:bCs/>
                      <w:snapToGrid/>
                      <w:kern w:val="2"/>
                    </w:rPr>
                    <w:t>依托现有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6" w:type="pct"/>
                  <w:vMerge w:val="continue"/>
                  <w:vAlign w:val="center"/>
                </w:tcPr>
                <w:p>
                  <w:pPr>
                    <w:pStyle w:val="106"/>
                    <w:rPr>
                      <w:bCs/>
                      <w:snapToGrid/>
                      <w:kern w:val="2"/>
                    </w:rPr>
                  </w:pPr>
                </w:p>
              </w:tc>
              <w:tc>
                <w:tcPr>
                  <w:tcW w:w="843" w:type="pct"/>
                  <w:vAlign w:val="center"/>
                </w:tcPr>
                <w:p>
                  <w:pPr>
                    <w:pStyle w:val="106"/>
                    <w:rPr>
                      <w:bCs/>
                      <w:snapToGrid/>
                      <w:kern w:val="2"/>
                    </w:rPr>
                  </w:pPr>
                  <w:r>
                    <w:rPr>
                      <w:bCs/>
                      <w:snapToGrid/>
                      <w:kern w:val="2"/>
                    </w:rPr>
                    <w:t>噪声</w:t>
                  </w:r>
                </w:p>
              </w:tc>
              <w:tc>
                <w:tcPr>
                  <w:tcW w:w="2648" w:type="pct"/>
                  <w:vAlign w:val="center"/>
                </w:tcPr>
                <w:p>
                  <w:pPr>
                    <w:pStyle w:val="106"/>
                    <w:rPr>
                      <w:bCs/>
                      <w:snapToGrid/>
                      <w:kern w:val="2"/>
                    </w:rPr>
                  </w:pPr>
                  <w:r>
                    <w:rPr>
                      <w:bCs/>
                      <w:snapToGrid/>
                      <w:kern w:val="2"/>
                      <w:lang w:val="zh-CN"/>
                    </w:rPr>
                    <w:t>选用低噪声设备，</w:t>
                  </w:r>
                  <w:r>
                    <w:rPr>
                      <w:bCs/>
                      <w:snapToGrid/>
                      <w:kern w:val="2"/>
                    </w:rPr>
                    <w:t>厂界噪声经过车间墙体隔声和自然衰减后满足噪声排放标准</w:t>
                  </w:r>
                  <w:r>
                    <w:rPr>
                      <w:bCs/>
                      <w:snapToGrid/>
                      <w:kern w:val="2"/>
                      <w:lang w:val="zh-CN"/>
                    </w:rPr>
                    <w:t>。</w:t>
                  </w:r>
                </w:p>
              </w:tc>
              <w:tc>
                <w:tcPr>
                  <w:tcW w:w="851" w:type="pct"/>
                  <w:vAlign w:val="center"/>
                </w:tcPr>
                <w:p>
                  <w:pPr>
                    <w:pStyle w:val="106"/>
                    <w:rPr>
                      <w:bCs/>
                      <w:snapToGrid/>
                      <w:kern w:val="2"/>
                    </w:rPr>
                  </w:pPr>
                  <w:r>
                    <w:rPr>
                      <w:bCs/>
                      <w:snapToGrid/>
                      <w:kern w:val="2"/>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656" w:type="pct"/>
                  <w:vMerge w:val="continue"/>
                  <w:vAlign w:val="center"/>
                </w:tcPr>
                <w:p>
                  <w:pPr>
                    <w:pStyle w:val="106"/>
                    <w:rPr>
                      <w:bCs/>
                      <w:snapToGrid/>
                      <w:kern w:val="2"/>
                    </w:rPr>
                  </w:pPr>
                </w:p>
              </w:tc>
              <w:tc>
                <w:tcPr>
                  <w:tcW w:w="843" w:type="pct"/>
                  <w:vMerge w:val="restart"/>
                  <w:vAlign w:val="center"/>
                </w:tcPr>
                <w:p>
                  <w:pPr>
                    <w:pStyle w:val="106"/>
                    <w:rPr>
                      <w:bCs/>
                      <w:snapToGrid/>
                      <w:kern w:val="2"/>
                    </w:rPr>
                  </w:pPr>
                  <w:r>
                    <w:rPr>
                      <w:bCs/>
                      <w:snapToGrid/>
                      <w:kern w:val="2"/>
                      <w:lang w:val="zh-CN"/>
                    </w:rPr>
                    <w:t>固废</w:t>
                  </w:r>
                </w:p>
              </w:tc>
              <w:tc>
                <w:tcPr>
                  <w:tcW w:w="2648" w:type="pct"/>
                  <w:vAlign w:val="center"/>
                </w:tcPr>
                <w:p>
                  <w:pPr>
                    <w:pStyle w:val="106"/>
                    <w:rPr>
                      <w:bCs/>
                      <w:snapToGrid/>
                      <w:kern w:val="2"/>
                    </w:rPr>
                  </w:pPr>
                  <w:r>
                    <w:rPr>
                      <w:bCs/>
                      <w:snapToGrid/>
                      <w:kern w:val="2"/>
                    </w:rPr>
                    <w:t>1间，一般固废仓库，位于维修间东侧，占地面积30m</w:t>
                  </w:r>
                  <w:r>
                    <w:rPr>
                      <w:bCs/>
                      <w:snapToGrid/>
                      <w:kern w:val="2"/>
                      <w:vertAlign w:val="superscript"/>
                    </w:rPr>
                    <w:t>2</w:t>
                  </w:r>
                  <w:r>
                    <w:rPr>
                      <w:bCs/>
                      <w:snapToGrid/>
                      <w:kern w:val="2"/>
                    </w:rPr>
                    <w:t>，主要暂存废包装袋、废布袋。</w:t>
                  </w:r>
                </w:p>
              </w:tc>
              <w:tc>
                <w:tcPr>
                  <w:tcW w:w="851" w:type="pct"/>
                  <w:vMerge w:val="restart"/>
                  <w:vAlign w:val="center"/>
                </w:tcPr>
                <w:p>
                  <w:pPr>
                    <w:pStyle w:val="106"/>
                    <w:rPr>
                      <w:bCs/>
                      <w:snapToGrid/>
                      <w:kern w:val="2"/>
                      <w:lang w:val="zh-CN"/>
                    </w:rPr>
                  </w:pPr>
                  <w:r>
                    <w:rPr>
                      <w:bCs/>
                      <w:snapToGrid/>
                      <w:kern w:val="2"/>
                    </w:rPr>
                    <w:t>依托现有车间在车间内部进行建设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3" w:hRule="atLeast"/>
                <w:jc w:val="center"/>
              </w:trPr>
              <w:tc>
                <w:tcPr>
                  <w:tcW w:w="656" w:type="pct"/>
                  <w:vMerge w:val="continue"/>
                  <w:vAlign w:val="center"/>
                </w:tcPr>
                <w:p>
                  <w:pPr>
                    <w:ind w:firstLine="422"/>
                    <w:jc w:val="center"/>
                    <w:rPr>
                      <w:szCs w:val="21"/>
                    </w:rPr>
                  </w:pPr>
                </w:p>
              </w:tc>
              <w:tc>
                <w:tcPr>
                  <w:tcW w:w="843" w:type="pct"/>
                  <w:vMerge w:val="continue"/>
                  <w:vAlign w:val="center"/>
                </w:tcPr>
                <w:p>
                  <w:pPr>
                    <w:ind w:firstLine="422"/>
                    <w:jc w:val="center"/>
                    <w:rPr>
                      <w:szCs w:val="21"/>
                      <w:lang w:val="zh-CN"/>
                    </w:rPr>
                  </w:pPr>
                </w:p>
              </w:tc>
              <w:tc>
                <w:tcPr>
                  <w:tcW w:w="2648" w:type="pct"/>
                  <w:vAlign w:val="center"/>
                </w:tcPr>
                <w:p>
                  <w:pPr>
                    <w:ind w:firstLine="422"/>
                    <w:jc w:val="left"/>
                    <w:rPr>
                      <w:szCs w:val="21"/>
                    </w:rPr>
                  </w:pPr>
                  <w:r>
                    <w:rPr>
                      <w:szCs w:val="21"/>
                    </w:rPr>
                    <w:t>1间，危废暂存间，占地面积15m</w:t>
                  </w:r>
                  <w:r>
                    <w:rPr>
                      <w:szCs w:val="21"/>
                      <w:vertAlign w:val="superscript"/>
                    </w:rPr>
                    <w:t>2</w:t>
                  </w:r>
                  <w:r>
                    <w:rPr>
                      <w:szCs w:val="21"/>
                    </w:rPr>
                    <w:t>，位于固废间北侧，主要暂存废润滑油、废润滑油桶，危险废物定期交由有资质单位处置。</w:t>
                  </w:r>
                </w:p>
              </w:tc>
              <w:tc>
                <w:tcPr>
                  <w:tcW w:w="851" w:type="pct"/>
                  <w:vMerge w:val="continue"/>
                  <w:vAlign w:val="center"/>
                </w:tcPr>
                <w:p>
                  <w:pPr>
                    <w:ind w:firstLine="422"/>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656" w:type="pct"/>
                  <w:vMerge w:val="continue"/>
                  <w:vAlign w:val="center"/>
                </w:tcPr>
                <w:p>
                  <w:pPr>
                    <w:ind w:firstLine="422"/>
                    <w:jc w:val="left"/>
                    <w:rPr>
                      <w:szCs w:val="21"/>
                    </w:rPr>
                  </w:pPr>
                </w:p>
              </w:tc>
              <w:tc>
                <w:tcPr>
                  <w:tcW w:w="843" w:type="pct"/>
                  <w:vMerge w:val="continue"/>
                  <w:vAlign w:val="center"/>
                </w:tcPr>
                <w:p>
                  <w:pPr>
                    <w:ind w:firstLine="422"/>
                    <w:jc w:val="left"/>
                    <w:rPr>
                      <w:szCs w:val="21"/>
                    </w:rPr>
                  </w:pPr>
                </w:p>
              </w:tc>
              <w:tc>
                <w:tcPr>
                  <w:tcW w:w="2648" w:type="pct"/>
                  <w:vAlign w:val="center"/>
                </w:tcPr>
                <w:p>
                  <w:pPr>
                    <w:ind w:firstLine="422"/>
                    <w:jc w:val="left"/>
                    <w:rPr>
                      <w:szCs w:val="21"/>
                    </w:rPr>
                  </w:pPr>
                  <w:r>
                    <w:rPr>
                      <w:rStyle w:val="49"/>
                      <w:kern w:val="0"/>
                      <w:szCs w:val="21"/>
                    </w:rPr>
                    <w:t>职工生活垃圾暂存于垃圾箱，由环卫部门定期清运处理，不随意排放。</w:t>
                  </w:r>
                </w:p>
              </w:tc>
              <w:tc>
                <w:tcPr>
                  <w:tcW w:w="851" w:type="pct"/>
                  <w:vMerge w:val="continue"/>
                  <w:vAlign w:val="center"/>
                </w:tcPr>
                <w:p>
                  <w:pPr>
                    <w:ind w:firstLine="422"/>
                    <w:jc w:val="left"/>
                    <w:rPr>
                      <w:szCs w:val="21"/>
                    </w:rPr>
                  </w:pPr>
                </w:p>
              </w:tc>
            </w:tr>
          </w:tbl>
          <w:p>
            <w:pPr>
              <w:adjustRightInd w:val="0"/>
              <w:snapToGrid w:val="0"/>
              <w:spacing w:line="360" w:lineRule="auto"/>
              <w:ind w:firstLine="422" w:firstLineChars="200"/>
              <w:rPr>
                <w:b/>
                <w:bCs/>
              </w:rPr>
            </w:pPr>
          </w:p>
          <w:p>
            <w:pPr>
              <w:adjustRightInd w:val="0"/>
              <w:snapToGrid w:val="0"/>
              <w:spacing w:line="360" w:lineRule="auto"/>
              <w:ind w:firstLine="422" w:firstLineChars="200"/>
              <w:rPr>
                <w:b/>
                <w:bCs/>
              </w:rPr>
            </w:pPr>
            <w:r>
              <w:rPr>
                <w:b/>
                <w:bCs/>
              </w:rPr>
              <w:t>二、主要产品及产能</w:t>
            </w:r>
          </w:p>
          <w:p>
            <w:pPr>
              <w:adjustRightInd w:val="0"/>
              <w:snapToGrid w:val="0"/>
              <w:spacing w:line="360" w:lineRule="auto"/>
              <w:ind w:firstLine="420" w:firstLineChars="200"/>
              <w:rPr>
                <w:szCs w:val="21"/>
              </w:rPr>
            </w:pPr>
            <w:r>
              <w:rPr>
                <w:szCs w:val="21"/>
              </w:rPr>
              <w:t>本项目产品方案见下表2-2。</w:t>
            </w:r>
          </w:p>
          <w:p>
            <w:pPr>
              <w:jc w:val="center"/>
              <w:rPr>
                <w:b/>
                <w:bCs/>
              </w:rPr>
            </w:pPr>
            <w:r>
              <w:rPr>
                <w:b/>
                <w:bCs/>
              </w:rPr>
              <w:t>表2-2  主要产品方案一览表</w:t>
            </w:r>
          </w:p>
          <w:tbl>
            <w:tblPr>
              <w:tblStyle w:val="4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07"/>
              <w:gridCol w:w="3348"/>
              <w:gridCol w:w="1345"/>
              <w:gridCol w:w="1014"/>
              <w:gridCol w:w="10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51" w:type="pct"/>
                  <w:tcBorders>
                    <w:tl2br w:val="nil"/>
                    <w:tr2bl w:val="nil"/>
                  </w:tcBorders>
                  <w:vAlign w:val="center"/>
                </w:tcPr>
                <w:p>
                  <w:pPr>
                    <w:pStyle w:val="161"/>
                    <w:spacing w:line="240" w:lineRule="auto"/>
                    <w:rPr>
                      <w:rFonts w:ascii="Times New Roman"/>
                      <w:b/>
                      <w:bCs/>
                    </w:rPr>
                  </w:pPr>
                  <w:r>
                    <w:rPr>
                      <w:rFonts w:ascii="Times New Roman"/>
                      <w:b/>
                      <w:bCs/>
                    </w:rPr>
                    <w:t>序号</w:t>
                  </w:r>
                </w:p>
              </w:tc>
              <w:tc>
                <w:tcPr>
                  <w:tcW w:w="2165" w:type="pct"/>
                  <w:tcBorders>
                    <w:tl2br w:val="nil"/>
                    <w:tr2bl w:val="nil"/>
                  </w:tcBorders>
                  <w:vAlign w:val="center"/>
                </w:tcPr>
                <w:p>
                  <w:pPr>
                    <w:pStyle w:val="161"/>
                    <w:spacing w:line="240" w:lineRule="auto"/>
                    <w:rPr>
                      <w:rFonts w:ascii="Times New Roman"/>
                      <w:b/>
                      <w:bCs/>
                    </w:rPr>
                  </w:pPr>
                  <w:r>
                    <w:rPr>
                      <w:rFonts w:ascii="Times New Roman"/>
                      <w:b/>
                      <w:bCs/>
                    </w:rPr>
                    <w:t>产品名称</w:t>
                  </w:r>
                </w:p>
              </w:tc>
              <w:tc>
                <w:tcPr>
                  <w:tcW w:w="870" w:type="pct"/>
                  <w:tcBorders>
                    <w:tl2br w:val="nil"/>
                    <w:tr2bl w:val="nil"/>
                  </w:tcBorders>
                  <w:vAlign w:val="center"/>
                </w:tcPr>
                <w:p>
                  <w:pPr>
                    <w:pStyle w:val="161"/>
                    <w:spacing w:line="240" w:lineRule="auto"/>
                    <w:rPr>
                      <w:rFonts w:ascii="Times New Roman"/>
                      <w:b/>
                      <w:bCs/>
                    </w:rPr>
                  </w:pPr>
                  <w:r>
                    <w:rPr>
                      <w:rFonts w:ascii="Times New Roman"/>
                      <w:b/>
                      <w:bCs/>
                    </w:rPr>
                    <w:t>设计能力</w:t>
                  </w:r>
                </w:p>
              </w:tc>
              <w:tc>
                <w:tcPr>
                  <w:tcW w:w="656" w:type="pct"/>
                  <w:tcBorders>
                    <w:tl2br w:val="nil"/>
                    <w:tr2bl w:val="nil"/>
                  </w:tcBorders>
                  <w:vAlign w:val="center"/>
                </w:tcPr>
                <w:p>
                  <w:pPr>
                    <w:pStyle w:val="161"/>
                    <w:spacing w:line="240" w:lineRule="auto"/>
                    <w:rPr>
                      <w:rFonts w:ascii="Times New Roman"/>
                      <w:b/>
                      <w:bCs/>
                    </w:rPr>
                  </w:pPr>
                  <w:r>
                    <w:rPr>
                      <w:rFonts w:ascii="Times New Roman"/>
                      <w:b/>
                      <w:bCs/>
                    </w:rPr>
                    <w:t>单位</w:t>
                  </w:r>
                </w:p>
              </w:tc>
              <w:tc>
                <w:tcPr>
                  <w:tcW w:w="656" w:type="pct"/>
                  <w:tcBorders>
                    <w:tl2br w:val="nil"/>
                    <w:tr2bl w:val="nil"/>
                  </w:tcBorders>
                  <w:vAlign w:val="center"/>
                </w:tcPr>
                <w:p>
                  <w:pPr>
                    <w:pStyle w:val="161"/>
                    <w:spacing w:line="240" w:lineRule="auto"/>
                    <w:rPr>
                      <w:rFonts w:ascii="Times New Roman"/>
                      <w:b/>
                      <w:bCs/>
                    </w:rPr>
                  </w:pPr>
                  <w:r>
                    <w:rPr>
                      <w:rFonts w:ascii="Times New Roman"/>
                      <w:b/>
                      <w:bCs/>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51" w:type="pct"/>
                  <w:tcBorders>
                    <w:tl2br w:val="nil"/>
                    <w:tr2bl w:val="nil"/>
                  </w:tcBorders>
                  <w:vAlign w:val="center"/>
                </w:tcPr>
                <w:p>
                  <w:pPr>
                    <w:pStyle w:val="161"/>
                    <w:spacing w:line="240" w:lineRule="auto"/>
                    <w:rPr>
                      <w:rFonts w:ascii="Times New Roman"/>
                    </w:rPr>
                  </w:pPr>
                  <w:r>
                    <w:rPr>
                      <w:rFonts w:ascii="Times New Roman"/>
                    </w:rPr>
                    <w:t>1</w:t>
                  </w:r>
                </w:p>
              </w:tc>
              <w:tc>
                <w:tcPr>
                  <w:tcW w:w="2165" w:type="pct"/>
                  <w:tcBorders>
                    <w:tl2br w:val="nil"/>
                    <w:tr2bl w:val="nil"/>
                  </w:tcBorders>
                  <w:vAlign w:val="center"/>
                </w:tcPr>
                <w:p>
                  <w:pPr>
                    <w:pStyle w:val="161"/>
                    <w:spacing w:line="240" w:lineRule="auto"/>
                    <w:rPr>
                      <w:rFonts w:ascii="Times New Roman"/>
                    </w:rPr>
                  </w:pPr>
                  <w:r>
                    <w:rPr>
                      <w:rFonts w:ascii="Times New Roman"/>
                    </w:rPr>
                    <w:t>人造铝矾石</w:t>
                  </w:r>
                </w:p>
              </w:tc>
              <w:tc>
                <w:tcPr>
                  <w:tcW w:w="870" w:type="pct"/>
                  <w:tcBorders>
                    <w:tl2br w:val="nil"/>
                    <w:tr2bl w:val="nil"/>
                  </w:tcBorders>
                  <w:vAlign w:val="center"/>
                </w:tcPr>
                <w:p>
                  <w:pPr>
                    <w:pStyle w:val="161"/>
                    <w:spacing w:line="240" w:lineRule="auto"/>
                    <w:rPr>
                      <w:rFonts w:ascii="Times New Roman"/>
                    </w:rPr>
                  </w:pPr>
                  <w:r>
                    <w:rPr>
                      <w:rFonts w:ascii="Times New Roman"/>
                    </w:rPr>
                    <w:t>20000</w:t>
                  </w:r>
                </w:p>
              </w:tc>
              <w:tc>
                <w:tcPr>
                  <w:tcW w:w="656" w:type="pct"/>
                  <w:tcBorders>
                    <w:tl2br w:val="nil"/>
                    <w:tr2bl w:val="nil"/>
                  </w:tcBorders>
                  <w:vAlign w:val="center"/>
                </w:tcPr>
                <w:p>
                  <w:pPr>
                    <w:pStyle w:val="161"/>
                    <w:spacing w:line="240" w:lineRule="auto"/>
                    <w:rPr>
                      <w:rFonts w:ascii="Times New Roman"/>
                    </w:rPr>
                  </w:pPr>
                  <w:r>
                    <w:rPr>
                      <w:rFonts w:ascii="Times New Roman"/>
                    </w:rPr>
                    <w:t>t/a</w:t>
                  </w:r>
                </w:p>
              </w:tc>
              <w:tc>
                <w:tcPr>
                  <w:tcW w:w="656" w:type="pct"/>
                  <w:tcBorders>
                    <w:tl2br w:val="nil"/>
                    <w:tr2bl w:val="nil"/>
                  </w:tcBorders>
                  <w:vAlign w:val="center"/>
                </w:tcPr>
                <w:p>
                  <w:pPr>
                    <w:pStyle w:val="161"/>
                    <w:spacing w:line="240" w:lineRule="auto"/>
                    <w:rPr>
                      <w:rFonts w:ascii="Times New Roman"/>
                    </w:rPr>
                  </w:pPr>
                  <w:r>
                    <w:rPr>
                      <w:rFonts w:ascii="Times New Roman"/>
                    </w:rPr>
                    <w:t>粉末状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0" w:type="pct"/>
                  <w:gridSpan w:val="5"/>
                  <w:tcBorders>
                    <w:tl2br w:val="nil"/>
                    <w:tr2bl w:val="nil"/>
                  </w:tcBorders>
                  <w:vAlign w:val="center"/>
                </w:tcPr>
                <w:p>
                  <w:pPr>
                    <w:pStyle w:val="161"/>
                    <w:spacing w:line="240" w:lineRule="auto"/>
                    <w:rPr>
                      <w:rFonts w:ascii="Times New Roman"/>
                    </w:rPr>
                  </w:pPr>
                  <w:r>
                    <w:rPr>
                      <w:rFonts w:hint="eastAsia" w:ascii="Times New Roman"/>
                    </w:rPr>
                    <w:t>备注：铝矾石是一种含铝的矿物，主要成分为氧化铝（Al</w:t>
                  </w:r>
                  <w:r>
                    <w:rPr>
                      <w:rFonts w:hint="eastAsia" w:ascii="Times New Roman"/>
                      <w:vertAlign w:val="subscript"/>
                    </w:rPr>
                    <w:t>2</w:t>
                  </w:r>
                  <w:r>
                    <w:rPr>
                      <w:rFonts w:hint="eastAsia" w:ascii="Times New Roman"/>
                    </w:rPr>
                    <w:t>O</w:t>
                  </w:r>
                  <w:r>
                    <w:rPr>
                      <w:rFonts w:hint="eastAsia" w:ascii="Times New Roman"/>
                      <w:vertAlign w:val="subscript"/>
                    </w:rPr>
                    <w:t>3</w:t>
                  </w:r>
                  <w:r>
                    <w:rPr>
                      <w:rFonts w:hint="eastAsia" w:ascii="Times New Roman"/>
                    </w:rPr>
                    <w:t>），并含有少量的杂质，如硅酸盐（SiO</w:t>
                  </w:r>
                  <w:r>
                    <w:rPr>
                      <w:rFonts w:hint="eastAsia" w:ascii="Times New Roman"/>
                      <w:vertAlign w:val="subscript"/>
                    </w:rPr>
                    <w:t>2</w:t>
                  </w:r>
                  <w:r>
                    <w:rPr>
                      <w:rFonts w:hint="eastAsia" w:ascii="Times New Roman"/>
                    </w:rPr>
                    <w:t>）和铁氧化物（Fe</w:t>
                  </w:r>
                  <w:r>
                    <w:rPr>
                      <w:rFonts w:hint="eastAsia" w:ascii="Times New Roman"/>
                      <w:vertAlign w:val="subscript"/>
                    </w:rPr>
                    <w:t>2</w:t>
                  </w:r>
                  <w:r>
                    <w:rPr>
                      <w:rFonts w:hint="eastAsia" w:ascii="Times New Roman"/>
                    </w:rPr>
                    <w:t>O</w:t>
                  </w:r>
                  <w:r>
                    <w:rPr>
                      <w:rFonts w:hint="eastAsia" w:ascii="Times New Roman"/>
                      <w:vertAlign w:val="subscript"/>
                    </w:rPr>
                    <w:t>3</w:t>
                  </w:r>
                  <w:r>
                    <w:rPr>
                      <w:rFonts w:hint="eastAsia" w:ascii="Times New Roman"/>
                    </w:rPr>
                    <w:t>）。它通常呈白色、灰色或褐色，可能因含铁而呈现褐黄或浅红色。铝矾石的物理性质稳定，化学性质惰性，但极难熔化，不溶于水，能溶于硫酸等酸溶液。由于其优异的耐火性、陶瓷性和吸附性，铝矾石被广泛应用于耐火材料、陶瓷材料、催化剂和填料等领域。</w:t>
                  </w:r>
                </w:p>
              </w:tc>
            </w:tr>
          </w:tbl>
          <w:p>
            <w:pPr>
              <w:spacing w:line="360" w:lineRule="auto"/>
              <w:ind w:firstLine="420" w:firstLineChars="200"/>
              <w:jc w:val="left"/>
              <w:rPr>
                <w:szCs w:val="21"/>
              </w:rPr>
            </w:pPr>
            <w:r>
              <w:rPr>
                <w:rFonts w:hint="eastAsia"/>
                <w:szCs w:val="21"/>
              </w:rPr>
              <w:t>本项目产品根据客户要求执行以下产品质量标准：</w:t>
            </w:r>
          </w:p>
          <w:p>
            <w:pPr>
              <w:spacing w:line="360" w:lineRule="auto"/>
              <w:ind w:firstLine="420" w:firstLineChars="200"/>
              <w:jc w:val="left"/>
              <w:rPr>
                <w:szCs w:val="21"/>
              </w:rPr>
            </w:pPr>
            <w:r>
              <w:rPr>
                <w:rFonts w:hint="eastAsia"/>
                <w:szCs w:val="21"/>
              </w:rPr>
              <w:t>1. 化学成分标准：氧化铝含量应在40%左右之间，氧化硅含量应在40%以下，氧化钙、氧化钠和氧化钾等成分的含量不超10%。</w:t>
            </w:r>
          </w:p>
          <w:p>
            <w:pPr>
              <w:spacing w:line="360" w:lineRule="auto"/>
              <w:ind w:firstLine="420" w:firstLineChars="200"/>
              <w:jc w:val="left"/>
              <w:rPr>
                <w:szCs w:val="21"/>
              </w:rPr>
            </w:pPr>
            <w:r>
              <w:rPr>
                <w:rFonts w:hint="eastAsia"/>
                <w:szCs w:val="21"/>
              </w:rPr>
              <w:t>2. 物理性质标准：水溶性达85%以上，并具有一定的流动性和塑性。</w:t>
            </w:r>
          </w:p>
          <w:p>
            <w:pPr>
              <w:adjustRightInd w:val="0"/>
              <w:snapToGrid w:val="0"/>
              <w:spacing w:line="360" w:lineRule="auto"/>
              <w:ind w:firstLine="422" w:firstLineChars="200"/>
              <w:rPr>
                <w:b/>
                <w:bCs/>
              </w:rPr>
            </w:pPr>
            <w:r>
              <w:rPr>
                <w:b/>
                <w:bCs/>
              </w:rPr>
              <w:t>三、主要设备</w:t>
            </w:r>
          </w:p>
          <w:p>
            <w:pPr>
              <w:adjustRightInd w:val="0"/>
              <w:snapToGrid w:val="0"/>
              <w:spacing w:line="360" w:lineRule="auto"/>
              <w:ind w:firstLine="420" w:firstLineChars="200"/>
            </w:pPr>
            <w:r>
              <w:rPr>
                <w:szCs w:val="21"/>
              </w:rPr>
              <w:t>本项目主要设备情况见下表2-3。</w:t>
            </w:r>
          </w:p>
          <w:p>
            <w:pPr>
              <w:jc w:val="center"/>
            </w:pPr>
            <w:r>
              <w:rPr>
                <w:b/>
                <w:bCs/>
              </w:rPr>
              <w:t>表2-3  主要设备清单一览表</w:t>
            </w:r>
          </w:p>
          <w:tbl>
            <w:tblPr>
              <w:tblStyle w:val="4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2032"/>
              <w:gridCol w:w="1638"/>
              <w:gridCol w:w="768"/>
              <w:gridCol w:w="768"/>
              <w:gridCol w:w="17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Align w:val="center"/>
                </w:tcPr>
                <w:p>
                  <w:pPr>
                    <w:jc w:val="center"/>
                    <w:rPr>
                      <w:b/>
                      <w:bCs/>
                      <w:szCs w:val="21"/>
                    </w:rPr>
                  </w:pPr>
                  <w:r>
                    <w:rPr>
                      <w:b/>
                      <w:bCs/>
                      <w:szCs w:val="21"/>
                    </w:rPr>
                    <w:t>序号</w:t>
                  </w:r>
                </w:p>
              </w:tc>
              <w:tc>
                <w:tcPr>
                  <w:tcW w:w="1310" w:type="pct"/>
                  <w:vAlign w:val="center"/>
                </w:tcPr>
                <w:p>
                  <w:pPr>
                    <w:jc w:val="center"/>
                    <w:rPr>
                      <w:b/>
                      <w:bCs/>
                      <w:szCs w:val="21"/>
                    </w:rPr>
                  </w:pPr>
                  <w:r>
                    <w:rPr>
                      <w:b/>
                      <w:bCs/>
                      <w:szCs w:val="21"/>
                    </w:rPr>
                    <w:t>设备名称</w:t>
                  </w:r>
                </w:p>
              </w:tc>
              <w:tc>
                <w:tcPr>
                  <w:tcW w:w="1056" w:type="pct"/>
                  <w:vAlign w:val="center"/>
                </w:tcPr>
                <w:p>
                  <w:pPr>
                    <w:jc w:val="center"/>
                    <w:rPr>
                      <w:b/>
                      <w:bCs/>
                      <w:szCs w:val="21"/>
                    </w:rPr>
                  </w:pPr>
                  <w:r>
                    <w:rPr>
                      <w:b/>
                      <w:bCs/>
                      <w:szCs w:val="21"/>
                    </w:rPr>
                    <w:t>型号</w:t>
                  </w:r>
                </w:p>
              </w:tc>
              <w:tc>
                <w:tcPr>
                  <w:tcW w:w="495" w:type="pct"/>
                  <w:vAlign w:val="center"/>
                </w:tcPr>
                <w:p>
                  <w:pPr>
                    <w:jc w:val="center"/>
                    <w:rPr>
                      <w:b/>
                      <w:bCs/>
                      <w:szCs w:val="21"/>
                    </w:rPr>
                  </w:pPr>
                  <w:r>
                    <w:rPr>
                      <w:b/>
                      <w:bCs/>
                      <w:szCs w:val="21"/>
                    </w:rPr>
                    <w:t>单位</w:t>
                  </w:r>
                </w:p>
              </w:tc>
              <w:tc>
                <w:tcPr>
                  <w:tcW w:w="495" w:type="pct"/>
                  <w:vAlign w:val="center"/>
                </w:tcPr>
                <w:p>
                  <w:pPr>
                    <w:jc w:val="center"/>
                    <w:rPr>
                      <w:b/>
                      <w:bCs/>
                      <w:szCs w:val="21"/>
                    </w:rPr>
                  </w:pPr>
                  <w:r>
                    <w:rPr>
                      <w:b/>
                      <w:bCs/>
                      <w:szCs w:val="21"/>
                    </w:rPr>
                    <w:t>数量</w:t>
                  </w:r>
                </w:p>
              </w:tc>
              <w:tc>
                <w:tcPr>
                  <w:tcW w:w="1147" w:type="pct"/>
                  <w:vAlign w:val="center"/>
                </w:tcPr>
                <w:p>
                  <w:pPr>
                    <w:jc w:val="center"/>
                    <w:rPr>
                      <w:b/>
                      <w:bCs/>
                      <w:szCs w:val="21"/>
                    </w:rPr>
                  </w:pPr>
                  <w:r>
                    <w:rPr>
                      <w:b/>
                      <w:bCs/>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4" w:type="pct"/>
                  <w:vAlign w:val="center"/>
                </w:tcPr>
                <w:p>
                  <w:pPr>
                    <w:pStyle w:val="161"/>
                    <w:spacing w:line="240" w:lineRule="auto"/>
                    <w:rPr>
                      <w:rFonts w:ascii="Times New Roman"/>
                    </w:rPr>
                  </w:pPr>
                  <w:r>
                    <w:rPr>
                      <w:rFonts w:ascii="Times New Roman"/>
                    </w:rPr>
                    <w:t>1</w:t>
                  </w:r>
                </w:p>
              </w:tc>
              <w:tc>
                <w:tcPr>
                  <w:tcW w:w="1310" w:type="pct"/>
                  <w:vAlign w:val="center"/>
                </w:tcPr>
                <w:p>
                  <w:pPr>
                    <w:pStyle w:val="161"/>
                    <w:spacing w:line="240" w:lineRule="auto"/>
                    <w:rPr>
                      <w:rFonts w:ascii="Times New Roman"/>
                    </w:rPr>
                  </w:pPr>
                  <w:r>
                    <w:rPr>
                      <w:rFonts w:ascii="Times New Roman"/>
                    </w:rPr>
                    <w:t>电加热釜</w:t>
                  </w:r>
                </w:p>
              </w:tc>
              <w:tc>
                <w:tcPr>
                  <w:tcW w:w="1056" w:type="pct"/>
                  <w:vAlign w:val="center"/>
                </w:tcPr>
                <w:p>
                  <w:pPr>
                    <w:pStyle w:val="161"/>
                    <w:spacing w:line="240" w:lineRule="auto"/>
                    <w:rPr>
                      <w:rFonts w:ascii="Times New Roman"/>
                    </w:rPr>
                  </w:pPr>
                  <w:r>
                    <w:rPr>
                      <w:rFonts w:ascii="Times New Roman"/>
                    </w:rPr>
                    <w:t>8个5000L</w:t>
                  </w:r>
                </w:p>
                <w:p>
                  <w:pPr>
                    <w:pStyle w:val="161"/>
                    <w:spacing w:line="240" w:lineRule="auto"/>
                    <w:rPr>
                      <w:rFonts w:ascii="Times New Roman"/>
                    </w:rPr>
                  </w:pPr>
                  <w:r>
                    <w:rPr>
                      <w:rFonts w:ascii="Times New Roman"/>
                    </w:rPr>
                    <w:t>1个10000L</w:t>
                  </w:r>
                </w:p>
              </w:tc>
              <w:tc>
                <w:tcPr>
                  <w:tcW w:w="495" w:type="pct"/>
                  <w:vAlign w:val="center"/>
                </w:tcPr>
                <w:p>
                  <w:pPr>
                    <w:pStyle w:val="161"/>
                    <w:spacing w:line="240" w:lineRule="auto"/>
                    <w:rPr>
                      <w:rFonts w:ascii="Times New Roman"/>
                    </w:rPr>
                  </w:pPr>
                  <w:r>
                    <w:rPr>
                      <w:rFonts w:ascii="Times New Roman"/>
                    </w:rPr>
                    <w:t>台</w:t>
                  </w:r>
                </w:p>
              </w:tc>
              <w:tc>
                <w:tcPr>
                  <w:tcW w:w="495" w:type="pct"/>
                  <w:vAlign w:val="center"/>
                </w:tcPr>
                <w:p>
                  <w:pPr>
                    <w:pStyle w:val="161"/>
                    <w:spacing w:line="240" w:lineRule="auto"/>
                    <w:rPr>
                      <w:rFonts w:ascii="Times New Roman"/>
                    </w:rPr>
                  </w:pPr>
                  <w:r>
                    <w:rPr>
                      <w:rFonts w:ascii="Times New Roman"/>
                    </w:rPr>
                    <w:t>9</w:t>
                  </w:r>
                </w:p>
              </w:tc>
              <w:tc>
                <w:tcPr>
                  <w:tcW w:w="1147" w:type="pct"/>
                  <w:vAlign w:val="center"/>
                </w:tcPr>
                <w:p>
                  <w:pPr>
                    <w:pStyle w:val="161"/>
                    <w:spacing w:line="240" w:lineRule="auto"/>
                    <w:rPr>
                      <w:rFonts w:ascii="Times New Roman"/>
                    </w:rPr>
                  </w:pPr>
                  <w:r>
                    <w:rPr>
                      <w:rFonts w:asci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Align w:val="center"/>
                </w:tcPr>
                <w:p>
                  <w:pPr>
                    <w:pStyle w:val="161"/>
                    <w:spacing w:line="240" w:lineRule="auto"/>
                    <w:rPr>
                      <w:rFonts w:ascii="Times New Roman"/>
                    </w:rPr>
                  </w:pPr>
                  <w:r>
                    <w:rPr>
                      <w:rFonts w:ascii="Times New Roman"/>
                    </w:rPr>
                    <w:t>2</w:t>
                  </w:r>
                </w:p>
              </w:tc>
              <w:tc>
                <w:tcPr>
                  <w:tcW w:w="1310" w:type="pct"/>
                  <w:vAlign w:val="center"/>
                </w:tcPr>
                <w:p>
                  <w:pPr>
                    <w:pStyle w:val="161"/>
                    <w:spacing w:line="240" w:lineRule="auto"/>
                    <w:rPr>
                      <w:rFonts w:ascii="Times New Roman"/>
                    </w:rPr>
                  </w:pPr>
                  <w:r>
                    <w:rPr>
                      <w:rFonts w:ascii="Times New Roman"/>
                    </w:rPr>
                    <w:t>结晶机</w:t>
                  </w:r>
                </w:p>
              </w:tc>
              <w:tc>
                <w:tcPr>
                  <w:tcW w:w="1056" w:type="pct"/>
                  <w:vAlign w:val="center"/>
                </w:tcPr>
                <w:p>
                  <w:pPr>
                    <w:pStyle w:val="161"/>
                    <w:spacing w:line="240" w:lineRule="auto"/>
                    <w:rPr>
                      <w:rFonts w:ascii="Times New Roman"/>
                    </w:rPr>
                  </w:pPr>
                  <w:r>
                    <w:rPr>
                      <w:rFonts w:ascii="Times New Roman"/>
                    </w:rPr>
                    <w:t>/</w:t>
                  </w:r>
                </w:p>
              </w:tc>
              <w:tc>
                <w:tcPr>
                  <w:tcW w:w="495" w:type="pct"/>
                  <w:vAlign w:val="center"/>
                </w:tcPr>
                <w:p>
                  <w:pPr>
                    <w:pStyle w:val="161"/>
                    <w:spacing w:line="240" w:lineRule="auto"/>
                    <w:rPr>
                      <w:rFonts w:ascii="Times New Roman"/>
                    </w:rPr>
                  </w:pPr>
                  <w:r>
                    <w:rPr>
                      <w:rFonts w:ascii="Times New Roman"/>
                    </w:rPr>
                    <w:t>台</w:t>
                  </w:r>
                </w:p>
              </w:tc>
              <w:tc>
                <w:tcPr>
                  <w:tcW w:w="495" w:type="pct"/>
                  <w:vAlign w:val="center"/>
                </w:tcPr>
                <w:p>
                  <w:pPr>
                    <w:pStyle w:val="161"/>
                    <w:spacing w:line="240" w:lineRule="auto"/>
                    <w:rPr>
                      <w:rFonts w:ascii="Times New Roman"/>
                    </w:rPr>
                  </w:pPr>
                  <w:r>
                    <w:rPr>
                      <w:rFonts w:ascii="Times New Roman"/>
                    </w:rPr>
                    <w:t>5</w:t>
                  </w:r>
                </w:p>
              </w:tc>
              <w:tc>
                <w:tcPr>
                  <w:tcW w:w="1147" w:type="pct"/>
                  <w:vAlign w:val="center"/>
                </w:tcPr>
                <w:p>
                  <w:pPr>
                    <w:pStyle w:val="161"/>
                    <w:spacing w:line="240" w:lineRule="auto"/>
                    <w:rPr>
                      <w:rFonts w:ascii="Times New Roman"/>
                    </w:rPr>
                  </w:pPr>
                  <w:r>
                    <w:rPr>
                      <w:rFonts w:asci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Align w:val="center"/>
                </w:tcPr>
                <w:p>
                  <w:pPr>
                    <w:pStyle w:val="161"/>
                    <w:spacing w:line="240" w:lineRule="auto"/>
                    <w:rPr>
                      <w:rFonts w:ascii="Times New Roman"/>
                    </w:rPr>
                  </w:pPr>
                  <w:r>
                    <w:rPr>
                      <w:rFonts w:ascii="Times New Roman"/>
                    </w:rPr>
                    <w:t>3</w:t>
                  </w:r>
                </w:p>
              </w:tc>
              <w:tc>
                <w:tcPr>
                  <w:tcW w:w="1310" w:type="pct"/>
                  <w:vAlign w:val="center"/>
                </w:tcPr>
                <w:p>
                  <w:pPr>
                    <w:pStyle w:val="161"/>
                    <w:spacing w:line="240" w:lineRule="auto"/>
                    <w:rPr>
                      <w:rFonts w:ascii="Times New Roman"/>
                    </w:rPr>
                  </w:pPr>
                  <w:r>
                    <w:rPr>
                      <w:rFonts w:ascii="Times New Roman"/>
                    </w:rPr>
                    <w:t>粉碎机</w:t>
                  </w:r>
                </w:p>
              </w:tc>
              <w:tc>
                <w:tcPr>
                  <w:tcW w:w="1056" w:type="pct"/>
                  <w:vAlign w:val="center"/>
                </w:tcPr>
                <w:p>
                  <w:pPr>
                    <w:pStyle w:val="161"/>
                    <w:spacing w:line="240" w:lineRule="auto"/>
                    <w:rPr>
                      <w:rFonts w:ascii="Times New Roman"/>
                    </w:rPr>
                  </w:pPr>
                  <w:r>
                    <w:rPr>
                      <w:rFonts w:ascii="Times New Roman"/>
                    </w:rPr>
                    <w:t>/</w:t>
                  </w:r>
                </w:p>
              </w:tc>
              <w:tc>
                <w:tcPr>
                  <w:tcW w:w="495" w:type="pct"/>
                  <w:vAlign w:val="center"/>
                </w:tcPr>
                <w:p>
                  <w:pPr>
                    <w:pStyle w:val="161"/>
                    <w:spacing w:line="240" w:lineRule="auto"/>
                    <w:rPr>
                      <w:rFonts w:ascii="Times New Roman"/>
                    </w:rPr>
                  </w:pPr>
                  <w:r>
                    <w:rPr>
                      <w:rFonts w:ascii="Times New Roman"/>
                    </w:rPr>
                    <w:t>台</w:t>
                  </w:r>
                </w:p>
              </w:tc>
              <w:tc>
                <w:tcPr>
                  <w:tcW w:w="495" w:type="pct"/>
                  <w:vAlign w:val="center"/>
                </w:tcPr>
                <w:p>
                  <w:pPr>
                    <w:pStyle w:val="161"/>
                    <w:spacing w:line="240" w:lineRule="auto"/>
                    <w:rPr>
                      <w:rFonts w:ascii="Times New Roman"/>
                    </w:rPr>
                  </w:pPr>
                  <w:r>
                    <w:rPr>
                      <w:rFonts w:ascii="Times New Roman"/>
                    </w:rPr>
                    <w:t>3</w:t>
                  </w:r>
                </w:p>
              </w:tc>
              <w:tc>
                <w:tcPr>
                  <w:tcW w:w="1147" w:type="pct"/>
                  <w:vAlign w:val="center"/>
                </w:tcPr>
                <w:p>
                  <w:pPr>
                    <w:pStyle w:val="161"/>
                    <w:spacing w:line="240" w:lineRule="auto"/>
                    <w:rPr>
                      <w:rFonts w:ascii="Times New Roman"/>
                    </w:rPr>
                  </w:pPr>
                  <w:r>
                    <w:rPr>
                      <w:rFonts w:asci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Align w:val="center"/>
                </w:tcPr>
                <w:p>
                  <w:pPr>
                    <w:pStyle w:val="161"/>
                    <w:spacing w:line="240" w:lineRule="auto"/>
                    <w:rPr>
                      <w:rFonts w:ascii="Times New Roman"/>
                    </w:rPr>
                  </w:pPr>
                  <w:r>
                    <w:rPr>
                      <w:rFonts w:ascii="Times New Roman"/>
                    </w:rPr>
                    <w:t>4</w:t>
                  </w:r>
                </w:p>
              </w:tc>
              <w:tc>
                <w:tcPr>
                  <w:tcW w:w="1310" w:type="pct"/>
                  <w:vAlign w:val="center"/>
                </w:tcPr>
                <w:p>
                  <w:pPr>
                    <w:pStyle w:val="161"/>
                    <w:spacing w:line="240" w:lineRule="auto"/>
                    <w:rPr>
                      <w:rFonts w:ascii="Times New Roman"/>
                    </w:rPr>
                  </w:pPr>
                  <w:r>
                    <w:rPr>
                      <w:rFonts w:ascii="Times New Roman"/>
                    </w:rPr>
                    <w:t>提升机</w:t>
                  </w:r>
                </w:p>
              </w:tc>
              <w:tc>
                <w:tcPr>
                  <w:tcW w:w="1056" w:type="pct"/>
                  <w:vAlign w:val="center"/>
                </w:tcPr>
                <w:p>
                  <w:pPr>
                    <w:pStyle w:val="161"/>
                    <w:spacing w:line="240" w:lineRule="auto"/>
                    <w:rPr>
                      <w:rFonts w:ascii="Times New Roman"/>
                    </w:rPr>
                  </w:pPr>
                  <w:r>
                    <w:rPr>
                      <w:rFonts w:ascii="Times New Roman"/>
                    </w:rPr>
                    <w:t>/</w:t>
                  </w:r>
                </w:p>
              </w:tc>
              <w:tc>
                <w:tcPr>
                  <w:tcW w:w="495" w:type="pct"/>
                  <w:vAlign w:val="center"/>
                </w:tcPr>
                <w:p>
                  <w:pPr>
                    <w:pStyle w:val="161"/>
                    <w:spacing w:line="240" w:lineRule="auto"/>
                    <w:rPr>
                      <w:rFonts w:ascii="Times New Roman"/>
                    </w:rPr>
                  </w:pPr>
                  <w:r>
                    <w:rPr>
                      <w:rFonts w:ascii="Times New Roman"/>
                    </w:rPr>
                    <w:t>台</w:t>
                  </w:r>
                </w:p>
              </w:tc>
              <w:tc>
                <w:tcPr>
                  <w:tcW w:w="495" w:type="pct"/>
                  <w:vAlign w:val="center"/>
                </w:tcPr>
                <w:p>
                  <w:pPr>
                    <w:pStyle w:val="161"/>
                    <w:spacing w:line="240" w:lineRule="auto"/>
                    <w:rPr>
                      <w:rFonts w:ascii="Times New Roman"/>
                    </w:rPr>
                  </w:pPr>
                  <w:r>
                    <w:rPr>
                      <w:rFonts w:ascii="Times New Roman"/>
                    </w:rPr>
                    <w:t>2</w:t>
                  </w:r>
                </w:p>
              </w:tc>
              <w:tc>
                <w:tcPr>
                  <w:tcW w:w="1147" w:type="pct"/>
                  <w:vAlign w:val="center"/>
                </w:tcPr>
                <w:p>
                  <w:pPr>
                    <w:pStyle w:val="161"/>
                    <w:spacing w:line="240" w:lineRule="auto"/>
                    <w:rPr>
                      <w:rFonts w:ascii="Times New Roman"/>
                    </w:rPr>
                  </w:pPr>
                  <w:r>
                    <w:rPr>
                      <w:rFonts w:asci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Align w:val="center"/>
                </w:tcPr>
                <w:p>
                  <w:pPr>
                    <w:pStyle w:val="161"/>
                    <w:spacing w:line="240" w:lineRule="auto"/>
                    <w:rPr>
                      <w:rFonts w:ascii="Times New Roman"/>
                    </w:rPr>
                  </w:pPr>
                  <w:r>
                    <w:rPr>
                      <w:rFonts w:ascii="Times New Roman"/>
                    </w:rPr>
                    <w:t>5</w:t>
                  </w:r>
                </w:p>
              </w:tc>
              <w:tc>
                <w:tcPr>
                  <w:tcW w:w="1310" w:type="pct"/>
                  <w:vAlign w:val="center"/>
                </w:tcPr>
                <w:p>
                  <w:pPr>
                    <w:pStyle w:val="161"/>
                    <w:spacing w:line="240" w:lineRule="auto"/>
                    <w:rPr>
                      <w:rFonts w:ascii="Times New Roman"/>
                    </w:rPr>
                  </w:pPr>
                  <w:r>
                    <w:rPr>
                      <w:rFonts w:ascii="Times New Roman"/>
                    </w:rPr>
                    <w:t>混合搅拌釜</w:t>
                  </w:r>
                </w:p>
              </w:tc>
              <w:tc>
                <w:tcPr>
                  <w:tcW w:w="1056" w:type="pct"/>
                  <w:vAlign w:val="center"/>
                </w:tcPr>
                <w:p>
                  <w:pPr>
                    <w:pStyle w:val="161"/>
                    <w:spacing w:line="240" w:lineRule="auto"/>
                    <w:rPr>
                      <w:rFonts w:ascii="Times New Roman"/>
                    </w:rPr>
                  </w:pPr>
                  <w:r>
                    <w:rPr>
                      <w:rFonts w:ascii="Times New Roman"/>
                    </w:rPr>
                    <w:t>5000L</w:t>
                  </w:r>
                </w:p>
              </w:tc>
              <w:tc>
                <w:tcPr>
                  <w:tcW w:w="495" w:type="pct"/>
                  <w:vAlign w:val="center"/>
                </w:tcPr>
                <w:p>
                  <w:pPr>
                    <w:pStyle w:val="161"/>
                    <w:spacing w:line="240" w:lineRule="auto"/>
                    <w:rPr>
                      <w:rFonts w:ascii="Times New Roman"/>
                    </w:rPr>
                  </w:pPr>
                  <w:r>
                    <w:rPr>
                      <w:rFonts w:ascii="Times New Roman"/>
                    </w:rPr>
                    <w:t>台</w:t>
                  </w:r>
                </w:p>
              </w:tc>
              <w:tc>
                <w:tcPr>
                  <w:tcW w:w="495" w:type="pct"/>
                  <w:vAlign w:val="center"/>
                </w:tcPr>
                <w:p>
                  <w:pPr>
                    <w:pStyle w:val="161"/>
                    <w:spacing w:line="240" w:lineRule="auto"/>
                    <w:rPr>
                      <w:rFonts w:ascii="Times New Roman"/>
                    </w:rPr>
                  </w:pPr>
                  <w:r>
                    <w:rPr>
                      <w:rFonts w:ascii="Times New Roman"/>
                    </w:rPr>
                    <w:t>3</w:t>
                  </w:r>
                </w:p>
              </w:tc>
              <w:tc>
                <w:tcPr>
                  <w:tcW w:w="1147" w:type="pct"/>
                  <w:vAlign w:val="center"/>
                </w:tcPr>
                <w:p>
                  <w:pPr>
                    <w:pStyle w:val="161"/>
                    <w:spacing w:line="240" w:lineRule="auto"/>
                    <w:rPr>
                      <w:rFonts w:ascii="Times New Roman"/>
                    </w:rPr>
                  </w:pPr>
                  <w:r>
                    <w:rPr>
                      <w:rFonts w:asci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Align w:val="center"/>
                </w:tcPr>
                <w:p>
                  <w:pPr>
                    <w:pStyle w:val="161"/>
                    <w:spacing w:line="240" w:lineRule="auto"/>
                    <w:rPr>
                      <w:rFonts w:ascii="Times New Roman"/>
                    </w:rPr>
                  </w:pPr>
                  <w:r>
                    <w:rPr>
                      <w:rFonts w:ascii="Times New Roman"/>
                    </w:rPr>
                    <w:t>6</w:t>
                  </w:r>
                </w:p>
              </w:tc>
              <w:tc>
                <w:tcPr>
                  <w:tcW w:w="1310" w:type="pct"/>
                  <w:vAlign w:val="center"/>
                </w:tcPr>
                <w:p>
                  <w:pPr>
                    <w:pStyle w:val="161"/>
                    <w:spacing w:line="240" w:lineRule="auto"/>
                    <w:rPr>
                      <w:rFonts w:ascii="Times New Roman"/>
                    </w:rPr>
                  </w:pPr>
                  <w:r>
                    <w:rPr>
                      <w:rFonts w:ascii="Times New Roman"/>
                    </w:rPr>
                    <w:t>液体硫酸铝储罐</w:t>
                  </w:r>
                </w:p>
              </w:tc>
              <w:tc>
                <w:tcPr>
                  <w:tcW w:w="1056" w:type="pct"/>
                  <w:vAlign w:val="center"/>
                </w:tcPr>
                <w:p>
                  <w:pPr>
                    <w:pStyle w:val="161"/>
                    <w:spacing w:line="240" w:lineRule="auto"/>
                    <w:rPr>
                      <w:rFonts w:ascii="Times New Roman"/>
                    </w:rPr>
                  </w:pPr>
                  <w:r>
                    <w:rPr>
                      <w:rFonts w:ascii="Times New Roman"/>
                    </w:rPr>
                    <w:t>1个600m</w:t>
                  </w:r>
                  <w:r>
                    <w:rPr>
                      <w:rFonts w:ascii="Times New Roman"/>
                      <w:vertAlign w:val="superscript"/>
                    </w:rPr>
                    <w:t>3</w:t>
                  </w:r>
                </w:p>
                <w:p>
                  <w:pPr>
                    <w:pStyle w:val="161"/>
                    <w:spacing w:line="240" w:lineRule="auto"/>
                    <w:rPr>
                      <w:rFonts w:ascii="Times New Roman"/>
                    </w:rPr>
                  </w:pPr>
                  <w:r>
                    <w:rPr>
                      <w:rFonts w:ascii="Times New Roman"/>
                    </w:rPr>
                    <w:t>3个60m</w:t>
                  </w:r>
                  <w:r>
                    <w:rPr>
                      <w:rFonts w:ascii="Times New Roman"/>
                      <w:vertAlign w:val="superscript"/>
                    </w:rPr>
                    <w:t>3</w:t>
                  </w:r>
                </w:p>
              </w:tc>
              <w:tc>
                <w:tcPr>
                  <w:tcW w:w="495" w:type="pct"/>
                  <w:vAlign w:val="center"/>
                </w:tcPr>
                <w:p>
                  <w:pPr>
                    <w:pStyle w:val="161"/>
                    <w:spacing w:line="240" w:lineRule="auto"/>
                    <w:rPr>
                      <w:rFonts w:ascii="Times New Roman"/>
                    </w:rPr>
                  </w:pPr>
                  <w:r>
                    <w:rPr>
                      <w:rFonts w:ascii="Times New Roman"/>
                    </w:rPr>
                    <w:t>台</w:t>
                  </w:r>
                </w:p>
              </w:tc>
              <w:tc>
                <w:tcPr>
                  <w:tcW w:w="495" w:type="pct"/>
                  <w:vAlign w:val="center"/>
                </w:tcPr>
                <w:p>
                  <w:pPr>
                    <w:pStyle w:val="161"/>
                    <w:spacing w:line="240" w:lineRule="auto"/>
                    <w:rPr>
                      <w:rFonts w:ascii="Times New Roman"/>
                    </w:rPr>
                  </w:pPr>
                  <w:r>
                    <w:rPr>
                      <w:rFonts w:ascii="Times New Roman"/>
                    </w:rPr>
                    <w:t>4</w:t>
                  </w:r>
                </w:p>
              </w:tc>
              <w:tc>
                <w:tcPr>
                  <w:tcW w:w="1147" w:type="pct"/>
                  <w:vAlign w:val="center"/>
                </w:tcPr>
                <w:p>
                  <w:pPr>
                    <w:pStyle w:val="161"/>
                    <w:spacing w:line="240" w:lineRule="auto"/>
                    <w:rPr>
                      <w:rFonts w:ascii="Times New Roman"/>
                    </w:rPr>
                  </w:pPr>
                  <w:r>
                    <w:rPr>
                      <w:rFonts w:asci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494" w:type="pct"/>
                  <w:vAlign w:val="center"/>
                </w:tcPr>
                <w:p>
                  <w:pPr>
                    <w:pStyle w:val="161"/>
                    <w:spacing w:line="240" w:lineRule="auto"/>
                    <w:rPr>
                      <w:rFonts w:ascii="Times New Roman"/>
                    </w:rPr>
                  </w:pPr>
                  <w:r>
                    <w:rPr>
                      <w:rFonts w:ascii="Times New Roman"/>
                    </w:rPr>
                    <w:t>7</w:t>
                  </w:r>
                </w:p>
              </w:tc>
              <w:tc>
                <w:tcPr>
                  <w:tcW w:w="1310" w:type="pct"/>
                  <w:vAlign w:val="center"/>
                </w:tcPr>
                <w:p>
                  <w:pPr>
                    <w:pStyle w:val="161"/>
                    <w:spacing w:line="240" w:lineRule="auto"/>
                    <w:rPr>
                      <w:rFonts w:ascii="Times New Roman"/>
                    </w:rPr>
                  </w:pPr>
                  <w:r>
                    <w:rPr>
                      <w:rFonts w:ascii="Times New Roman"/>
                    </w:rPr>
                    <w:t>循环</w:t>
                  </w:r>
                  <w:r>
                    <w:rPr>
                      <w:rFonts w:hint="eastAsia" w:ascii="Times New Roman"/>
                    </w:rPr>
                    <w:t>冷却</w:t>
                  </w:r>
                  <w:r>
                    <w:rPr>
                      <w:rFonts w:ascii="Times New Roman"/>
                    </w:rPr>
                    <w:t>水池</w:t>
                  </w:r>
                </w:p>
              </w:tc>
              <w:tc>
                <w:tcPr>
                  <w:tcW w:w="1056" w:type="pct"/>
                  <w:vAlign w:val="center"/>
                </w:tcPr>
                <w:p>
                  <w:pPr>
                    <w:pStyle w:val="161"/>
                    <w:spacing w:line="240" w:lineRule="auto"/>
                    <w:rPr>
                      <w:rFonts w:ascii="Times New Roman"/>
                    </w:rPr>
                  </w:pPr>
                  <w:r>
                    <w:rPr>
                      <w:rFonts w:ascii="Times New Roman"/>
                    </w:rPr>
                    <w:t>约</w:t>
                  </w:r>
                  <w:r>
                    <w:rPr>
                      <w:rFonts w:hint="eastAsia" w:ascii="Times New Roman"/>
                    </w:rPr>
                    <w:t>145</w:t>
                  </w:r>
                  <w:r>
                    <w:rPr>
                      <w:rFonts w:ascii="Times New Roman"/>
                    </w:rPr>
                    <w:t>m</w:t>
                  </w:r>
                  <w:r>
                    <w:rPr>
                      <w:rFonts w:ascii="Times New Roman"/>
                      <w:vertAlign w:val="superscript"/>
                    </w:rPr>
                    <w:t>3</w:t>
                  </w:r>
                </w:p>
              </w:tc>
              <w:tc>
                <w:tcPr>
                  <w:tcW w:w="495" w:type="pct"/>
                  <w:vAlign w:val="center"/>
                </w:tcPr>
                <w:p>
                  <w:pPr>
                    <w:pStyle w:val="161"/>
                    <w:spacing w:line="240" w:lineRule="auto"/>
                    <w:rPr>
                      <w:rFonts w:ascii="Times New Roman"/>
                    </w:rPr>
                  </w:pPr>
                  <w:r>
                    <w:rPr>
                      <w:rFonts w:hint="eastAsia" w:ascii="Times New Roman"/>
                    </w:rPr>
                    <w:t>个</w:t>
                  </w:r>
                </w:p>
              </w:tc>
              <w:tc>
                <w:tcPr>
                  <w:tcW w:w="495" w:type="pct"/>
                  <w:vAlign w:val="center"/>
                </w:tcPr>
                <w:p>
                  <w:pPr>
                    <w:pStyle w:val="161"/>
                    <w:spacing w:line="240" w:lineRule="auto"/>
                    <w:rPr>
                      <w:rFonts w:ascii="Times New Roman"/>
                    </w:rPr>
                  </w:pPr>
                  <w:r>
                    <w:rPr>
                      <w:rFonts w:ascii="Times New Roman"/>
                    </w:rPr>
                    <w:t>1</w:t>
                  </w:r>
                </w:p>
              </w:tc>
              <w:tc>
                <w:tcPr>
                  <w:tcW w:w="1147" w:type="pct"/>
                  <w:vAlign w:val="center"/>
                </w:tcPr>
                <w:p>
                  <w:pPr>
                    <w:pStyle w:val="161"/>
                    <w:spacing w:line="240" w:lineRule="auto"/>
                    <w:rPr>
                      <w:rFonts w:ascii="Times New Roman"/>
                    </w:rPr>
                  </w:pPr>
                  <w:r>
                    <w:rPr>
                      <w:rFonts w:asci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494" w:type="pct"/>
                  <w:vAlign w:val="center"/>
                </w:tcPr>
                <w:p>
                  <w:pPr>
                    <w:pStyle w:val="161"/>
                    <w:spacing w:line="240" w:lineRule="auto"/>
                    <w:rPr>
                      <w:rFonts w:ascii="Times New Roman"/>
                    </w:rPr>
                  </w:pPr>
                  <w:r>
                    <w:rPr>
                      <w:rFonts w:ascii="Times New Roman"/>
                    </w:rPr>
                    <w:t>8</w:t>
                  </w:r>
                </w:p>
              </w:tc>
              <w:tc>
                <w:tcPr>
                  <w:tcW w:w="1310" w:type="pct"/>
                  <w:vAlign w:val="center"/>
                </w:tcPr>
                <w:p>
                  <w:pPr>
                    <w:pStyle w:val="161"/>
                    <w:spacing w:line="240" w:lineRule="auto"/>
                    <w:rPr>
                      <w:rFonts w:ascii="Times New Roman"/>
                    </w:rPr>
                  </w:pPr>
                  <w:r>
                    <w:rPr>
                      <w:rFonts w:hint="eastAsia" w:ascii="Times New Roman"/>
                    </w:rPr>
                    <w:t>蒸汽冷凝水暂存池</w:t>
                  </w:r>
                </w:p>
              </w:tc>
              <w:tc>
                <w:tcPr>
                  <w:tcW w:w="1056" w:type="pct"/>
                  <w:vAlign w:val="center"/>
                </w:tcPr>
                <w:p>
                  <w:pPr>
                    <w:pStyle w:val="161"/>
                    <w:spacing w:line="240" w:lineRule="auto"/>
                    <w:rPr>
                      <w:rFonts w:ascii="Times New Roman"/>
                    </w:rPr>
                  </w:pPr>
                  <w:r>
                    <w:rPr>
                      <w:rFonts w:ascii="Times New Roman"/>
                    </w:rPr>
                    <w:t>约</w:t>
                  </w:r>
                  <w:r>
                    <w:rPr>
                      <w:rFonts w:hint="eastAsia" w:ascii="Times New Roman"/>
                    </w:rPr>
                    <w:t>40</w:t>
                  </w:r>
                  <w:r>
                    <w:rPr>
                      <w:rFonts w:ascii="Times New Roman"/>
                    </w:rPr>
                    <w:t>m</w:t>
                  </w:r>
                  <w:r>
                    <w:rPr>
                      <w:rFonts w:ascii="Times New Roman"/>
                      <w:vertAlign w:val="superscript"/>
                    </w:rPr>
                    <w:t>3</w:t>
                  </w:r>
                </w:p>
              </w:tc>
              <w:tc>
                <w:tcPr>
                  <w:tcW w:w="495" w:type="pct"/>
                  <w:vAlign w:val="center"/>
                </w:tcPr>
                <w:p>
                  <w:pPr>
                    <w:pStyle w:val="161"/>
                    <w:spacing w:line="240" w:lineRule="auto"/>
                    <w:rPr>
                      <w:rFonts w:ascii="Times New Roman"/>
                    </w:rPr>
                  </w:pPr>
                  <w:r>
                    <w:rPr>
                      <w:rFonts w:hint="eastAsia" w:ascii="Times New Roman"/>
                    </w:rPr>
                    <w:t>个</w:t>
                  </w:r>
                </w:p>
              </w:tc>
              <w:tc>
                <w:tcPr>
                  <w:tcW w:w="495" w:type="pct"/>
                  <w:vAlign w:val="center"/>
                </w:tcPr>
                <w:p>
                  <w:pPr>
                    <w:pStyle w:val="161"/>
                    <w:spacing w:line="240" w:lineRule="auto"/>
                    <w:rPr>
                      <w:rFonts w:ascii="Times New Roman"/>
                    </w:rPr>
                  </w:pPr>
                  <w:r>
                    <w:rPr>
                      <w:rFonts w:ascii="Times New Roman"/>
                    </w:rPr>
                    <w:t>1</w:t>
                  </w:r>
                </w:p>
              </w:tc>
              <w:tc>
                <w:tcPr>
                  <w:tcW w:w="1147" w:type="pct"/>
                  <w:vAlign w:val="center"/>
                </w:tcPr>
                <w:p>
                  <w:pPr>
                    <w:pStyle w:val="161"/>
                    <w:spacing w:line="240" w:lineRule="auto"/>
                    <w:rPr>
                      <w:rFonts w:asci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494" w:type="pct"/>
                  <w:vAlign w:val="center"/>
                </w:tcPr>
                <w:p>
                  <w:pPr>
                    <w:pStyle w:val="161"/>
                    <w:spacing w:line="240" w:lineRule="auto"/>
                    <w:rPr>
                      <w:rFonts w:ascii="Times New Roman"/>
                    </w:rPr>
                  </w:pPr>
                  <w:r>
                    <w:rPr>
                      <w:rFonts w:ascii="Times New Roman"/>
                    </w:rPr>
                    <w:t>9</w:t>
                  </w:r>
                </w:p>
              </w:tc>
              <w:tc>
                <w:tcPr>
                  <w:tcW w:w="1310" w:type="pct"/>
                  <w:vAlign w:val="center"/>
                </w:tcPr>
                <w:p>
                  <w:pPr>
                    <w:pStyle w:val="161"/>
                    <w:spacing w:line="240" w:lineRule="auto"/>
                    <w:rPr>
                      <w:rFonts w:ascii="Times New Roman"/>
                    </w:rPr>
                  </w:pPr>
                  <w:r>
                    <w:rPr>
                      <w:rFonts w:hint="eastAsia" w:ascii="Times New Roman"/>
                    </w:rPr>
                    <w:t>料仓</w:t>
                  </w:r>
                </w:p>
              </w:tc>
              <w:tc>
                <w:tcPr>
                  <w:tcW w:w="1056" w:type="pct"/>
                  <w:vAlign w:val="center"/>
                </w:tcPr>
                <w:p>
                  <w:pPr>
                    <w:pStyle w:val="161"/>
                    <w:spacing w:line="240" w:lineRule="auto"/>
                    <w:rPr>
                      <w:rFonts w:ascii="Times New Roman"/>
                    </w:rPr>
                  </w:pPr>
                  <w:r>
                    <w:rPr>
                      <w:rFonts w:hint="eastAsia" w:ascii="Times New Roman"/>
                    </w:rPr>
                    <w:t>23m</w:t>
                  </w:r>
                  <w:r>
                    <w:rPr>
                      <w:rFonts w:hint="eastAsia" w:ascii="Times New Roman"/>
                      <w:vertAlign w:val="superscript"/>
                    </w:rPr>
                    <w:t>3</w:t>
                  </w:r>
                </w:p>
              </w:tc>
              <w:tc>
                <w:tcPr>
                  <w:tcW w:w="495" w:type="pct"/>
                  <w:vAlign w:val="center"/>
                </w:tcPr>
                <w:p>
                  <w:pPr>
                    <w:pStyle w:val="161"/>
                    <w:spacing w:line="240" w:lineRule="auto"/>
                    <w:rPr>
                      <w:rFonts w:ascii="Times New Roman"/>
                    </w:rPr>
                  </w:pPr>
                  <w:r>
                    <w:rPr>
                      <w:rFonts w:hint="eastAsia" w:ascii="Times New Roman"/>
                    </w:rPr>
                    <w:t>个</w:t>
                  </w:r>
                </w:p>
              </w:tc>
              <w:tc>
                <w:tcPr>
                  <w:tcW w:w="495" w:type="pct"/>
                  <w:vAlign w:val="center"/>
                </w:tcPr>
                <w:p>
                  <w:pPr>
                    <w:pStyle w:val="161"/>
                    <w:spacing w:line="240" w:lineRule="auto"/>
                    <w:rPr>
                      <w:rFonts w:ascii="Times New Roman"/>
                    </w:rPr>
                  </w:pPr>
                  <w:r>
                    <w:rPr>
                      <w:rFonts w:hint="eastAsia" w:ascii="Times New Roman"/>
                    </w:rPr>
                    <w:t>2</w:t>
                  </w:r>
                </w:p>
              </w:tc>
              <w:tc>
                <w:tcPr>
                  <w:tcW w:w="1147" w:type="pct"/>
                  <w:vAlign w:val="center"/>
                </w:tcPr>
                <w:p>
                  <w:pPr>
                    <w:pStyle w:val="161"/>
                    <w:spacing w:line="240" w:lineRule="auto"/>
                    <w:rPr>
                      <w:rFonts w:asci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 w:hRule="atLeast"/>
              </w:trPr>
              <w:tc>
                <w:tcPr>
                  <w:tcW w:w="494" w:type="pct"/>
                  <w:vAlign w:val="center"/>
                </w:tcPr>
                <w:p>
                  <w:pPr>
                    <w:pStyle w:val="161"/>
                    <w:spacing w:line="240" w:lineRule="auto"/>
                    <w:rPr>
                      <w:rFonts w:ascii="Times New Roman"/>
                    </w:rPr>
                  </w:pPr>
                  <w:r>
                    <w:rPr>
                      <w:rFonts w:ascii="Times New Roman"/>
                    </w:rPr>
                    <w:t>10</w:t>
                  </w:r>
                </w:p>
              </w:tc>
              <w:tc>
                <w:tcPr>
                  <w:tcW w:w="1310" w:type="pct"/>
                  <w:vAlign w:val="center"/>
                </w:tcPr>
                <w:p>
                  <w:pPr>
                    <w:pStyle w:val="161"/>
                    <w:spacing w:line="240" w:lineRule="auto"/>
                    <w:rPr>
                      <w:rFonts w:ascii="Times New Roman"/>
                    </w:rPr>
                  </w:pPr>
                  <w:r>
                    <w:rPr>
                      <w:rFonts w:ascii="Times New Roman"/>
                    </w:rPr>
                    <w:t>包装机</w:t>
                  </w:r>
                </w:p>
              </w:tc>
              <w:tc>
                <w:tcPr>
                  <w:tcW w:w="1056" w:type="pct"/>
                  <w:vAlign w:val="center"/>
                </w:tcPr>
                <w:p>
                  <w:pPr>
                    <w:pStyle w:val="161"/>
                    <w:spacing w:line="240" w:lineRule="auto"/>
                    <w:rPr>
                      <w:rFonts w:ascii="Times New Roman"/>
                    </w:rPr>
                  </w:pPr>
                  <w:r>
                    <w:rPr>
                      <w:rFonts w:ascii="Times New Roman"/>
                    </w:rPr>
                    <w:t>DCS-40F</w:t>
                  </w:r>
                </w:p>
              </w:tc>
              <w:tc>
                <w:tcPr>
                  <w:tcW w:w="495" w:type="pct"/>
                  <w:vAlign w:val="center"/>
                </w:tcPr>
                <w:p>
                  <w:pPr>
                    <w:pStyle w:val="161"/>
                    <w:spacing w:line="240" w:lineRule="auto"/>
                    <w:rPr>
                      <w:rFonts w:ascii="Times New Roman"/>
                    </w:rPr>
                  </w:pPr>
                  <w:r>
                    <w:rPr>
                      <w:rFonts w:ascii="Times New Roman"/>
                    </w:rPr>
                    <w:t>套</w:t>
                  </w:r>
                </w:p>
              </w:tc>
              <w:tc>
                <w:tcPr>
                  <w:tcW w:w="495" w:type="pct"/>
                  <w:vAlign w:val="center"/>
                </w:tcPr>
                <w:p>
                  <w:pPr>
                    <w:pStyle w:val="161"/>
                    <w:spacing w:line="240" w:lineRule="auto"/>
                    <w:rPr>
                      <w:rFonts w:ascii="Times New Roman"/>
                    </w:rPr>
                  </w:pPr>
                  <w:r>
                    <w:rPr>
                      <w:rFonts w:ascii="Times New Roman"/>
                    </w:rPr>
                    <w:t>1</w:t>
                  </w:r>
                </w:p>
              </w:tc>
              <w:tc>
                <w:tcPr>
                  <w:tcW w:w="1147" w:type="pct"/>
                  <w:vAlign w:val="center"/>
                </w:tcPr>
                <w:p>
                  <w:pPr>
                    <w:pStyle w:val="161"/>
                    <w:spacing w:line="240" w:lineRule="auto"/>
                    <w:rPr>
                      <w:rFonts w:ascii="Times New Roman"/>
                    </w:rPr>
                  </w:pPr>
                  <w:r>
                    <w:rPr>
                      <w:rFonts w:asci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 w:hRule="atLeast"/>
              </w:trPr>
              <w:tc>
                <w:tcPr>
                  <w:tcW w:w="494" w:type="pct"/>
                  <w:vAlign w:val="center"/>
                </w:tcPr>
                <w:p>
                  <w:pPr>
                    <w:pStyle w:val="161"/>
                    <w:spacing w:line="240" w:lineRule="auto"/>
                    <w:rPr>
                      <w:rFonts w:ascii="Times New Roman"/>
                    </w:rPr>
                  </w:pPr>
                  <w:r>
                    <w:rPr>
                      <w:rFonts w:hint="eastAsia" w:ascii="Times New Roman"/>
                    </w:rPr>
                    <w:t>11</w:t>
                  </w:r>
                </w:p>
              </w:tc>
              <w:tc>
                <w:tcPr>
                  <w:tcW w:w="1310" w:type="pct"/>
                  <w:vAlign w:val="center"/>
                </w:tcPr>
                <w:p>
                  <w:pPr>
                    <w:pStyle w:val="161"/>
                    <w:spacing w:line="240" w:lineRule="auto"/>
                    <w:rPr>
                      <w:rFonts w:ascii="Times New Roman"/>
                    </w:rPr>
                  </w:pPr>
                  <w:r>
                    <w:rPr>
                      <w:rFonts w:ascii="Times New Roman"/>
                    </w:rPr>
                    <w:t>立柱码垛机</w:t>
                  </w:r>
                </w:p>
              </w:tc>
              <w:tc>
                <w:tcPr>
                  <w:tcW w:w="1056" w:type="pct"/>
                  <w:vAlign w:val="center"/>
                </w:tcPr>
                <w:p>
                  <w:pPr>
                    <w:pStyle w:val="161"/>
                    <w:spacing w:line="240" w:lineRule="auto"/>
                    <w:rPr>
                      <w:rFonts w:ascii="Times New Roman"/>
                    </w:rPr>
                  </w:pPr>
                  <w:r>
                    <w:rPr>
                      <w:rFonts w:ascii="Times New Roman"/>
                    </w:rPr>
                    <w:t>ZX-CR120</w:t>
                  </w:r>
                </w:p>
              </w:tc>
              <w:tc>
                <w:tcPr>
                  <w:tcW w:w="495" w:type="pct"/>
                  <w:vAlign w:val="center"/>
                </w:tcPr>
                <w:p>
                  <w:pPr>
                    <w:pStyle w:val="161"/>
                    <w:spacing w:line="240" w:lineRule="auto"/>
                    <w:rPr>
                      <w:rFonts w:ascii="Times New Roman"/>
                    </w:rPr>
                  </w:pPr>
                  <w:r>
                    <w:rPr>
                      <w:rFonts w:ascii="Times New Roman"/>
                    </w:rPr>
                    <w:t>套</w:t>
                  </w:r>
                </w:p>
              </w:tc>
              <w:tc>
                <w:tcPr>
                  <w:tcW w:w="495" w:type="pct"/>
                  <w:vAlign w:val="center"/>
                </w:tcPr>
                <w:p>
                  <w:pPr>
                    <w:pStyle w:val="161"/>
                    <w:spacing w:line="240" w:lineRule="auto"/>
                    <w:rPr>
                      <w:rFonts w:ascii="Times New Roman"/>
                    </w:rPr>
                  </w:pPr>
                  <w:r>
                    <w:rPr>
                      <w:rFonts w:ascii="Times New Roman"/>
                    </w:rPr>
                    <w:t>1</w:t>
                  </w:r>
                </w:p>
              </w:tc>
              <w:tc>
                <w:tcPr>
                  <w:tcW w:w="1147" w:type="pct"/>
                  <w:vAlign w:val="center"/>
                </w:tcPr>
                <w:p>
                  <w:pPr>
                    <w:pStyle w:val="161"/>
                    <w:spacing w:line="240" w:lineRule="auto"/>
                    <w:rPr>
                      <w:rFonts w:ascii="Times New Roman"/>
                    </w:rPr>
                  </w:pPr>
                  <w:r>
                    <w:rPr>
                      <w:rFonts w:ascii="Times New Roman"/>
                    </w:rPr>
                    <w:t>/</w:t>
                  </w:r>
                </w:p>
              </w:tc>
            </w:tr>
          </w:tbl>
          <w:p>
            <w:pPr>
              <w:adjustRightInd w:val="0"/>
              <w:snapToGrid w:val="0"/>
              <w:spacing w:line="360" w:lineRule="auto"/>
              <w:ind w:firstLine="422" w:firstLineChars="200"/>
              <w:rPr>
                <w:b/>
                <w:bCs/>
                <w:szCs w:val="21"/>
              </w:rPr>
            </w:pPr>
          </w:p>
          <w:p>
            <w:pPr>
              <w:adjustRightInd w:val="0"/>
              <w:snapToGrid w:val="0"/>
              <w:spacing w:line="360" w:lineRule="auto"/>
              <w:ind w:firstLine="422" w:firstLineChars="200"/>
              <w:rPr>
                <w:b/>
                <w:bCs/>
                <w:szCs w:val="21"/>
              </w:rPr>
            </w:pPr>
            <w:r>
              <w:rPr>
                <w:b/>
                <w:bCs/>
                <w:szCs w:val="21"/>
              </w:rPr>
              <w:t>四、主要原辅材料及能源消耗</w:t>
            </w:r>
          </w:p>
          <w:p>
            <w:pPr>
              <w:adjustRightInd w:val="0"/>
              <w:snapToGrid w:val="0"/>
              <w:spacing w:line="360" w:lineRule="auto"/>
              <w:ind w:firstLine="420" w:firstLineChars="200"/>
            </w:pPr>
            <w:r>
              <w:rPr>
                <w:szCs w:val="21"/>
              </w:rPr>
              <w:t>本项目主要原辅材料及能源消耗见下表2-4。</w:t>
            </w:r>
          </w:p>
          <w:p>
            <w:pPr>
              <w:jc w:val="center"/>
            </w:pPr>
            <w:r>
              <w:rPr>
                <w:b/>
                <w:bCs/>
              </w:rPr>
              <w:t>表2-4  主要原辅材料及能源消耗一览表</w:t>
            </w:r>
          </w:p>
          <w:tbl>
            <w:tblPr>
              <w:tblStyle w:val="4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5"/>
              <w:gridCol w:w="982"/>
              <w:gridCol w:w="367"/>
              <w:gridCol w:w="1004"/>
              <w:gridCol w:w="211"/>
              <w:gridCol w:w="714"/>
              <w:gridCol w:w="830"/>
              <w:gridCol w:w="174"/>
              <w:gridCol w:w="1378"/>
              <w:gridCol w:w="85"/>
              <w:gridCol w:w="14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754" w:type="dxa"/>
                  <w:gridSpan w:val="11"/>
                </w:tcPr>
                <w:p>
                  <w:pPr>
                    <w:widowControl/>
                    <w:jc w:val="center"/>
                    <w:rPr>
                      <w:szCs w:val="21"/>
                    </w:rPr>
                  </w:pPr>
                  <w:r>
                    <w:rPr>
                      <w:b/>
                      <w:bCs/>
                      <w:szCs w:val="21"/>
                    </w:rPr>
                    <w:t>原辅材料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575" w:type="dxa"/>
                </w:tcPr>
                <w:p>
                  <w:pPr>
                    <w:pStyle w:val="161"/>
                    <w:spacing w:line="240" w:lineRule="auto"/>
                    <w:rPr>
                      <w:rFonts w:ascii="Times New Roman"/>
                    </w:rPr>
                  </w:pPr>
                  <w:r>
                    <w:rPr>
                      <w:rFonts w:ascii="Times New Roman"/>
                    </w:rPr>
                    <w:t>序号</w:t>
                  </w:r>
                </w:p>
              </w:tc>
              <w:tc>
                <w:tcPr>
                  <w:tcW w:w="1349" w:type="dxa"/>
                  <w:gridSpan w:val="2"/>
                </w:tcPr>
                <w:p>
                  <w:pPr>
                    <w:pStyle w:val="161"/>
                    <w:spacing w:line="240" w:lineRule="auto"/>
                    <w:rPr>
                      <w:rFonts w:ascii="Times New Roman"/>
                    </w:rPr>
                  </w:pPr>
                  <w:r>
                    <w:rPr>
                      <w:rFonts w:ascii="Times New Roman"/>
                    </w:rPr>
                    <w:t>名称</w:t>
                  </w:r>
                </w:p>
              </w:tc>
              <w:tc>
                <w:tcPr>
                  <w:tcW w:w="1004" w:type="dxa"/>
                </w:tcPr>
                <w:p>
                  <w:pPr>
                    <w:pStyle w:val="161"/>
                    <w:spacing w:line="240" w:lineRule="auto"/>
                    <w:rPr>
                      <w:rFonts w:ascii="Times New Roman"/>
                    </w:rPr>
                  </w:pPr>
                  <w:r>
                    <w:rPr>
                      <w:rFonts w:ascii="Times New Roman"/>
                    </w:rPr>
                    <w:t>使用量</w:t>
                  </w:r>
                </w:p>
              </w:tc>
              <w:tc>
                <w:tcPr>
                  <w:tcW w:w="925" w:type="dxa"/>
                  <w:gridSpan w:val="2"/>
                </w:tcPr>
                <w:p>
                  <w:pPr>
                    <w:pStyle w:val="161"/>
                    <w:spacing w:line="240" w:lineRule="auto"/>
                    <w:rPr>
                      <w:rFonts w:ascii="Times New Roman"/>
                    </w:rPr>
                  </w:pPr>
                  <w:r>
                    <w:rPr>
                      <w:rFonts w:ascii="Times New Roman"/>
                    </w:rPr>
                    <w:t>单位</w:t>
                  </w:r>
                </w:p>
              </w:tc>
              <w:tc>
                <w:tcPr>
                  <w:tcW w:w="1004" w:type="dxa"/>
                  <w:gridSpan w:val="2"/>
                </w:tcPr>
                <w:p>
                  <w:pPr>
                    <w:pStyle w:val="161"/>
                    <w:spacing w:line="240" w:lineRule="auto"/>
                    <w:rPr>
                      <w:rFonts w:ascii="Times New Roman"/>
                    </w:rPr>
                  </w:pPr>
                  <w:r>
                    <w:rPr>
                      <w:rFonts w:ascii="Times New Roman"/>
                    </w:rPr>
                    <w:t>来源</w:t>
                  </w:r>
                </w:p>
              </w:tc>
              <w:tc>
                <w:tcPr>
                  <w:tcW w:w="1463" w:type="dxa"/>
                  <w:gridSpan w:val="2"/>
                </w:tcPr>
                <w:p>
                  <w:pPr>
                    <w:pStyle w:val="161"/>
                    <w:spacing w:line="240" w:lineRule="auto"/>
                    <w:rPr>
                      <w:rFonts w:ascii="Times New Roman"/>
                    </w:rPr>
                  </w:pPr>
                  <w:r>
                    <w:rPr>
                      <w:rFonts w:ascii="Times New Roman"/>
                    </w:rPr>
                    <w:t>包装及储存方式</w:t>
                  </w:r>
                </w:p>
              </w:tc>
              <w:tc>
                <w:tcPr>
                  <w:tcW w:w="1434" w:type="dxa"/>
                </w:tcPr>
                <w:p>
                  <w:pPr>
                    <w:pStyle w:val="161"/>
                    <w:spacing w:line="240" w:lineRule="auto"/>
                    <w:rPr>
                      <w:rFonts w:ascii="Times New Roman"/>
                    </w:rPr>
                  </w:pPr>
                  <w:r>
                    <w:rPr>
                      <w:rFonts w:ascii="Times New Roma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5" w:type="dxa"/>
                </w:tcPr>
                <w:p>
                  <w:pPr>
                    <w:pStyle w:val="161"/>
                    <w:spacing w:line="240" w:lineRule="auto"/>
                    <w:rPr>
                      <w:rFonts w:ascii="Times New Roman"/>
                    </w:rPr>
                  </w:pPr>
                  <w:r>
                    <w:rPr>
                      <w:rFonts w:ascii="Times New Roman"/>
                    </w:rPr>
                    <w:t>1</w:t>
                  </w:r>
                </w:p>
              </w:tc>
              <w:tc>
                <w:tcPr>
                  <w:tcW w:w="1349" w:type="dxa"/>
                  <w:gridSpan w:val="2"/>
                  <w:vAlign w:val="center"/>
                </w:tcPr>
                <w:p>
                  <w:pPr>
                    <w:pStyle w:val="161"/>
                    <w:spacing w:line="240" w:lineRule="auto"/>
                    <w:rPr>
                      <w:rFonts w:ascii="Times New Roman"/>
                    </w:rPr>
                  </w:pPr>
                  <w:r>
                    <w:rPr>
                      <w:rFonts w:ascii="Times New Roman"/>
                    </w:rPr>
                    <w:t>铝矾土</w:t>
                  </w:r>
                </w:p>
              </w:tc>
              <w:tc>
                <w:tcPr>
                  <w:tcW w:w="1004" w:type="dxa"/>
                </w:tcPr>
                <w:p>
                  <w:pPr>
                    <w:pStyle w:val="161"/>
                    <w:spacing w:line="240" w:lineRule="auto"/>
                    <w:rPr>
                      <w:rFonts w:ascii="Times New Roman"/>
                    </w:rPr>
                  </w:pPr>
                  <w:r>
                    <w:rPr>
                      <w:rFonts w:ascii="Times New Roman"/>
                    </w:rPr>
                    <w:t>4000</w:t>
                  </w:r>
                </w:p>
              </w:tc>
              <w:tc>
                <w:tcPr>
                  <w:tcW w:w="925" w:type="dxa"/>
                  <w:gridSpan w:val="2"/>
                </w:tcPr>
                <w:p>
                  <w:pPr>
                    <w:pStyle w:val="161"/>
                    <w:spacing w:line="240" w:lineRule="auto"/>
                    <w:rPr>
                      <w:rFonts w:ascii="Times New Roman"/>
                    </w:rPr>
                  </w:pPr>
                  <w:r>
                    <w:rPr>
                      <w:rFonts w:ascii="Times New Roman"/>
                    </w:rPr>
                    <w:t>t/a</w:t>
                  </w:r>
                </w:p>
              </w:tc>
              <w:tc>
                <w:tcPr>
                  <w:tcW w:w="1004" w:type="dxa"/>
                  <w:gridSpan w:val="2"/>
                </w:tcPr>
                <w:p>
                  <w:pPr>
                    <w:pStyle w:val="161"/>
                    <w:spacing w:line="240" w:lineRule="auto"/>
                    <w:rPr>
                      <w:rFonts w:ascii="Times New Roman"/>
                    </w:rPr>
                  </w:pPr>
                  <w:r>
                    <w:rPr>
                      <w:rFonts w:ascii="Times New Roman"/>
                    </w:rPr>
                    <w:t>外购</w:t>
                  </w:r>
                </w:p>
              </w:tc>
              <w:tc>
                <w:tcPr>
                  <w:tcW w:w="1463" w:type="dxa"/>
                  <w:gridSpan w:val="2"/>
                </w:tcPr>
                <w:p>
                  <w:pPr>
                    <w:pStyle w:val="161"/>
                    <w:spacing w:line="240" w:lineRule="auto"/>
                    <w:rPr>
                      <w:rFonts w:ascii="Times New Roman"/>
                    </w:rPr>
                  </w:pPr>
                  <w:r>
                    <w:rPr>
                      <w:rFonts w:ascii="Times New Roman"/>
                    </w:rPr>
                    <w:t>袋装</w:t>
                  </w:r>
                </w:p>
              </w:tc>
              <w:tc>
                <w:tcPr>
                  <w:tcW w:w="1434" w:type="dxa"/>
                  <w:vAlign w:val="center"/>
                </w:tcPr>
                <w:p>
                  <w:pPr>
                    <w:pStyle w:val="161"/>
                    <w:spacing w:line="240" w:lineRule="auto"/>
                    <w:rPr>
                      <w:rFonts w:ascii="Times New Roman"/>
                    </w:rPr>
                  </w:pPr>
                  <w:r>
                    <w:rPr>
                      <w:rFonts w:ascii="Times New Roman"/>
                    </w:rPr>
                    <w:t>粉末状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75" w:type="dxa"/>
                </w:tcPr>
                <w:p>
                  <w:pPr>
                    <w:pStyle w:val="161"/>
                    <w:spacing w:line="240" w:lineRule="auto"/>
                    <w:rPr>
                      <w:rFonts w:ascii="Times New Roman"/>
                    </w:rPr>
                  </w:pPr>
                  <w:r>
                    <w:rPr>
                      <w:rFonts w:ascii="Times New Roman"/>
                    </w:rPr>
                    <w:t>2</w:t>
                  </w:r>
                </w:p>
              </w:tc>
              <w:tc>
                <w:tcPr>
                  <w:tcW w:w="1349" w:type="dxa"/>
                  <w:gridSpan w:val="2"/>
                  <w:vAlign w:val="center"/>
                </w:tcPr>
                <w:p>
                  <w:pPr>
                    <w:pStyle w:val="161"/>
                    <w:spacing w:line="240" w:lineRule="auto"/>
                    <w:rPr>
                      <w:rFonts w:ascii="Times New Roman"/>
                    </w:rPr>
                  </w:pPr>
                  <w:r>
                    <w:rPr>
                      <w:rFonts w:ascii="Times New Roman"/>
                    </w:rPr>
                    <w:t>液体硫酸铝</w:t>
                  </w:r>
                </w:p>
              </w:tc>
              <w:tc>
                <w:tcPr>
                  <w:tcW w:w="1004" w:type="dxa"/>
                </w:tcPr>
                <w:p>
                  <w:pPr>
                    <w:pStyle w:val="161"/>
                    <w:spacing w:line="240" w:lineRule="auto"/>
                    <w:rPr>
                      <w:rFonts w:ascii="Times New Roman"/>
                    </w:rPr>
                  </w:pPr>
                  <w:r>
                    <w:rPr>
                      <w:rFonts w:hint="eastAsia" w:ascii="Times New Roman"/>
                    </w:rPr>
                    <w:t>6226</w:t>
                  </w:r>
                </w:p>
              </w:tc>
              <w:tc>
                <w:tcPr>
                  <w:tcW w:w="925" w:type="dxa"/>
                  <w:gridSpan w:val="2"/>
                </w:tcPr>
                <w:p>
                  <w:pPr>
                    <w:pStyle w:val="161"/>
                    <w:spacing w:line="240" w:lineRule="auto"/>
                    <w:rPr>
                      <w:rFonts w:ascii="Times New Roman"/>
                    </w:rPr>
                  </w:pPr>
                  <w:r>
                    <w:rPr>
                      <w:rFonts w:ascii="Times New Roman"/>
                    </w:rPr>
                    <w:t>t/a</w:t>
                  </w:r>
                </w:p>
              </w:tc>
              <w:tc>
                <w:tcPr>
                  <w:tcW w:w="1004" w:type="dxa"/>
                  <w:gridSpan w:val="2"/>
                </w:tcPr>
                <w:p>
                  <w:pPr>
                    <w:pStyle w:val="161"/>
                    <w:spacing w:line="240" w:lineRule="auto"/>
                    <w:rPr>
                      <w:rFonts w:ascii="Times New Roman"/>
                    </w:rPr>
                  </w:pPr>
                  <w:r>
                    <w:rPr>
                      <w:rFonts w:ascii="Times New Roman"/>
                    </w:rPr>
                    <w:t>外购</w:t>
                  </w:r>
                </w:p>
              </w:tc>
              <w:tc>
                <w:tcPr>
                  <w:tcW w:w="1463" w:type="dxa"/>
                  <w:gridSpan w:val="2"/>
                </w:tcPr>
                <w:p>
                  <w:pPr>
                    <w:pStyle w:val="161"/>
                    <w:spacing w:line="240" w:lineRule="auto"/>
                    <w:rPr>
                      <w:rFonts w:ascii="Times New Roman"/>
                    </w:rPr>
                  </w:pPr>
                  <w:r>
                    <w:rPr>
                      <w:rFonts w:ascii="Times New Roman"/>
                    </w:rPr>
                    <w:t>罐装</w:t>
                  </w:r>
                </w:p>
              </w:tc>
              <w:tc>
                <w:tcPr>
                  <w:tcW w:w="1434" w:type="dxa"/>
                  <w:vAlign w:val="center"/>
                </w:tcPr>
                <w:p>
                  <w:pPr>
                    <w:pStyle w:val="161"/>
                    <w:spacing w:line="240" w:lineRule="auto"/>
                    <w:rPr>
                      <w:rFonts w:ascii="Times New Roman"/>
                    </w:rPr>
                  </w:pPr>
                  <w:r>
                    <w:rPr>
                      <w:rFonts w:ascii="Times New Roman"/>
                    </w:rPr>
                    <w:t>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5" w:type="dxa"/>
                </w:tcPr>
                <w:p>
                  <w:pPr>
                    <w:pStyle w:val="161"/>
                    <w:spacing w:line="240" w:lineRule="auto"/>
                    <w:rPr>
                      <w:rFonts w:ascii="Times New Roman"/>
                    </w:rPr>
                  </w:pPr>
                  <w:r>
                    <w:rPr>
                      <w:rFonts w:ascii="Times New Roman"/>
                    </w:rPr>
                    <w:t>3</w:t>
                  </w:r>
                </w:p>
              </w:tc>
              <w:tc>
                <w:tcPr>
                  <w:tcW w:w="1349" w:type="dxa"/>
                  <w:gridSpan w:val="2"/>
                  <w:vAlign w:val="center"/>
                </w:tcPr>
                <w:p>
                  <w:pPr>
                    <w:pStyle w:val="161"/>
                    <w:spacing w:line="240" w:lineRule="auto"/>
                    <w:rPr>
                      <w:rFonts w:ascii="Times New Roman"/>
                    </w:rPr>
                  </w:pPr>
                  <w:r>
                    <w:rPr>
                      <w:rFonts w:ascii="Times New Roman"/>
                    </w:rPr>
                    <w:t>硅铁粉</w:t>
                  </w:r>
                </w:p>
              </w:tc>
              <w:tc>
                <w:tcPr>
                  <w:tcW w:w="1004" w:type="dxa"/>
                </w:tcPr>
                <w:p>
                  <w:pPr>
                    <w:pStyle w:val="161"/>
                    <w:spacing w:line="240" w:lineRule="auto"/>
                    <w:rPr>
                      <w:rFonts w:ascii="Times New Roman"/>
                    </w:rPr>
                  </w:pPr>
                  <w:r>
                    <w:rPr>
                      <w:rFonts w:ascii="Times New Roman"/>
                    </w:rPr>
                    <w:t>13000</w:t>
                  </w:r>
                </w:p>
              </w:tc>
              <w:tc>
                <w:tcPr>
                  <w:tcW w:w="925" w:type="dxa"/>
                  <w:gridSpan w:val="2"/>
                </w:tcPr>
                <w:p>
                  <w:pPr>
                    <w:pStyle w:val="161"/>
                    <w:spacing w:line="240" w:lineRule="auto"/>
                    <w:rPr>
                      <w:rFonts w:ascii="Times New Roman"/>
                    </w:rPr>
                  </w:pPr>
                  <w:r>
                    <w:rPr>
                      <w:rFonts w:ascii="Times New Roman"/>
                    </w:rPr>
                    <w:t>t/a</w:t>
                  </w:r>
                </w:p>
              </w:tc>
              <w:tc>
                <w:tcPr>
                  <w:tcW w:w="1004" w:type="dxa"/>
                  <w:gridSpan w:val="2"/>
                </w:tcPr>
                <w:p>
                  <w:pPr>
                    <w:pStyle w:val="161"/>
                    <w:spacing w:line="240" w:lineRule="auto"/>
                    <w:rPr>
                      <w:rFonts w:ascii="Times New Roman"/>
                    </w:rPr>
                  </w:pPr>
                  <w:r>
                    <w:rPr>
                      <w:rFonts w:ascii="Times New Roman"/>
                    </w:rPr>
                    <w:t>外购</w:t>
                  </w:r>
                </w:p>
              </w:tc>
              <w:tc>
                <w:tcPr>
                  <w:tcW w:w="1463" w:type="dxa"/>
                  <w:gridSpan w:val="2"/>
                </w:tcPr>
                <w:p>
                  <w:pPr>
                    <w:pStyle w:val="161"/>
                    <w:spacing w:line="240" w:lineRule="auto"/>
                    <w:rPr>
                      <w:rFonts w:ascii="Times New Roman"/>
                    </w:rPr>
                  </w:pPr>
                  <w:r>
                    <w:rPr>
                      <w:rFonts w:ascii="Times New Roman"/>
                    </w:rPr>
                    <w:t>散装</w:t>
                  </w:r>
                </w:p>
              </w:tc>
              <w:tc>
                <w:tcPr>
                  <w:tcW w:w="1434" w:type="dxa"/>
                  <w:vAlign w:val="center"/>
                </w:tcPr>
                <w:p>
                  <w:pPr>
                    <w:pStyle w:val="161"/>
                    <w:spacing w:line="240" w:lineRule="auto"/>
                    <w:rPr>
                      <w:rFonts w:ascii="Times New Roman"/>
                    </w:rPr>
                  </w:pPr>
                  <w:r>
                    <w:rPr>
                      <w:rFonts w:ascii="Times New Roman"/>
                    </w:rPr>
                    <w:t>粉末状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4" w:type="dxa"/>
                  <w:gridSpan w:val="11"/>
                </w:tcPr>
                <w:p>
                  <w:pPr>
                    <w:widowControl/>
                    <w:ind w:firstLine="422"/>
                    <w:jc w:val="center"/>
                    <w:rPr>
                      <w:szCs w:val="21"/>
                    </w:rPr>
                  </w:pPr>
                  <w:r>
                    <w:rPr>
                      <w:szCs w:val="21"/>
                    </w:rPr>
                    <w:t>注：上述原辅材料均不属于危险化学品。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7754" w:type="dxa"/>
                  <w:gridSpan w:val="11"/>
                </w:tcPr>
                <w:p>
                  <w:pPr>
                    <w:widowControl/>
                    <w:jc w:val="center"/>
                    <w:rPr>
                      <w:szCs w:val="21"/>
                    </w:rPr>
                  </w:pPr>
                  <w:r>
                    <w:rPr>
                      <w:b/>
                      <w:bCs/>
                      <w:szCs w:val="21"/>
                    </w:rPr>
                    <w:t>能源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7" w:type="dxa"/>
                  <w:gridSpan w:val="2"/>
                </w:tcPr>
                <w:p>
                  <w:pPr>
                    <w:pStyle w:val="161"/>
                    <w:spacing w:line="240" w:lineRule="auto"/>
                    <w:rPr>
                      <w:rFonts w:ascii="Times New Roman"/>
                    </w:rPr>
                  </w:pPr>
                  <w:r>
                    <w:rPr>
                      <w:rFonts w:ascii="Times New Roman"/>
                    </w:rPr>
                    <w:t>序号</w:t>
                  </w:r>
                </w:p>
              </w:tc>
              <w:tc>
                <w:tcPr>
                  <w:tcW w:w="1582" w:type="dxa"/>
                  <w:gridSpan w:val="3"/>
                </w:tcPr>
                <w:p>
                  <w:pPr>
                    <w:pStyle w:val="161"/>
                    <w:spacing w:line="240" w:lineRule="auto"/>
                    <w:rPr>
                      <w:rFonts w:ascii="Times New Roman"/>
                    </w:rPr>
                  </w:pPr>
                  <w:r>
                    <w:rPr>
                      <w:rFonts w:ascii="Times New Roman"/>
                    </w:rPr>
                    <w:t>名称</w:t>
                  </w:r>
                </w:p>
              </w:tc>
              <w:tc>
                <w:tcPr>
                  <w:tcW w:w="1544" w:type="dxa"/>
                  <w:gridSpan w:val="2"/>
                </w:tcPr>
                <w:p>
                  <w:pPr>
                    <w:pStyle w:val="161"/>
                    <w:spacing w:line="240" w:lineRule="auto"/>
                    <w:rPr>
                      <w:rFonts w:ascii="Times New Roman"/>
                    </w:rPr>
                  </w:pPr>
                  <w:r>
                    <w:rPr>
                      <w:rFonts w:ascii="Times New Roman"/>
                    </w:rPr>
                    <w:t>用量</w:t>
                  </w:r>
                </w:p>
              </w:tc>
              <w:tc>
                <w:tcPr>
                  <w:tcW w:w="1552" w:type="dxa"/>
                  <w:gridSpan w:val="2"/>
                </w:tcPr>
                <w:p>
                  <w:pPr>
                    <w:pStyle w:val="161"/>
                    <w:spacing w:line="240" w:lineRule="auto"/>
                    <w:rPr>
                      <w:rFonts w:ascii="Times New Roman"/>
                    </w:rPr>
                  </w:pPr>
                  <w:r>
                    <w:rPr>
                      <w:rFonts w:ascii="Times New Roman"/>
                    </w:rPr>
                    <w:t>单位</w:t>
                  </w:r>
                </w:p>
              </w:tc>
              <w:tc>
                <w:tcPr>
                  <w:tcW w:w="1519" w:type="dxa"/>
                  <w:gridSpan w:val="2"/>
                </w:tcPr>
                <w:p>
                  <w:pPr>
                    <w:pStyle w:val="161"/>
                    <w:spacing w:line="240" w:lineRule="auto"/>
                    <w:rPr>
                      <w:rFonts w:ascii="Times New Roman"/>
                    </w:rPr>
                  </w:pPr>
                  <w:r>
                    <w:rPr>
                      <w:rFonts w:ascii="Times New Roma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7" w:type="dxa"/>
                  <w:gridSpan w:val="2"/>
                </w:tcPr>
                <w:p>
                  <w:pPr>
                    <w:pStyle w:val="161"/>
                    <w:spacing w:line="240" w:lineRule="auto"/>
                    <w:rPr>
                      <w:rFonts w:ascii="Times New Roman"/>
                    </w:rPr>
                  </w:pPr>
                  <w:r>
                    <w:rPr>
                      <w:rFonts w:ascii="Times New Roman"/>
                    </w:rPr>
                    <w:t>1</w:t>
                  </w:r>
                </w:p>
              </w:tc>
              <w:tc>
                <w:tcPr>
                  <w:tcW w:w="1582" w:type="dxa"/>
                  <w:gridSpan w:val="3"/>
                </w:tcPr>
                <w:p>
                  <w:pPr>
                    <w:pStyle w:val="161"/>
                    <w:spacing w:line="240" w:lineRule="auto"/>
                    <w:rPr>
                      <w:rFonts w:ascii="Times New Roman"/>
                      <w:color w:val="0000FF"/>
                    </w:rPr>
                  </w:pPr>
                  <w:r>
                    <w:rPr>
                      <w:rFonts w:ascii="Times New Roman"/>
                      <w:color w:val="0000FF"/>
                    </w:rPr>
                    <w:t>水</w:t>
                  </w:r>
                </w:p>
              </w:tc>
              <w:tc>
                <w:tcPr>
                  <w:tcW w:w="1544" w:type="dxa"/>
                  <w:gridSpan w:val="2"/>
                </w:tcPr>
                <w:p>
                  <w:pPr>
                    <w:pStyle w:val="161"/>
                    <w:spacing w:line="240" w:lineRule="auto"/>
                    <w:rPr>
                      <w:rFonts w:ascii="Times New Roman"/>
                      <w:color w:val="0000FF"/>
                    </w:rPr>
                  </w:pPr>
                  <w:r>
                    <w:rPr>
                      <w:rFonts w:hint="eastAsia" w:ascii="Times New Roman"/>
                      <w:color w:val="0000FF"/>
                    </w:rPr>
                    <w:t>5567</w:t>
                  </w:r>
                </w:p>
              </w:tc>
              <w:tc>
                <w:tcPr>
                  <w:tcW w:w="1552" w:type="dxa"/>
                  <w:gridSpan w:val="2"/>
                </w:tcPr>
                <w:p>
                  <w:pPr>
                    <w:pStyle w:val="161"/>
                    <w:spacing w:line="240" w:lineRule="auto"/>
                    <w:rPr>
                      <w:rFonts w:ascii="Times New Roman"/>
                      <w:color w:val="0000FF"/>
                    </w:rPr>
                  </w:pPr>
                  <w:r>
                    <w:rPr>
                      <w:rFonts w:hint="eastAsia" w:ascii="Times New Roman"/>
                      <w:color w:val="0000FF"/>
                    </w:rPr>
                    <w:t>m</w:t>
                  </w:r>
                  <w:r>
                    <w:rPr>
                      <w:rFonts w:hint="eastAsia" w:ascii="Times New Roman"/>
                      <w:color w:val="0000FF"/>
                      <w:vertAlign w:val="superscript"/>
                    </w:rPr>
                    <w:t>3</w:t>
                  </w:r>
                  <w:r>
                    <w:rPr>
                      <w:rFonts w:hint="eastAsia" w:ascii="Times New Roman"/>
                      <w:color w:val="0000FF"/>
                    </w:rPr>
                    <w:t>/a</w:t>
                  </w:r>
                </w:p>
              </w:tc>
              <w:tc>
                <w:tcPr>
                  <w:tcW w:w="1519" w:type="dxa"/>
                  <w:gridSpan w:val="2"/>
                </w:tcPr>
                <w:p>
                  <w:pPr>
                    <w:pStyle w:val="161"/>
                    <w:spacing w:line="240" w:lineRule="auto"/>
                    <w:rPr>
                      <w:rFonts w:ascii="Times New Roman"/>
                      <w:color w:val="0000FF"/>
                    </w:rPr>
                  </w:pPr>
                  <w:r>
                    <w:rPr>
                      <w:rFonts w:ascii="Times New Roman"/>
                      <w:color w:val="0000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7" w:type="dxa"/>
                  <w:gridSpan w:val="2"/>
                </w:tcPr>
                <w:p>
                  <w:pPr>
                    <w:pStyle w:val="161"/>
                    <w:spacing w:line="240" w:lineRule="auto"/>
                    <w:rPr>
                      <w:rFonts w:ascii="Times New Roman"/>
                    </w:rPr>
                  </w:pPr>
                  <w:r>
                    <w:rPr>
                      <w:rFonts w:ascii="Times New Roman"/>
                    </w:rPr>
                    <w:t>2</w:t>
                  </w:r>
                </w:p>
              </w:tc>
              <w:tc>
                <w:tcPr>
                  <w:tcW w:w="1582" w:type="dxa"/>
                  <w:gridSpan w:val="3"/>
                </w:tcPr>
                <w:p>
                  <w:pPr>
                    <w:pStyle w:val="161"/>
                    <w:spacing w:line="240" w:lineRule="auto"/>
                    <w:rPr>
                      <w:rFonts w:ascii="Times New Roman"/>
                    </w:rPr>
                  </w:pPr>
                  <w:r>
                    <w:rPr>
                      <w:rFonts w:ascii="Times New Roman"/>
                    </w:rPr>
                    <w:t>电</w:t>
                  </w:r>
                </w:p>
              </w:tc>
              <w:tc>
                <w:tcPr>
                  <w:tcW w:w="1544" w:type="dxa"/>
                  <w:gridSpan w:val="2"/>
                </w:tcPr>
                <w:p>
                  <w:pPr>
                    <w:pStyle w:val="161"/>
                    <w:spacing w:line="240" w:lineRule="auto"/>
                    <w:rPr>
                      <w:rFonts w:ascii="Times New Roman"/>
                    </w:rPr>
                  </w:pPr>
                  <w:r>
                    <w:rPr>
                      <w:rFonts w:ascii="Times New Roman"/>
                    </w:rPr>
                    <w:t>45</w:t>
                  </w:r>
                </w:p>
              </w:tc>
              <w:tc>
                <w:tcPr>
                  <w:tcW w:w="1552" w:type="dxa"/>
                  <w:gridSpan w:val="2"/>
                </w:tcPr>
                <w:p>
                  <w:pPr>
                    <w:pStyle w:val="161"/>
                    <w:spacing w:line="240" w:lineRule="auto"/>
                    <w:rPr>
                      <w:rFonts w:ascii="Times New Roman"/>
                    </w:rPr>
                  </w:pPr>
                  <w:r>
                    <w:rPr>
                      <w:rFonts w:ascii="Times New Roman"/>
                    </w:rPr>
                    <w:t>万kwh/a</w:t>
                  </w:r>
                </w:p>
              </w:tc>
              <w:tc>
                <w:tcPr>
                  <w:tcW w:w="1519" w:type="dxa"/>
                  <w:gridSpan w:val="2"/>
                </w:tcPr>
                <w:p>
                  <w:pPr>
                    <w:pStyle w:val="161"/>
                    <w:spacing w:line="240" w:lineRule="auto"/>
                    <w:rPr>
                      <w:rFonts w:ascii="Times New Roman"/>
                    </w:rPr>
                  </w:pPr>
                  <w:r>
                    <w:rPr>
                      <w:rFonts w:ascii="Times New Roman"/>
                    </w:rPr>
                    <w:t>/</w:t>
                  </w:r>
                </w:p>
              </w:tc>
            </w:tr>
          </w:tbl>
          <w:p>
            <w:pPr>
              <w:spacing w:line="360" w:lineRule="auto"/>
              <w:ind w:firstLine="420" w:firstLineChars="200"/>
              <w:jc w:val="left"/>
              <w:rPr>
                <w:szCs w:val="21"/>
              </w:rPr>
            </w:pPr>
            <w:r>
              <w:rPr>
                <w:szCs w:val="21"/>
              </w:rPr>
              <w:t>铝矾土：又称矾土或铝土矿，分为：生铝矾土、熟铝矾土，也可分为转炉矾土，竖窑矾土，倒焰窑矾土，根据颗粒可以分为骨料和粉料两种。主要成分是氧化铝，系含有杂质的水合氧化铝，是一种土状矿物。白色或灰白色，因含铁而呈褐黄或浅红色。密度3.9～4g/cm</w:t>
            </w:r>
            <w:r>
              <w:rPr>
                <w:szCs w:val="21"/>
                <w:vertAlign w:val="superscript"/>
              </w:rPr>
              <w:t>3</w:t>
            </w:r>
            <w:r>
              <w:rPr>
                <w:szCs w:val="21"/>
              </w:rPr>
              <w:t>，硬度1～3，不透明，质脆。极难熔化。不溶于水，能溶于硫酸、氢氧化钠溶液。铝矾土主要用于焊条、焊剂、炼铝工业、精密铸造、耐火制品、硅酸铝耐火纤维、矾土水泥等。</w:t>
            </w:r>
          </w:p>
          <w:p>
            <w:pPr>
              <w:spacing w:line="360" w:lineRule="auto"/>
              <w:ind w:firstLine="420" w:firstLineChars="200"/>
              <w:jc w:val="left"/>
              <w:rPr>
                <w:szCs w:val="21"/>
              </w:rPr>
            </w:pPr>
            <w:r>
              <w:rPr>
                <w:szCs w:val="21"/>
              </w:rPr>
              <w:t>液体硫酸铝：分子式 为Al</w:t>
            </w:r>
            <w:r>
              <w:rPr>
                <w:szCs w:val="21"/>
                <w:vertAlign w:val="subscript"/>
              </w:rPr>
              <w:t>2</w:t>
            </w:r>
            <w:r>
              <w:rPr>
                <w:szCs w:val="21"/>
              </w:rPr>
              <w:t>(SO</w:t>
            </w:r>
            <w:r>
              <w:rPr>
                <w:szCs w:val="21"/>
                <w:vertAlign w:val="subscript"/>
              </w:rPr>
              <w:t>4</w:t>
            </w:r>
            <w:r>
              <w:rPr>
                <w:szCs w:val="21"/>
              </w:rPr>
              <w:t>)</w:t>
            </w:r>
            <w:r>
              <w:rPr>
                <w:szCs w:val="21"/>
                <w:vertAlign w:val="subscript"/>
              </w:rPr>
              <w:t>3</w:t>
            </w:r>
            <w:r>
              <w:rPr>
                <w:szCs w:val="21"/>
                <w:vertAlign w:val="subscript"/>
              </w:rPr>
              <w:sym w:font="Wingdings" w:char="009F"/>
            </w:r>
            <w:r>
              <w:rPr>
                <w:szCs w:val="21"/>
              </w:rPr>
              <w:t>xH</w:t>
            </w:r>
            <w:r>
              <w:rPr>
                <w:szCs w:val="21"/>
                <w:vertAlign w:val="subscript"/>
              </w:rPr>
              <w:t>2</w:t>
            </w:r>
            <w:r>
              <w:rPr>
                <w:szCs w:val="21"/>
              </w:rPr>
              <w:t>O，相对分子量为666.41，</w:t>
            </w:r>
            <w:r>
              <w:rPr>
                <w:rFonts w:hint="eastAsia"/>
                <w:szCs w:val="21"/>
              </w:rPr>
              <w:t>pH 为3.1，</w:t>
            </w:r>
            <w:r>
              <w:rPr>
                <w:szCs w:val="21"/>
              </w:rPr>
              <w:t>液体产品为无色透明至淡绿色或淡黄色，主要用于净水和造纸。</w:t>
            </w:r>
            <w:r>
              <w:rPr>
                <w:rFonts w:hint="eastAsia"/>
                <w:szCs w:val="21"/>
              </w:rPr>
              <w:t>本项目原料中硫酸铝的含量约为2</w:t>
            </w:r>
            <w:r>
              <w:rPr>
                <w:szCs w:val="21"/>
              </w:rPr>
              <w:t>6.17%</w:t>
            </w:r>
            <w:r>
              <w:rPr>
                <w:rFonts w:hint="eastAsia"/>
                <w:szCs w:val="21"/>
              </w:rPr>
              <w:t>、铁含量0.003%、水不溶物含量0.02%、</w:t>
            </w:r>
            <w:r>
              <w:rPr>
                <w:szCs w:val="21"/>
              </w:rPr>
              <w:t>含水率73.8%。</w:t>
            </w:r>
          </w:p>
          <w:p>
            <w:pPr>
              <w:spacing w:line="360" w:lineRule="auto"/>
              <w:ind w:firstLine="420" w:firstLineChars="200"/>
              <w:jc w:val="left"/>
              <w:rPr>
                <w:szCs w:val="21"/>
              </w:rPr>
            </w:pPr>
            <w:r>
              <w:rPr>
                <w:szCs w:val="21"/>
              </w:rPr>
              <w:t>硅铁粉：铁和硅组成的铁合金即为硅铁，硅铁经过磨制成粉状的物质即为硅铁粉。主要用于炼钢、炼铁的脱氧剂。</w:t>
            </w:r>
          </w:p>
          <w:p>
            <w:pPr>
              <w:numPr>
                <w:ilvl w:val="0"/>
                <w:numId w:val="5"/>
              </w:numPr>
              <w:adjustRightInd w:val="0"/>
              <w:snapToGrid w:val="0"/>
              <w:spacing w:line="360" w:lineRule="auto"/>
              <w:ind w:firstLine="422" w:firstLineChars="200"/>
              <w:rPr>
                <w:b/>
                <w:bCs/>
                <w:szCs w:val="21"/>
              </w:rPr>
            </w:pPr>
            <w:r>
              <w:rPr>
                <w:b/>
                <w:bCs/>
                <w:szCs w:val="21"/>
              </w:rPr>
              <w:t>公用工程</w:t>
            </w:r>
          </w:p>
          <w:p>
            <w:pPr>
              <w:keepNext/>
              <w:keepLines/>
              <w:adjustRightInd w:val="0"/>
              <w:snapToGrid w:val="0"/>
              <w:spacing w:line="360" w:lineRule="auto"/>
              <w:ind w:firstLine="420" w:firstLineChars="200"/>
              <w:outlineLvl w:val="2"/>
              <w:rPr>
                <w:bCs/>
                <w:szCs w:val="21"/>
              </w:rPr>
            </w:pPr>
            <w:r>
              <w:rPr>
                <w:bCs/>
                <w:szCs w:val="21"/>
              </w:rPr>
              <w:t>①供水</w:t>
            </w:r>
          </w:p>
          <w:p>
            <w:pPr>
              <w:keepNext/>
              <w:keepLines/>
              <w:adjustRightInd w:val="0"/>
              <w:snapToGrid w:val="0"/>
              <w:spacing w:line="360" w:lineRule="auto"/>
              <w:ind w:firstLine="420" w:firstLineChars="200"/>
              <w:outlineLvl w:val="2"/>
              <w:rPr>
                <w:bCs/>
              </w:rPr>
            </w:pPr>
            <w:r>
              <w:rPr>
                <w:bCs/>
                <w:szCs w:val="21"/>
              </w:rPr>
              <w:t>本项目用水主要包括循环冷却用水和职工生活用水，</w:t>
            </w:r>
            <w:r>
              <w:rPr>
                <w:bCs/>
              </w:rPr>
              <w:t>由淄博市自来水有限责任公司供给。</w:t>
            </w:r>
          </w:p>
          <w:p>
            <w:pPr>
              <w:autoSpaceDE w:val="0"/>
              <w:adjustRightInd w:val="0"/>
              <w:snapToGrid w:val="0"/>
              <w:spacing w:line="360" w:lineRule="auto"/>
              <w:ind w:firstLine="420" w:firstLineChars="200"/>
              <w:textAlignment w:val="baseline"/>
              <w:rPr>
                <w:bCs/>
                <w:color w:val="0000FF"/>
              </w:rPr>
            </w:pPr>
            <w:r>
              <w:t>液体硫酸铝蒸发、结晶的过程中需要循环冷却水，依托厂区现有1座 145m</w:t>
            </w:r>
            <w:r>
              <w:rPr>
                <w:vertAlign w:val="superscript"/>
              </w:rPr>
              <w:t>3</w:t>
            </w:r>
            <w:r>
              <w:t>循环</w:t>
            </w:r>
            <w:r>
              <w:rPr>
                <w:rFonts w:hint="eastAsia"/>
              </w:rPr>
              <w:t>冷却</w:t>
            </w:r>
            <w:r>
              <w:t>水池、40m</w:t>
            </w:r>
            <w:r>
              <w:rPr>
                <w:vertAlign w:val="superscript"/>
              </w:rPr>
              <w:t>3</w:t>
            </w:r>
            <w:r>
              <w:rPr>
                <w:rFonts w:hint="eastAsia"/>
              </w:rPr>
              <w:t>蒸汽冷凝水暂存</w:t>
            </w:r>
            <w:r>
              <w:t>池，循环水设计能力为60m</w:t>
            </w:r>
            <w:r>
              <w:rPr>
                <w:vertAlign w:val="superscript"/>
              </w:rPr>
              <w:t>3</w:t>
            </w:r>
            <w:r>
              <w:t>/h ，拟建项目循环水量约为432000</w:t>
            </w:r>
            <w:r>
              <w:rPr>
                <w:rFonts w:hint="eastAsia"/>
              </w:rPr>
              <w:t>m</w:t>
            </w:r>
            <w:r>
              <w:rPr>
                <w:rFonts w:hint="eastAsia"/>
                <w:vertAlign w:val="superscript"/>
              </w:rPr>
              <w:t>3</w:t>
            </w:r>
            <w:r>
              <w:t>/a，循环冷却水补水按照循环水量的2%计取，则循环水补充水量约为8640</w:t>
            </w:r>
            <w:r>
              <w:rPr>
                <w:rFonts w:hint="eastAsia"/>
              </w:rPr>
              <w:t>m</w:t>
            </w:r>
            <w:r>
              <w:rPr>
                <w:rFonts w:hint="eastAsia"/>
                <w:vertAlign w:val="superscript"/>
              </w:rPr>
              <w:t>3</w:t>
            </w:r>
            <w:r>
              <w:rPr>
                <w:rFonts w:hint="eastAsia"/>
              </w:rPr>
              <w:t>/a</w:t>
            </w:r>
            <w:r>
              <w:t>。由于</w:t>
            </w:r>
            <w:r>
              <w:rPr>
                <w:rFonts w:hint="eastAsia"/>
              </w:rPr>
              <w:t>液体硫酸铝中纯硫酸铝的含量为26.17%，总含水率为73.8%，固体硫酸铝含16个结晶水，结晶水的含量为22.63%，因此</w:t>
            </w:r>
            <w:r>
              <w:t>液体硫酸铝出水量为</w:t>
            </w:r>
            <w:r>
              <w:rPr>
                <w:rFonts w:hint="eastAsia"/>
              </w:rPr>
              <w:t>51.77</w:t>
            </w:r>
            <w:r>
              <w:t>%，</w:t>
            </w:r>
            <w:r>
              <w:rPr>
                <w:color w:val="0000FF"/>
              </w:rPr>
              <w:t>蒸汽冷凝水的产生量为</w:t>
            </w:r>
            <w:r>
              <w:rPr>
                <w:rFonts w:hint="eastAsia"/>
                <w:color w:val="0000FF"/>
              </w:rPr>
              <w:t>3223m</w:t>
            </w:r>
            <w:r>
              <w:rPr>
                <w:rFonts w:hint="eastAsia"/>
                <w:color w:val="0000FF"/>
                <w:vertAlign w:val="superscript"/>
              </w:rPr>
              <w:t>3</w:t>
            </w:r>
            <w:r>
              <w:rPr>
                <w:rFonts w:hint="eastAsia"/>
                <w:color w:val="0000FF"/>
              </w:rPr>
              <w:t>/a。</w:t>
            </w:r>
            <w:r>
              <w:rPr>
                <w:rFonts w:hint="eastAsia"/>
              </w:rPr>
              <w:t>循环水量为1440m</w:t>
            </w:r>
            <w:r>
              <w:rPr>
                <w:rFonts w:hint="eastAsia"/>
                <w:vertAlign w:val="superscript"/>
              </w:rPr>
              <w:t>3</w:t>
            </w:r>
            <w:r>
              <w:rPr>
                <w:rFonts w:hint="eastAsia"/>
              </w:rPr>
              <w:t>/</w:t>
            </w:r>
            <w:r>
              <w:t>d</w:t>
            </w:r>
            <w:r>
              <w:rPr>
                <w:rFonts w:hint="eastAsia"/>
              </w:rPr>
              <w:t>，循环水补充水量为28.8m</w:t>
            </w:r>
            <w:r>
              <w:rPr>
                <w:rFonts w:hint="eastAsia"/>
                <w:vertAlign w:val="superscript"/>
              </w:rPr>
              <w:t>3</w:t>
            </w:r>
            <w:r>
              <w:rPr>
                <w:rFonts w:hint="eastAsia"/>
              </w:rPr>
              <w:t>/</w:t>
            </w:r>
            <w:r>
              <w:t>d</w:t>
            </w:r>
            <w:r>
              <w:rPr>
                <w:rFonts w:hint="eastAsia"/>
                <w:color w:val="0000FF"/>
              </w:rPr>
              <w:t>，</w:t>
            </w:r>
            <w:r>
              <w:rPr>
                <w:color w:val="0000FF"/>
              </w:rPr>
              <w:t>蒸汽冷凝水的产生量为</w:t>
            </w:r>
            <w:r>
              <w:rPr>
                <w:rFonts w:hint="eastAsia"/>
                <w:color w:val="0000FF"/>
              </w:rPr>
              <w:t>10.74m</w:t>
            </w:r>
            <w:r>
              <w:rPr>
                <w:rFonts w:hint="eastAsia"/>
                <w:color w:val="0000FF"/>
                <w:vertAlign w:val="superscript"/>
              </w:rPr>
              <w:t>3</w:t>
            </w:r>
            <w:r>
              <w:rPr>
                <w:rFonts w:hint="eastAsia"/>
                <w:color w:val="0000FF"/>
              </w:rPr>
              <w:t>/</w:t>
            </w:r>
            <w:r>
              <w:rPr>
                <w:color w:val="0000FF"/>
              </w:rPr>
              <w:t>d</w:t>
            </w:r>
            <w:r>
              <w:rPr>
                <w:rFonts w:hint="eastAsia"/>
                <w:color w:val="0000FF"/>
              </w:rPr>
              <w:t>，由于蒸汽冷凝水较为干净，可</w:t>
            </w:r>
            <w:r>
              <w:rPr>
                <w:color w:val="0000FF"/>
              </w:rPr>
              <w:t>全部作补充水回用，采用新鲜水</w:t>
            </w:r>
            <w:r>
              <w:rPr>
                <w:rFonts w:hint="eastAsia"/>
                <w:color w:val="0000FF"/>
              </w:rPr>
              <w:t>5417m</w:t>
            </w:r>
            <w:r>
              <w:rPr>
                <w:rFonts w:hint="eastAsia"/>
                <w:color w:val="0000FF"/>
                <w:vertAlign w:val="superscript"/>
              </w:rPr>
              <w:t>3</w:t>
            </w:r>
            <w:r>
              <w:rPr>
                <w:rFonts w:hint="eastAsia"/>
                <w:color w:val="0000FF"/>
              </w:rPr>
              <w:t>/a</w:t>
            </w:r>
            <w:r>
              <w:rPr>
                <w:color w:val="0000FF"/>
              </w:rPr>
              <w:t>。</w:t>
            </w:r>
          </w:p>
          <w:p>
            <w:pPr>
              <w:keepNext/>
              <w:keepLines/>
              <w:adjustRightInd w:val="0"/>
              <w:snapToGrid w:val="0"/>
              <w:spacing w:line="360" w:lineRule="auto"/>
              <w:ind w:firstLine="420" w:firstLineChars="200"/>
              <w:outlineLvl w:val="2"/>
              <w:rPr>
                <w:bCs/>
                <w:szCs w:val="21"/>
              </w:rPr>
            </w:pPr>
            <w:r>
              <w:rPr>
                <w:bCs/>
                <w:szCs w:val="21"/>
              </w:rPr>
              <w:t>生活用水：本项目劳动定员10人，根据《建筑给水排水设计标准》（GB50015-2019），工业企业建筑管理人员及车间工人的生活用水定额30~50L/人•班，项目职工生活用水量按照50L/人•天计，每年工作300天，则职工生活用水量为150</w:t>
            </w:r>
            <w:r>
              <w:rPr>
                <w:rFonts w:hint="eastAsia"/>
              </w:rPr>
              <w:t>m</w:t>
            </w:r>
            <w:r>
              <w:rPr>
                <w:rFonts w:hint="eastAsia"/>
                <w:vertAlign w:val="superscript"/>
              </w:rPr>
              <w:t>3</w:t>
            </w:r>
            <w:r>
              <w:rPr>
                <w:rFonts w:hint="eastAsia"/>
              </w:rPr>
              <w:t>/a</w:t>
            </w:r>
            <w:r>
              <w:rPr>
                <w:bCs/>
                <w:szCs w:val="21"/>
              </w:rPr>
              <w:t>。</w:t>
            </w:r>
          </w:p>
          <w:p>
            <w:pPr>
              <w:keepNext/>
              <w:keepLines/>
              <w:adjustRightInd w:val="0"/>
              <w:snapToGrid w:val="0"/>
              <w:spacing w:line="360" w:lineRule="auto"/>
              <w:ind w:firstLine="420" w:firstLineChars="200"/>
              <w:outlineLvl w:val="2"/>
              <w:rPr>
                <w:bCs/>
                <w:color w:val="0000FF"/>
                <w:szCs w:val="21"/>
              </w:rPr>
            </w:pPr>
            <w:r>
              <w:rPr>
                <w:bCs/>
                <w:color w:val="0000FF"/>
                <w:szCs w:val="21"/>
              </w:rPr>
              <w:t>新鲜水总用量为</w:t>
            </w:r>
            <w:r>
              <w:rPr>
                <w:rFonts w:hint="eastAsia"/>
                <w:bCs/>
                <w:color w:val="0000FF"/>
                <w:szCs w:val="21"/>
              </w:rPr>
              <w:t>5567</w:t>
            </w:r>
            <w:r>
              <w:rPr>
                <w:rFonts w:hint="eastAsia"/>
                <w:color w:val="0000FF"/>
              </w:rPr>
              <w:t>m</w:t>
            </w:r>
            <w:r>
              <w:rPr>
                <w:rFonts w:hint="eastAsia"/>
                <w:color w:val="0000FF"/>
                <w:vertAlign w:val="superscript"/>
              </w:rPr>
              <w:t>3</w:t>
            </w:r>
            <w:r>
              <w:rPr>
                <w:rFonts w:hint="eastAsia"/>
                <w:color w:val="0000FF"/>
              </w:rPr>
              <w:t>/a</w:t>
            </w:r>
            <w:r>
              <w:rPr>
                <w:bCs/>
                <w:color w:val="0000FF"/>
                <w:szCs w:val="21"/>
              </w:rPr>
              <w:t>。</w:t>
            </w:r>
          </w:p>
          <w:p>
            <w:pPr>
              <w:keepNext/>
              <w:keepLines/>
              <w:adjustRightInd w:val="0"/>
              <w:snapToGrid w:val="0"/>
              <w:spacing w:line="360" w:lineRule="auto"/>
              <w:ind w:firstLine="420" w:firstLineChars="200"/>
              <w:outlineLvl w:val="2"/>
              <w:rPr>
                <w:bCs/>
                <w:szCs w:val="21"/>
              </w:rPr>
            </w:pPr>
            <w:r>
              <w:rPr>
                <w:bCs/>
                <w:szCs w:val="21"/>
              </w:rPr>
              <w:t>②排水</w:t>
            </w:r>
          </w:p>
          <w:p>
            <w:pPr>
              <w:keepNext/>
              <w:keepLines/>
              <w:adjustRightInd w:val="0"/>
              <w:snapToGrid w:val="0"/>
              <w:spacing w:line="360" w:lineRule="auto"/>
              <w:ind w:firstLine="420" w:firstLineChars="200"/>
              <w:outlineLvl w:val="2"/>
              <w:rPr>
                <w:bCs/>
                <w:szCs w:val="21"/>
              </w:rPr>
            </w:pPr>
            <w:r>
              <w:rPr>
                <w:bCs/>
                <w:szCs w:val="21"/>
              </w:rPr>
              <w:t>本项目排水采用雨水、污水分流制。</w:t>
            </w:r>
          </w:p>
          <w:p>
            <w:pPr>
              <w:keepNext/>
              <w:keepLines/>
              <w:adjustRightInd w:val="0"/>
              <w:snapToGrid w:val="0"/>
              <w:spacing w:line="360" w:lineRule="auto"/>
              <w:ind w:firstLine="420" w:firstLineChars="200"/>
              <w:outlineLvl w:val="2"/>
              <w:rPr>
                <w:bCs/>
                <w:szCs w:val="21"/>
              </w:rPr>
            </w:pPr>
            <w:r>
              <w:rPr>
                <w:bCs/>
                <w:szCs w:val="21"/>
              </w:rPr>
              <w:t>雨水采用厂区内分片汇集，就近排放的原则，经雨水管网汇集后，排入市政雨水管网。</w:t>
            </w:r>
          </w:p>
          <w:p>
            <w:pPr>
              <w:keepNext/>
              <w:keepLines/>
              <w:adjustRightInd w:val="0"/>
              <w:snapToGrid w:val="0"/>
              <w:spacing w:line="360" w:lineRule="auto"/>
              <w:ind w:firstLine="420" w:firstLineChars="200"/>
              <w:outlineLvl w:val="2"/>
              <w:rPr>
                <w:bCs/>
                <w:szCs w:val="21"/>
              </w:rPr>
            </w:pPr>
            <w:r>
              <w:rPr>
                <w:bCs/>
                <w:szCs w:val="21"/>
              </w:rPr>
              <w:t>本项目循环冷却用水全部损耗，不外排；生活污水按生活用水量的80%计，产生量为120</w:t>
            </w:r>
            <w:r>
              <w:rPr>
                <w:rFonts w:hint="eastAsia"/>
              </w:rPr>
              <w:t>m</w:t>
            </w:r>
            <w:r>
              <w:rPr>
                <w:rFonts w:hint="eastAsia"/>
                <w:vertAlign w:val="superscript"/>
              </w:rPr>
              <w:t>3</w:t>
            </w:r>
            <w:r>
              <w:rPr>
                <w:rFonts w:hint="eastAsia"/>
              </w:rPr>
              <w:t>/a</w:t>
            </w:r>
            <w:r>
              <w:rPr>
                <w:bCs/>
                <w:szCs w:val="21"/>
              </w:rPr>
              <w:t>，经化粪池预处理后由环卫部门定期清运，不外排。项目水量平衡如下图所示：</w:t>
            </w:r>
          </w:p>
          <w:p>
            <w:pPr>
              <w:spacing w:line="360" w:lineRule="auto"/>
              <w:rPr>
                <w:sz w:val="24"/>
              </w:rPr>
            </w:pPr>
            <w:r>
              <w:rPr>
                <w:sz w:val="24"/>
              </w:rPr>
              <w:object>
                <v:shape id="_x0000_i1025" o:spt="75" type="#_x0000_t75" style="height:178.5pt;width:339pt;" o:ole="t" filled="f" o:preferrelative="t" stroked="f" coordsize="21600,21600">
                  <v:path/>
                  <v:fill on="f" focussize="0,0"/>
                  <v:stroke on="f" joinstyle="miter"/>
                  <v:imagedata r:id="rId15" o:title=""/>
                  <o:lock v:ext="edit" aspectratio="f"/>
                  <w10:wrap type="none"/>
                  <w10:anchorlock/>
                </v:shape>
                <o:OLEObject Type="Embed" ProgID="Visio.Drawing.11" ShapeID="_x0000_i1025" DrawAspect="Content" ObjectID="_1468075725" r:id="rId14">
                  <o:LockedField>false</o:LockedField>
                </o:OLEObject>
              </w:object>
            </w:r>
          </w:p>
          <w:p>
            <w:pPr>
              <w:adjustRightInd w:val="0"/>
              <w:spacing w:line="360" w:lineRule="auto"/>
              <w:ind w:firstLine="2319" w:firstLineChars="1100"/>
              <w:rPr>
                <w:b/>
                <w:bCs/>
                <w:color w:val="0000FF"/>
                <w:sz w:val="24"/>
              </w:rPr>
            </w:pPr>
            <w:r>
              <w:rPr>
                <w:b/>
                <w:bCs/>
                <w:color w:val="0000FF"/>
              </w:rPr>
              <w:t>图2-1   项目用水平衡图（单位：</w:t>
            </w:r>
            <w:r>
              <w:rPr>
                <w:rFonts w:hint="eastAsia"/>
                <w:b/>
                <w:bCs/>
                <w:color w:val="0000FF"/>
              </w:rPr>
              <w:t>m</w:t>
            </w:r>
            <w:r>
              <w:rPr>
                <w:rFonts w:hint="eastAsia"/>
                <w:b/>
                <w:bCs/>
                <w:color w:val="0000FF"/>
                <w:vertAlign w:val="superscript"/>
              </w:rPr>
              <w:t>3</w:t>
            </w:r>
            <w:r>
              <w:rPr>
                <w:rFonts w:hint="eastAsia"/>
                <w:b/>
                <w:bCs/>
                <w:color w:val="0000FF"/>
              </w:rPr>
              <w:t>/a</w:t>
            </w:r>
            <w:r>
              <w:rPr>
                <w:b/>
                <w:bCs/>
                <w:color w:val="0000FF"/>
              </w:rPr>
              <w:t>）</w:t>
            </w:r>
          </w:p>
          <w:p>
            <w:pPr>
              <w:keepNext/>
              <w:keepLines/>
              <w:adjustRightInd w:val="0"/>
              <w:snapToGrid w:val="0"/>
              <w:spacing w:line="360" w:lineRule="auto"/>
              <w:ind w:firstLine="420" w:firstLineChars="200"/>
              <w:outlineLvl w:val="2"/>
              <w:rPr>
                <w:bCs/>
                <w:szCs w:val="21"/>
              </w:rPr>
            </w:pPr>
            <w:r>
              <w:rPr>
                <w:bCs/>
                <w:szCs w:val="21"/>
              </w:rPr>
              <w:t>③供电</w:t>
            </w:r>
          </w:p>
          <w:p>
            <w:pPr>
              <w:keepNext/>
              <w:keepLines/>
              <w:adjustRightInd w:val="0"/>
              <w:snapToGrid w:val="0"/>
              <w:spacing w:line="360" w:lineRule="auto"/>
              <w:ind w:firstLine="420" w:firstLineChars="200"/>
              <w:outlineLvl w:val="2"/>
              <w:rPr>
                <w:bCs/>
                <w:szCs w:val="21"/>
              </w:rPr>
            </w:pPr>
            <w:r>
              <w:rPr>
                <w:bCs/>
                <w:szCs w:val="21"/>
              </w:rPr>
              <w:t>本项目年用电45万kWh。</w:t>
            </w:r>
          </w:p>
          <w:p>
            <w:pPr>
              <w:keepNext/>
              <w:keepLines/>
              <w:adjustRightInd w:val="0"/>
              <w:snapToGrid w:val="0"/>
              <w:spacing w:line="360" w:lineRule="auto"/>
              <w:ind w:firstLine="420" w:firstLineChars="200"/>
              <w:outlineLvl w:val="2"/>
              <w:rPr>
                <w:bCs/>
                <w:szCs w:val="21"/>
              </w:rPr>
            </w:pPr>
            <w:r>
              <w:rPr>
                <w:bCs/>
                <w:szCs w:val="21"/>
              </w:rPr>
              <w:t>④供热</w:t>
            </w:r>
          </w:p>
          <w:p>
            <w:pPr>
              <w:keepNext/>
              <w:keepLines/>
              <w:adjustRightInd w:val="0"/>
              <w:snapToGrid w:val="0"/>
              <w:spacing w:line="360" w:lineRule="auto"/>
              <w:ind w:firstLine="420" w:firstLineChars="200"/>
              <w:outlineLvl w:val="2"/>
              <w:rPr>
                <w:bCs/>
                <w:szCs w:val="21"/>
              </w:rPr>
            </w:pPr>
            <w:r>
              <w:rPr>
                <w:bCs/>
                <w:szCs w:val="21"/>
              </w:rPr>
              <w:t>本项目生产车间不需供暖，办公室冬季采暖使用空调供暖。</w:t>
            </w:r>
          </w:p>
          <w:p>
            <w:pPr>
              <w:numPr>
                <w:ilvl w:val="0"/>
                <w:numId w:val="5"/>
              </w:numPr>
              <w:adjustRightInd w:val="0"/>
              <w:snapToGrid w:val="0"/>
              <w:spacing w:line="360" w:lineRule="auto"/>
              <w:ind w:firstLine="422" w:firstLineChars="200"/>
              <w:rPr>
                <w:b/>
                <w:bCs/>
                <w:szCs w:val="21"/>
              </w:rPr>
            </w:pPr>
            <w:r>
              <w:rPr>
                <w:b/>
                <w:bCs/>
                <w:szCs w:val="21"/>
              </w:rPr>
              <w:t>劳动定员</w:t>
            </w:r>
          </w:p>
          <w:p>
            <w:pPr>
              <w:keepNext/>
              <w:keepLines/>
              <w:adjustRightInd w:val="0"/>
              <w:snapToGrid w:val="0"/>
              <w:spacing w:line="360" w:lineRule="auto"/>
              <w:ind w:firstLine="420" w:firstLineChars="200"/>
              <w:outlineLvl w:val="2"/>
              <w:rPr>
                <w:bCs/>
                <w:szCs w:val="21"/>
              </w:rPr>
            </w:pPr>
            <w:r>
              <w:rPr>
                <w:bCs/>
                <w:szCs w:val="21"/>
              </w:rPr>
              <w:t>本项目劳动定员10人，设计工作日为300天，三班制，每班8小时，年工作时间为7200小时。</w:t>
            </w:r>
          </w:p>
          <w:p>
            <w:pPr>
              <w:keepNext/>
              <w:keepLines/>
              <w:adjustRightInd w:val="0"/>
              <w:snapToGrid w:val="0"/>
              <w:spacing w:line="360" w:lineRule="auto"/>
              <w:ind w:firstLine="422" w:firstLineChars="200"/>
              <w:outlineLvl w:val="2"/>
              <w:rPr>
                <w:b/>
                <w:szCs w:val="21"/>
              </w:rPr>
            </w:pPr>
            <w:r>
              <w:rPr>
                <w:b/>
                <w:szCs w:val="21"/>
              </w:rPr>
              <w:t>七、工程环保投资</w:t>
            </w:r>
          </w:p>
          <w:p>
            <w:pPr>
              <w:keepNext/>
              <w:keepLines/>
              <w:adjustRightInd w:val="0"/>
              <w:snapToGrid w:val="0"/>
              <w:spacing w:line="360" w:lineRule="auto"/>
              <w:ind w:firstLine="420" w:firstLineChars="200"/>
              <w:outlineLvl w:val="2"/>
              <w:rPr>
                <w:bCs/>
                <w:szCs w:val="21"/>
              </w:rPr>
            </w:pPr>
            <w:r>
              <w:rPr>
                <w:bCs/>
                <w:szCs w:val="21"/>
              </w:rPr>
              <w:t>本项目总投资2000万元，其中环保投资70万元，具体环保投资情况见表2.5。</w:t>
            </w:r>
          </w:p>
          <w:p>
            <w:pPr>
              <w:ind w:firstLine="407" w:firstLineChars="193"/>
              <w:jc w:val="center"/>
              <w:rPr>
                <w:rFonts w:eastAsia="黑体"/>
                <w:b/>
                <w:bCs/>
                <w:szCs w:val="21"/>
              </w:rPr>
            </w:pPr>
            <w:r>
              <w:rPr>
                <w:b/>
                <w:bCs/>
              </w:rPr>
              <w:t>表2-5  项目环保投资一览表</w:t>
            </w:r>
          </w:p>
          <w:tbl>
            <w:tblPr>
              <w:tblStyle w:val="4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62"/>
              <w:gridCol w:w="1478"/>
              <w:gridCol w:w="3591"/>
              <w:gridCol w:w="14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59" w:type="dxa"/>
                  <w:tcBorders>
                    <w:tl2br w:val="nil"/>
                    <w:tr2bl w:val="nil"/>
                  </w:tcBorders>
                  <w:vAlign w:val="center"/>
                </w:tcPr>
                <w:p>
                  <w:pPr>
                    <w:jc w:val="center"/>
                    <w:rPr>
                      <w:b/>
                      <w:bCs/>
                      <w:szCs w:val="21"/>
                    </w:rPr>
                  </w:pPr>
                  <w:r>
                    <w:rPr>
                      <w:b/>
                      <w:bCs/>
                      <w:szCs w:val="21"/>
                    </w:rPr>
                    <w:t>污染源</w:t>
                  </w:r>
                </w:p>
              </w:tc>
              <w:tc>
                <w:tcPr>
                  <w:tcW w:w="1575" w:type="dxa"/>
                  <w:tcBorders>
                    <w:tl2br w:val="nil"/>
                    <w:tr2bl w:val="nil"/>
                  </w:tcBorders>
                  <w:vAlign w:val="center"/>
                </w:tcPr>
                <w:p>
                  <w:pPr>
                    <w:jc w:val="center"/>
                    <w:rPr>
                      <w:b/>
                      <w:bCs/>
                      <w:szCs w:val="21"/>
                    </w:rPr>
                  </w:pPr>
                  <w:r>
                    <w:rPr>
                      <w:b/>
                      <w:bCs/>
                      <w:szCs w:val="21"/>
                    </w:rPr>
                    <w:t>治理对象</w:t>
                  </w:r>
                </w:p>
              </w:tc>
              <w:tc>
                <w:tcPr>
                  <w:tcW w:w="3933" w:type="dxa"/>
                  <w:tcBorders>
                    <w:tl2br w:val="nil"/>
                    <w:tr2bl w:val="nil"/>
                  </w:tcBorders>
                  <w:vAlign w:val="center"/>
                </w:tcPr>
                <w:p>
                  <w:pPr>
                    <w:jc w:val="center"/>
                    <w:rPr>
                      <w:b/>
                      <w:bCs/>
                      <w:szCs w:val="21"/>
                    </w:rPr>
                  </w:pPr>
                  <w:r>
                    <w:rPr>
                      <w:b/>
                      <w:bCs/>
                      <w:szCs w:val="21"/>
                    </w:rPr>
                    <w:t>主要设施</w:t>
                  </w:r>
                </w:p>
              </w:tc>
              <w:tc>
                <w:tcPr>
                  <w:tcW w:w="1491" w:type="dxa"/>
                  <w:tcBorders>
                    <w:tl2br w:val="nil"/>
                    <w:tr2bl w:val="nil"/>
                  </w:tcBorders>
                  <w:vAlign w:val="center"/>
                </w:tcPr>
                <w:p>
                  <w:pPr>
                    <w:jc w:val="center"/>
                    <w:rPr>
                      <w:b/>
                      <w:bCs/>
                      <w:szCs w:val="21"/>
                    </w:rPr>
                  </w:pPr>
                  <w:r>
                    <w:rPr>
                      <w:b/>
                      <w:bCs/>
                      <w:szCs w:val="21"/>
                    </w:rPr>
                    <w:t>投资（万元）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59" w:type="dxa"/>
                  <w:tcBorders>
                    <w:tl2br w:val="nil"/>
                    <w:tr2bl w:val="nil"/>
                  </w:tcBorders>
                  <w:vAlign w:val="center"/>
                </w:tcPr>
                <w:p>
                  <w:pPr>
                    <w:pStyle w:val="161"/>
                    <w:spacing w:line="240" w:lineRule="auto"/>
                    <w:rPr>
                      <w:rFonts w:ascii="Times New Roman"/>
                    </w:rPr>
                  </w:pPr>
                  <w:r>
                    <w:rPr>
                      <w:rFonts w:ascii="Times New Roman"/>
                    </w:rPr>
                    <w:t>废气</w:t>
                  </w:r>
                </w:p>
              </w:tc>
              <w:tc>
                <w:tcPr>
                  <w:tcW w:w="1575" w:type="dxa"/>
                  <w:tcBorders>
                    <w:tl2br w:val="nil"/>
                    <w:tr2bl w:val="nil"/>
                  </w:tcBorders>
                  <w:vAlign w:val="center"/>
                </w:tcPr>
                <w:p>
                  <w:pPr>
                    <w:pStyle w:val="161"/>
                    <w:spacing w:line="240" w:lineRule="auto"/>
                    <w:rPr>
                      <w:rFonts w:ascii="Times New Roman"/>
                    </w:rPr>
                  </w:pPr>
                  <w:r>
                    <w:rPr>
                      <w:rFonts w:ascii="Times New Roman"/>
                    </w:rPr>
                    <w:t>颗粒物</w:t>
                  </w:r>
                </w:p>
              </w:tc>
              <w:tc>
                <w:tcPr>
                  <w:tcW w:w="3933" w:type="dxa"/>
                  <w:tcBorders>
                    <w:tl2br w:val="nil"/>
                    <w:tr2bl w:val="nil"/>
                  </w:tcBorders>
                  <w:vAlign w:val="center"/>
                </w:tcPr>
                <w:p>
                  <w:pPr>
                    <w:pStyle w:val="161"/>
                    <w:spacing w:line="240" w:lineRule="auto"/>
                    <w:rPr>
                      <w:rFonts w:ascii="Times New Roman"/>
                    </w:rPr>
                  </w:pPr>
                  <w:r>
                    <w:rPr>
                      <w:rFonts w:hint="eastAsia" w:ascii="Times New Roman"/>
                    </w:rPr>
                    <w:t>2台</w:t>
                  </w:r>
                  <w:r>
                    <w:rPr>
                      <w:rFonts w:ascii="Times New Roman"/>
                    </w:rPr>
                    <w:t>布袋除尘器、1根15米排气筒和集气罩</w:t>
                  </w:r>
                </w:p>
              </w:tc>
              <w:tc>
                <w:tcPr>
                  <w:tcW w:w="1491" w:type="dxa"/>
                  <w:tcBorders>
                    <w:tl2br w:val="nil"/>
                    <w:tr2bl w:val="nil"/>
                  </w:tcBorders>
                  <w:vAlign w:val="center"/>
                </w:tcPr>
                <w:p>
                  <w:pPr>
                    <w:pStyle w:val="161"/>
                    <w:spacing w:line="240" w:lineRule="auto"/>
                    <w:rPr>
                      <w:rFonts w:ascii="Times New Roman"/>
                    </w:rPr>
                  </w:pPr>
                  <w:r>
                    <w:rPr>
                      <w:rFonts w:ascii="Times New Roman"/>
                    </w:rPr>
                    <w:t>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59" w:type="dxa"/>
                  <w:tcBorders>
                    <w:tl2br w:val="nil"/>
                    <w:tr2bl w:val="nil"/>
                  </w:tcBorders>
                  <w:vAlign w:val="center"/>
                </w:tcPr>
                <w:p>
                  <w:pPr>
                    <w:pStyle w:val="161"/>
                    <w:spacing w:line="240" w:lineRule="auto"/>
                    <w:rPr>
                      <w:rFonts w:ascii="Times New Roman"/>
                    </w:rPr>
                  </w:pPr>
                  <w:r>
                    <w:rPr>
                      <w:rFonts w:ascii="Times New Roman"/>
                    </w:rPr>
                    <w:t>噪声</w:t>
                  </w:r>
                </w:p>
              </w:tc>
              <w:tc>
                <w:tcPr>
                  <w:tcW w:w="1575" w:type="dxa"/>
                  <w:tcBorders>
                    <w:tl2br w:val="nil"/>
                    <w:tr2bl w:val="nil"/>
                  </w:tcBorders>
                  <w:vAlign w:val="center"/>
                </w:tcPr>
                <w:p>
                  <w:pPr>
                    <w:pStyle w:val="161"/>
                    <w:spacing w:line="240" w:lineRule="auto"/>
                    <w:rPr>
                      <w:rFonts w:ascii="Times New Roman"/>
                    </w:rPr>
                  </w:pPr>
                  <w:r>
                    <w:rPr>
                      <w:rFonts w:ascii="Times New Roman"/>
                    </w:rPr>
                    <w:t>设备噪声</w:t>
                  </w:r>
                </w:p>
              </w:tc>
              <w:tc>
                <w:tcPr>
                  <w:tcW w:w="3933" w:type="dxa"/>
                  <w:tcBorders>
                    <w:tl2br w:val="nil"/>
                    <w:tr2bl w:val="nil"/>
                  </w:tcBorders>
                  <w:vAlign w:val="center"/>
                </w:tcPr>
                <w:p>
                  <w:pPr>
                    <w:pStyle w:val="161"/>
                    <w:spacing w:line="240" w:lineRule="auto"/>
                    <w:rPr>
                      <w:rFonts w:ascii="Times New Roman"/>
                    </w:rPr>
                  </w:pPr>
                  <w:r>
                    <w:rPr>
                      <w:rFonts w:ascii="Times New Roman"/>
                    </w:rPr>
                    <w:t>厂房隔声等</w:t>
                  </w:r>
                </w:p>
              </w:tc>
              <w:tc>
                <w:tcPr>
                  <w:tcW w:w="1491" w:type="dxa"/>
                  <w:tcBorders>
                    <w:tl2br w:val="nil"/>
                    <w:tr2bl w:val="nil"/>
                  </w:tcBorders>
                  <w:vAlign w:val="center"/>
                </w:tcPr>
                <w:p>
                  <w:pPr>
                    <w:pStyle w:val="161"/>
                    <w:spacing w:line="240" w:lineRule="auto"/>
                    <w:rPr>
                      <w:rFonts w:ascii="Times New Roman"/>
                    </w:rPr>
                  </w:pPr>
                  <w:r>
                    <w:rPr>
                      <w:rFonts w:ascii="Times New Roman"/>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59" w:type="dxa"/>
                  <w:tcBorders>
                    <w:tl2br w:val="nil"/>
                    <w:tr2bl w:val="nil"/>
                  </w:tcBorders>
                  <w:vAlign w:val="center"/>
                </w:tcPr>
                <w:p>
                  <w:pPr>
                    <w:pStyle w:val="161"/>
                    <w:spacing w:line="240" w:lineRule="auto"/>
                    <w:rPr>
                      <w:rFonts w:ascii="Times New Roman"/>
                    </w:rPr>
                  </w:pPr>
                  <w:r>
                    <w:rPr>
                      <w:rFonts w:ascii="Times New Roman"/>
                    </w:rPr>
                    <w:t>固废</w:t>
                  </w:r>
                </w:p>
              </w:tc>
              <w:tc>
                <w:tcPr>
                  <w:tcW w:w="1575" w:type="dxa"/>
                  <w:tcBorders>
                    <w:tl2br w:val="nil"/>
                    <w:tr2bl w:val="nil"/>
                  </w:tcBorders>
                  <w:vAlign w:val="center"/>
                </w:tcPr>
                <w:p>
                  <w:pPr>
                    <w:pStyle w:val="161"/>
                    <w:spacing w:line="240" w:lineRule="auto"/>
                    <w:rPr>
                      <w:rFonts w:ascii="Times New Roman"/>
                    </w:rPr>
                  </w:pPr>
                  <w:r>
                    <w:rPr>
                      <w:rFonts w:ascii="Times New Roman"/>
                    </w:rPr>
                    <w:t>一般固废、危废暂存间</w:t>
                  </w:r>
                </w:p>
              </w:tc>
              <w:tc>
                <w:tcPr>
                  <w:tcW w:w="3933" w:type="dxa"/>
                  <w:tcBorders>
                    <w:tl2br w:val="nil"/>
                    <w:tr2bl w:val="nil"/>
                  </w:tcBorders>
                  <w:vAlign w:val="center"/>
                </w:tcPr>
                <w:p>
                  <w:pPr>
                    <w:pStyle w:val="161"/>
                    <w:spacing w:line="240" w:lineRule="auto"/>
                    <w:rPr>
                      <w:rFonts w:ascii="Times New Roman"/>
                    </w:rPr>
                  </w:pPr>
                  <w:r>
                    <w:rPr>
                      <w:rFonts w:ascii="Times New Roman"/>
                    </w:rPr>
                    <w:t>一座一般固废仓库、一座危废暂存间、垃圾桶</w:t>
                  </w:r>
                </w:p>
              </w:tc>
              <w:tc>
                <w:tcPr>
                  <w:tcW w:w="1491" w:type="dxa"/>
                  <w:tcBorders>
                    <w:tl2br w:val="nil"/>
                    <w:tr2bl w:val="nil"/>
                  </w:tcBorders>
                  <w:vAlign w:val="center"/>
                </w:tcPr>
                <w:p>
                  <w:pPr>
                    <w:pStyle w:val="161"/>
                    <w:spacing w:line="240" w:lineRule="auto"/>
                    <w:rPr>
                      <w:rFonts w:ascii="Times New Roman"/>
                    </w:rPr>
                  </w:pPr>
                  <w:r>
                    <w:rPr>
                      <w:rFonts w:ascii="Times New Roman"/>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59" w:type="dxa"/>
                  <w:tcBorders>
                    <w:tl2br w:val="nil"/>
                    <w:tr2bl w:val="nil"/>
                  </w:tcBorders>
                  <w:vAlign w:val="center"/>
                </w:tcPr>
                <w:p>
                  <w:pPr>
                    <w:pStyle w:val="161"/>
                    <w:spacing w:line="240" w:lineRule="auto"/>
                    <w:rPr>
                      <w:rFonts w:ascii="Times New Roman"/>
                    </w:rPr>
                  </w:pPr>
                  <w:r>
                    <w:rPr>
                      <w:rFonts w:ascii="Times New Roman"/>
                    </w:rPr>
                    <w:t>合计</w:t>
                  </w:r>
                </w:p>
              </w:tc>
              <w:tc>
                <w:tcPr>
                  <w:tcW w:w="5508" w:type="dxa"/>
                  <w:gridSpan w:val="2"/>
                  <w:tcBorders>
                    <w:tl2br w:val="nil"/>
                    <w:tr2bl w:val="nil"/>
                  </w:tcBorders>
                  <w:vAlign w:val="center"/>
                </w:tcPr>
                <w:p>
                  <w:pPr>
                    <w:pStyle w:val="161"/>
                    <w:spacing w:line="240" w:lineRule="auto"/>
                    <w:rPr>
                      <w:rFonts w:ascii="Times New Roman"/>
                    </w:rPr>
                  </w:pPr>
                  <w:r>
                    <w:rPr>
                      <w:rFonts w:ascii="Times New Roman"/>
                    </w:rPr>
                    <w:t>——</w:t>
                  </w:r>
                </w:p>
              </w:tc>
              <w:tc>
                <w:tcPr>
                  <w:tcW w:w="1491" w:type="dxa"/>
                  <w:tcBorders>
                    <w:tl2br w:val="nil"/>
                    <w:tr2bl w:val="nil"/>
                  </w:tcBorders>
                  <w:vAlign w:val="center"/>
                </w:tcPr>
                <w:p>
                  <w:pPr>
                    <w:pStyle w:val="161"/>
                    <w:spacing w:line="240" w:lineRule="auto"/>
                    <w:rPr>
                      <w:rFonts w:ascii="Times New Roman"/>
                    </w:rPr>
                  </w:pPr>
                  <w:r>
                    <w:rPr>
                      <w:rFonts w:ascii="Times New Roman"/>
                    </w:rPr>
                    <w:t>70</w:t>
                  </w:r>
                </w:p>
              </w:tc>
            </w:tr>
          </w:tbl>
          <w:p>
            <w:pPr>
              <w:keepNext/>
              <w:keepLines/>
              <w:adjustRightInd w:val="0"/>
              <w:snapToGrid w:val="0"/>
              <w:spacing w:line="360" w:lineRule="auto"/>
              <w:ind w:firstLine="422" w:firstLineChars="200"/>
              <w:outlineLvl w:val="2"/>
              <w:rPr>
                <w:b/>
                <w:szCs w:val="21"/>
              </w:rPr>
            </w:pPr>
            <w:r>
              <w:rPr>
                <w:b/>
                <w:szCs w:val="21"/>
              </w:rPr>
              <w:t>七、厂区平面布置</w:t>
            </w:r>
          </w:p>
          <w:p>
            <w:pPr>
              <w:pStyle w:val="292"/>
              <w:spacing w:line="360" w:lineRule="auto"/>
              <w:ind w:firstLine="420"/>
              <w:rPr>
                <w:kern w:val="2"/>
                <w:sz w:val="21"/>
                <w:szCs w:val="21"/>
              </w:rPr>
            </w:pPr>
            <w:r>
              <w:rPr>
                <w:kern w:val="2"/>
                <w:sz w:val="21"/>
                <w:szCs w:val="21"/>
              </w:rPr>
              <w:t>（1）本项目四周情况</w:t>
            </w:r>
          </w:p>
          <w:p>
            <w:pPr>
              <w:pStyle w:val="292"/>
              <w:spacing w:line="360" w:lineRule="auto"/>
              <w:ind w:firstLine="420"/>
              <w:rPr>
                <w:kern w:val="2"/>
                <w:sz w:val="21"/>
                <w:szCs w:val="21"/>
              </w:rPr>
            </w:pPr>
            <w:r>
              <w:rPr>
                <w:kern w:val="2"/>
                <w:sz w:val="21"/>
                <w:szCs w:val="21"/>
              </w:rPr>
              <w:t>本项目位于山东省淄博市经济开发区南定镇昌盛路9-7号，租赁现有厂房进行建设，地理位置见附图1。本项目北侧为淄博君道纸业有限公司，东侧至村庄内无名道路，南侧为山东智泰，西侧为山东乾齐钢结构有限公司，项目周边四至关系图见附图</w:t>
            </w:r>
            <w:r>
              <w:rPr>
                <w:rFonts w:hint="eastAsia"/>
                <w:kern w:val="2"/>
                <w:sz w:val="21"/>
                <w:szCs w:val="21"/>
              </w:rPr>
              <w:t>4</w:t>
            </w:r>
            <w:r>
              <w:rPr>
                <w:kern w:val="2"/>
                <w:sz w:val="21"/>
                <w:szCs w:val="21"/>
              </w:rPr>
              <w:t>，本项目周边关系及敏感目标见附图3。</w:t>
            </w:r>
          </w:p>
          <w:p>
            <w:pPr>
              <w:pStyle w:val="292"/>
              <w:spacing w:line="360" w:lineRule="auto"/>
              <w:ind w:firstLine="420"/>
              <w:rPr>
                <w:kern w:val="2"/>
                <w:sz w:val="21"/>
                <w:szCs w:val="21"/>
              </w:rPr>
            </w:pPr>
            <w:r>
              <w:rPr>
                <w:kern w:val="2"/>
                <w:sz w:val="21"/>
                <w:szCs w:val="21"/>
              </w:rPr>
              <w:t>（2）厂区平面布置图</w:t>
            </w:r>
          </w:p>
          <w:p>
            <w:pPr>
              <w:pStyle w:val="292"/>
              <w:spacing w:line="360" w:lineRule="auto"/>
              <w:ind w:firstLine="420"/>
              <w:rPr>
                <w:kern w:val="2"/>
                <w:sz w:val="21"/>
                <w:szCs w:val="21"/>
              </w:rPr>
            </w:pPr>
            <w:r>
              <w:rPr>
                <w:kern w:val="2"/>
                <w:sz w:val="21"/>
                <w:szCs w:val="21"/>
              </w:rPr>
              <w:t>租赁现有厂区内部的生产车间、罐区、原料仓库、成品仓库、办公楼、试验楼、维修工具间、配电室、空压站、循环</w:t>
            </w:r>
            <w:r>
              <w:rPr>
                <w:rFonts w:hint="eastAsia"/>
                <w:kern w:val="2"/>
                <w:sz w:val="21"/>
                <w:szCs w:val="21"/>
              </w:rPr>
              <w:t>冷却</w:t>
            </w:r>
            <w:r>
              <w:rPr>
                <w:kern w:val="2"/>
                <w:sz w:val="21"/>
                <w:szCs w:val="21"/>
              </w:rPr>
              <w:t>水池、</w:t>
            </w:r>
            <w:r>
              <w:rPr>
                <w:rFonts w:hint="eastAsia"/>
                <w:kern w:val="2"/>
                <w:sz w:val="21"/>
                <w:szCs w:val="21"/>
              </w:rPr>
              <w:t>蒸汽冷凝水暂存池</w:t>
            </w:r>
            <w:r>
              <w:rPr>
                <w:kern w:val="2"/>
                <w:sz w:val="21"/>
                <w:szCs w:val="21"/>
              </w:rPr>
              <w:t>、休息室等</w:t>
            </w:r>
            <w:r>
              <w:rPr>
                <w:rFonts w:hint="eastAsia"/>
                <w:kern w:val="2"/>
                <w:sz w:val="21"/>
                <w:szCs w:val="21"/>
              </w:rPr>
              <w:t>。</w:t>
            </w:r>
          </w:p>
          <w:p>
            <w:pPr>
              <w:pStyle w:val="292"/>
              <w:spacing w:line="360" w:lineRule="auto"/>
              <w:ind w:firstLine="420"/>
            </w:pPr>
            <w:r>
              <w:rPr>
                <w:rFonts w:hint="eastAsia"/>
                <w:kern w:val="2"/>
                <w:sz w:val="21"/>
                <w:szCs w:val="21"/>
              </w:rPr>
              <w:t>大门位于厂区东侧，办公楼位于大门北侧，试验楼位于大门南侧，试验楼西侧是原料仓库</w:t>
            </w:r>
            <w:r>
              <w:rPr>
                <w:kern w:val="2"/>
                <w:sz w:val="21"/>
                <w:szCs w:val="21"/>
              </w:rPr>
              <w:t>，</w:t>
            </w:r>
            <w:r>
              <w:rPr>
                <w:rFonts w:hint="eastAsia"/>
                <w:kern w:val="2"/>
                <w:sz w:val="21"/>
                <w:szCs w:val="21"/>
              </w:rPr>
              <w:t>原料仓库北边是成品仓库、西边是生产车间，生产车间西侧是循环冷却水池（用于储存蒸发、结晶时需要的循环冷却水）和蒸汽冷凝水暂存池（用于暂存产生的蒸汽冷凝水），循环水池南侧是罐区，冷却水池北侧是维修工具间（固废间、危废间），配电室位于厂区西北角。</w:t>
            </w:r>
            <w:r>
              <w:rPr>
                <w:kern w:val="2"/>
                <w:sz w:val="21"/>
                <w:szCs w:val="21"/>
              </w:rPr>
              <w:t>本项目具体平面布置图见附图2。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95" w:type="pct"/>
            <w:vAlign w:val="center"/>
          </w:tcPr>
          <w:p>
            <w:pPr>
              <w:pStyle w:val="34"/>
              <w:adjustRightInd w:val="0"/>
              <w:snapToGrid w:val="0"/>
              <w:spacing w:before="0" w:beforeAutospacing="0" w:after="0" w:afterAutospacing="0"/>
              <w:jc w:val="center"/>
              <w:rPr>
                <w:rFonts w:ascii="Times New Roman" w:hAnsi="Times New Roman"/>
                <w:kern w:val="21"/>
                <w:sz w:val="21"/>
                <w:szCs w:val="21"/>
              </w:rPr>
            </w:pPr>
            <w:r>
              <w:rPr>
                <w:rFonts w:ascii="Times New Roman" w:hAnsi="Times New Roman"/>
                <w:kern w:val="21"/>
                <w:sz w:val="21"/>
                <w:szCs w:val="21"/>
              </w:rPr>
              <w:t>工艺流程和产排污环节</w:t>
            </w:r>
          </w:p>
        </w:tc>
        <w:tc>
          <w:tcPr>
            <w:tcW w:w="4404" w:type="pct"/>
            <w:vAlign w:val="center"/>
          </w:tcPr>
          <w:p>
            <w:pPr>
              <w:adjustRightInd w:val="0"/>
              <w:snapToGrid w:val="0"/>
              <w:spacing w:line="360" w:lineRule="auto"/>
              <w:ind w:firstLine="420" w:firstLineChars="200"/>
            </w:pPr>
          </w:p>
          <w:p>
            <w:pPr>
              <w:adjustRightInd w:val="0"/>
              <w:snapToGrid w:val="0"/>
              <w:spacing w:line="360" w:lineRule="auto"/>
              <w:ind w:firstLine="420" w:firstLineChars="200"/>
            </w:pPr>
            <w:r>
              <w:t>一、生产工艺流程</w:t>
            </w:r>
          </w:p>
          <w:p>
            <w:pPr>
              <w:spacing w:line="360" w:lineRule="auto"/>
              <w:ind w:firstLine="420" w:firstLineChars="200"/>
            </w:pPr>
            <w:r>
              <w:t>①液体硫酸铝</w:t>
            </w:r>
            <w:r>
              <w:rPr>
                <w:rFonts w:hint="eastAsia"/>
              </w:rPr>
              <w:t>从储罐经管道</w:t>
            </w:r>
            <w:r>
              <w:t>进入电加热釜进行加热</w:t>
            </w:r>
            <w:r>
              <w:rPr>
                <w:rFonts w:hint="eastAsia"/>
              </w:rPr>
              <w:t>（1</w:t>
            </w:r>
            <w:r>
              <w:t>20~160</w:t>
            </w:r>
            <w:r>
              <w:rPr>
                <w:rFonts w:hint="eastAsia"/>
              </w:rPr>
              <w:t>℃），硫酸铝较稳定不易挥发，在加热蒸发过程中硫酸铝成分不发生变化，只</w:t>
            </w:r>
            <w:r>
              <w:t>蒸发出其中多余水分</w:t>
            </w:r>
            <w:r>
              <w:rPr>
                <w:rFonts w:hint="eastAsia"/>
              </w:rPr>
              <w:t>，蒸发后的硫酸铝为熔融状态（流体），经管道通过活接管路进入结晶机，结晶形</w:t>
            </w:r>
            <w:r>
              <w:t>成大块固体硫酸铝</w:t>
            </w:r>
            <w:r>
              <w:rPr>
                <w:rFonts w:hint="eastAsia"/>
              </w:rPr>
              <w:t>，并经过粉碎机</w:t>
            </w:r>
            <w:r>
              <w:t>进行粉碎；</w:t>
            </w:r>
          </w:p>
          <w:p>
            <w:pPr>
              <w:spacing w:line="360" w:lineRule="auto"/>
              <w:ind w:firstLine="420" w:firstLineChars="200"/>
              <w:rPr>
                <w:color w:val="0000FF"/>
              </w:rPr>
            </w:pPr>
            <w:r>
              <w:t>②</w:t>
            </w:r>
            <w:r>
              <w:rPr>
                <w:color w:val="0000FF"/>
              </w:rPr>
              <w:t>粉碎后</w:t>
            </w:r>
            <w:r>
              <w:rPr>
                <w:rFonts w:hint="eastAsia"/>
                <w:color w:val="0000FF"/>
              </w:rPr>
              <w:t>通过蛟龙</w:t>
            </w:r>
            <w:r>
              <w:rPr>
                <w:color w:val="0000FF"/>
              </w:rPr>
              <w:t>按比例</w:t>
            </w:r>
            <w:r>
              <w:rPr>
                <w:rFonts w:hint="eastAsia"/>
                <w:color w:val="0000FF"/>
              </w:rPr>
              <w:t>直接进行人工投料，</w:t>
            </w:r>
            <w:r>
              <w:rPr>
                <w:color w:val="0000FF"/>
              </w:rPr>
              <w:t>先加入20%铝矾土再加入65%硅铁粉最后加入15%粉碎后硫酸铝进行搅拌混合，混合搅拌釜为密闭设备；</w:t>
            </w:r>
          </w:p>
          <w:p>
            <w:pPr>
              <w:spacing w:line="360" w:lineRule="auto"/>
              <w:ind w:firstLine="420" w:firstLineChars="200"/>
              <w:rPr>
                <w:color w:val="0000FF"/>
              </w:rPr>
            </w:pPr>
            <w:r>
              <w:rPr>
                <w:color w:val="0000FF"/>
              </w:rPr>
              <w:t>③</w:t>
            </w:r>
            <w:r>
              <w:rPr>
                <w:rFonts w:hint="eastAsia"/>
                <w:color w:val="0000FF"/>
              </w:rPr>
              <w:t>混合搅拌后</w:t>
            </w:r>
            <w:r>
              <w:rPr>
                <w:color w:val="0000FF"/>
              </w:rPr>
              <w:t>所得产品即为人造铝矾石，</w:t>
            </w:r>
            <w:r>
              <w:rPr>
                <w:rFonts w:hint="eastAsia"/>
                <w:color w:val="0000FF"/>
              </w:rPr>
              <w:t>从混合搅拌釜通过密闭管道直接下落至提升机，</w:t>
            </w:r>
            <w:r>
              <w:rPr>
                <w:color w:val="0000FF"/>
              </w:rPr>
              <w:t>提升机将其提升至料仓后，物料由料仓下落至传送带传输至包装机进行包装，提升运输过程中全程密闭；</w:t>
            </w:r>
          </w:p>
          <w:p>
            <w:pPr>
              <w:spacing w:line="360" w:lineRule="auto"/>
              <w:ind w:firstLine="420" w:firstLineChars="200"/>
            </w:pPr>
            <w:r>
              <w:t>④包装机称量封包后由传送带传送至立柱码垛机进行码垛，码垛完成的产品有叉车送至仓库进行储存、销售。</w:t>
            </w:r>
          </w:p>
          <w:p>
            <w:pPr>
              <w:pStyle w:val="39"/>
              <w:spacing w:after="0"/>
              <w:ind w:left="0" w:leftChars="0" w:firstLine="0" w:firstLineChars="0"/>
              <w:jc w:val="center"/>
            </w:pPr>
            <w:r>
              <w:object>
                <v:shape id="_x0000_i1026" o:spt="75" type="#_x0000_t75" style="height:85.5pt;width:381.75pt;" o:ole="t" filled="f" o:preferrelative="t" stroked="f" coordsize="21600,21600">
                  <v:path/>
                  <v:fill on="f" focussize="0,0"/>
                  <v:stroke on="f" joinstyle="miter"/>
                  <v:imagedata r:id="rId17" o:title=""/>
                  <o:lock v:ext="edit" aspectratio="f"/>
                  <w10:wrap type="none"/>
                  <w10:anchorlock/>
                </v:shape>
                <o:OLEObject Type="Embed" ProgID="Visio.Drawing.11" ShapeID="_x0000_i1026" DrawAspect="Content" ObjectID="_1468075726" r:id="rId16">
                  <o:LockedField>false</o:LockedField>
                </o:OLEObject>
              </w:object>
            </w:r>
          </w:p>
          <w:p>
            <w:pPr>
              <w:pStyle w:val="293"/>
              <w:numPr>
                <w:ilvl w:val="0"/>
                <w:numId w:val="0"/>
              </w:numPr>
              <w:rPr>
                <w:rFonts w:hint="default"/>
              </w:rPr>
            </w:pPr>
            <w:r>
              <w:rPr>
                <w:rFonts w:hint="default"/>
              </w:rPr>
              <w:t>图2-1工艺流程及产污环节</w:t>
            </w:r>
          </w:p>
          <w:p>
            <w:pPr>
              <w:adjustRightInd w:val="0"/>
              <w:snapToGrid w:val="0"/>
              <w:spacing w:line="360" w:lineRule="auto"/>
              <w:ind w:firstLine="420" w:firstLineChars="200"/>
              <w:jc w:val="left"/>
            </w:pPr>
            <w:r>
              <w:t>三、产污环节</w:t>
            </w:r>
          </w:p>
          <w:p>
            <w:pPr>
              <w:spacing w:line="360" w:lineRule="auto"/>
              <w:ind w:firstLine="420" w:firstLineChars="200"/>
            </w:pPr>
            <w:r>
              <w:t>（1）废气</w:t>
            </w:r>
          </w:p>
          <w:p>
            <w:pPr>
              <w:spacing w:line="360" w:lineRule="auto"/>
              <w:ind w:firstLine="420" w:firstLineChars="200"/>
            </w:pPr>
            <w:r>
              <w:t>本项目废气主要是粉碎工序产生的粉尘、</w:t>
            </w:r>
            <w:r>
              <w:rPr>
                <w:rFonts w:hint="eastAsia"/>
              </w:rPr>
              <w:t>混合搅拌釜</w:t>
            </w:r>
            <w:r>
              <w:t>上料</w:t>
            </w:r>
            <w:r>
              <w:rPr>
                <w:rFonts w:hint="eastAsia"/>
              </w:rPr>
              <w:t>口</w:t>
            </w:r>
            <w:r>
              <w:t>产生的粉尘、</w:t>
            </w:r>
            <w:r>
              <w:rPr>
                <w:rFonts w:hint="eastAsia"/>
              </w:rPr>
              <w:t>料仓产生的粉尘、</w:t>
            </w:r>
            <w:r>
              <w:t>包装工序产生的粉尘。</w:t>
            </w:r>
          </w:p>
          <w:p>
            <w:pPr>
              <w:spacing w:line="360" w:lineRule="auto"/>
              <w:ind w:firstLine="420" w:firstLineChars="200"/>
            </w:pPr>
            <w:r>
              <w:t>本项目粉碎、混合搅拌釜上料</w:t>
            </w:r>
            <w:r>
              <w:rPr>
                <w:rFonts w:hint="eastAsia"/>
              </w:rPr>
              <w:t>口</w:t>
            </w:r>
            <w:r>
              <w:t>、包装工序产生的颗粒物采用“集气罩+布袋除尘器”处理，处理后通过1根15m排气筒（DA001）排放，料仓产生的粉尘经收集后通过仓顶的布袋除尘器进行处理后无组织排放。</w:t>
            </w:r>
          </w:p>
          <w:p>
            <w:pPr>
              <w:spacing w:line="360" w:lineRule="auto"/>
              <w:ind w:firstLine="420" w:firstLineChars="200"/>
            </w:pPr>
            <w:r>
              <w:t>（2）废水</w:t>
            </w:r>
          </w:p>
          <w:p>
            <w:pPr>
              <w:spacing w:line="360" w:lineRule="auto"/>
              <w:ind w:firstLine="420" w:firstLineChars="200"/>
            </w:pPr>
            <w:r>
              <w:rPr>
                <w:szCs w:val="21"/>
              </w:rPr>
              <w:t>本项目液体硫酸铝加热蒸发产生的蒸汽冷凝水作为循环冷却水补充回用，无生产废水。</w:t>
            </w:r>
            <w:r>
              <w:t>生活污水经化粪池处理后，由环卫部门定期清运，不外排。</w:t>
            </w:r>
          </w:p>
          <w:p>
            <w:pPr>
              <w:spacing w:line="360" w:lineRule="auto"/>
              <w:ind w:firstLine="420" w:firstLineChars="200"/>
            </w:pPr>
            <w:r>
              <w:t>（3）噪声</w:t>
            </w:r>
          </w:p>
          <w:p>
            <w:pPr>
              <w:spacing w:line="360" w:lineRule="auto"/>
              <w:ind w:firstLine="420" w:firstLineChars="200"/>
            </w:pPr>
            <w:r>
              <w:t>本项目主要噪声源为粉碎机、提升机、包装机、风机等机械设备运行过程中产生的机械噪声。厂界噪声经过车间墙体隔声和自然衰减后，满足《工业企业厂界环境噪声排放标准》（GB 12348-2008）中的2类标准要求。</w:t>
            </w:r>
          </w:p>
          <w:p>
            <w:pPr>
              <w:spacing w:line="360" w:lineRule="auto"/>
              <w:ind w:firstLine="420" w:firstLineChars="200"/>
            </w:pPr>
            <w:r>
              <w:t>（4）固废</w:t>
            </w:r>
          </w:p>
          <w:p>
            <w:pPr>
              <w:spacing w:line="360" w:lineRule="auto"/>
              <w:ind w:firstLine="420" w:firstLineChars="200"/>
            </w:pPr>
            <w:r>
              <w:t>本项</w:t>
            </w:r>
            <w:r>
              <w:rPr>
                <w:rFonts w:hint="eastAsia"/>
              </w:rPr>
              <w:t>目</w:t>
            </w:r>
            <w:r>
              <w:t>产生的固废主要为生活垃圾、生产固废。</w:t>
            </w:r>
          </w:p>
          <w:p>
            <w:pPr>
              <w:spacing w:line="360" w:lineRule="auto"/>
              <w:ind w:firstLine="420" w:firstLineChars="200"/>
            </w:pPr>
            <w:r>
              <w:t>生活垃圾集中收集后委托环卫部门定期清运，不对外随意排放。</w:t>
            </w:r>
          </w:p>
          <w:p>
            <w:pPr>
              <w:spacing w:line="360" w:lineRule="auto"/>
              <w:ind w:firstLine="420" w:firstLineChars="200"/>
            </w:pPr>
            <w:r>
              <w:t>一般固废主要来源于产生的废包装袋、废气处理设施产生的废布袋。废包装袋和废布袋</w:t>
            </w:r>
            <w:r>
              <w:rPr>
                <w:color w:val="0000FF"/>
              </w:rPr>
              <w:t>集中收集后</w:t>
            </w:r>
            <w:r>
              <w:rPr>
                <w:rFonts w:hint="eastAsia"/>
                <w:color w:val="0000FF"/>
              </w:rPr>
              <w:t>外售给有资质的单位进行处理</w:t>
            </w:r>
            <w:r>
              <w:t>。危险废物主要是设备维护产生的废润滑油、废润滑油桶，委托相关资质单位进行处置。</w:t>
            </w:r>
          </w:p>
          <w:p>
            <w:pPr>
              <w:spacing w:line="360" w:lineRule="auto"/>
              <w:ind w:firstLine="420" w:firstLineChars="200"/>
            </w:pPr>
            <w:r>
              <w:rPr>
                <w:szCs w:val="21"/>
              </w:rPr>
              <w:t>除尘器收集尘回用于生产，根据《固体废物鉴别标准通则》（GB34330-2017）：任何不需要修复和加工即可用于其原始用途的物质，或者在产生点经过修复和加工后满足国家、地方制定或行业通行的产品质量标准并且用于其原始用途的物质，不作为固体废物管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95" w:type="pct"/>
            <w:vAlign w:val="center"/>
          </w:tcPr>
          <w:p>
            <w:pPr>
              <w:pStyle w:val="34"/>
              <w:adjustRightInd w:val="0"/>
              <w:snapToGrid w:val="0"/>
              <w:spacing w:before="0" w:beforeAutospacing="0" w:after="0" w:afterAutospacing="0"/>
              <w:jc w:val="center"/>
              <w:rPr>
                <w:rFonts w:ascii="Times New Roman" w:hAnsi="Times New Roman"/>
                <w:kern w:val="21"/>
                <w:sz w:val="21"/>
                <w:szCs w:val="21"/>
              </w:rPr>
            </w:pPr>
            <w:r>
              <w:rPr>
                <w:rFonts w:ascii="Times New Roman" w:hAnsi="Times New Roman"/>
                <w:bCs/>
                <w:kern w:val="21"/>
                <w:sz w:val="21"/>
                <w:szCs w:val="21"/>
              </w:rPr>
              <w:t>与项目有关的原有环境污染问题</w:t>
            </w:r>
          </w:p>
        </w:tc>
        <w:tc>
          <w:tcPr>
            <w:tcW w:w="4404" w:type="pct"/>
            <w:vAlign w:val="center"/>
          </w:tcPr>
          <w:p>
            <w:pPr>
              <w:spacing w:line="360" w:lineRule="auto"/>
              <w:ind w:firstLine="420" w:firstLineChars="200"/>
              <w:rPr>
                <w:szCs w:val="21"/>
              </w:rPr>
            </w:pPr>
          </w:p>
          <w:p>
            <w:pPr>
              <w:spacing w:line="360" w:lineRule="auto"/>
              <w:ind w:firstLine="420" w:firstLineChars="200"/>
              <w:rPr>
                <w:szCs w:val="21"/>
              </w:rPr>
            </w:pPr>
            <w:r>
              <w:rPr>
                <w:szCs w:val="21"/>
              </w:rPr>
              <w:t>本项目为新建项目，租赁山东省淄博市经济开发区南定镇昌盛路9-7号厂房并进行建设，现状项目位置厂房内未存在生产设备和储存物质，不存在与现有项目有关的污染问题。</w:t>
            </w:r>
          </w:p>
          <w:p>
            <w:pPr>
              <w:spacing w:line="360" w:lineRule="auto"/>
              <w:ind w:firstLine="420" w:firstLineChars="200"/>
              <w:rPr>
                <w:szCs w:val="21"/>
              </w:rPr>
            </w:pPr>
          </w:p>
        </w:tc>
      </w:tr>
    </w:tbl>
    <w:p>
      <w:pPr>
        <w:pStyle w:val="34"/>
        <w:ind w:firstLine="723"/>
        <w:jc w:val="both"/>
        <w:rPr>
          <w:rFonts w:ascii="Times New Roman" w:hAnsi="Times New Roman" w:eastAsia="黑体"/>
          <w:snapToGrid w:val="0"/>
          <w:sz w:val="36"/>
          <w:szCs w:val="36"/>
        </w:rPr>
        <w:sectPr>
          <w:footerReference r:id="rId4" w:type="default"/>
          <w:pgSz w:w="11906" w:h="16838"/>
          <w:pgMar w:top="1701" w:right="1531" w:bottom="1701" w:left="1531" w:header="851" w:footer="851" w:gutter="0"/>
          <w:pgNumType w:start="1"/>
          <w:cols w:space="720" w:num="1"/>
          <w:docGrid w:linePitch="312" w:charSpace="0"/>
        </w:sectPr>
      </w:pPr>
    </w:p>
    <w:p>
      <w:pPr>
        <w:pStyle w:val="34"/>
        <w:adjustRightInd w:val="0"/>
        <w:snapToGrid w:val="0"/>
        <w:spacing w:before="0" w:beforeAutospacing="0" w:after="0" w:afterAutospacing="0" w:line="14" w:lineRule="auto"/>
        <w:ind w:firstLine="602"/>
        <w:jc w:val="center"/>
        <w:outlineLvl w:val="0"/>
        <w:rPr>
          <w:rFonts w:ascii="Times New Roman" w:hAnsi="Times New Roman" w:eastAsia="黑体"/>
          <w:snapToGrid w:val="0"/>
          <w:sz w:val="30"/>
          <w:szCs w:val="30"/>
        </w:rPr>
      </w:pPr>
    </w:p>
    <w:p>
      <w:pPr>
        <w:pStyle w:val="34"/>
        <w:ind w:firstLine="602"/>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三、区域环境质量现状、环境保护目标及评价标准</w:t>
      </w:r>
    </w:p>
    <w:tbl>
      <w:tblPr>
        <w:tblStyle w:val="40"/>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15"/>
        <w:gridCol w:w="824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59" w:hRule="atLeast"/>
          <w:jc w:val="center"/>
        </w:trPr>
        <w:tc>
          <w:tcPr>
            <w:tcW w:w="450" w:type="pct"/>
            <w:vAlign w:val="center"/>
          </w:tcPr>
          <w:p>
            <w:pPr>
              <w:adjustRightInd w:val="0"/>
              <w:snapToGrid w:val="0"/>
              <w:jc w:val="center"/>
              <w:rPr>
                <w:bCs/>
                <w:kern w:val="21"/>
                <w:szCs w:val="21"/>
              </w:rPr>
            </w:pPr>
            <w:r>
              <w:rPr>
                <w:bCs/>
                <w:kern w:val="21"/>
                <w:szCs w:val="21"/>
              </w:rPr>
              <w:t>区域</w:t>
            </w:r>
          </w:p>
          <w:p>
            <w:pPr>
              <w:adjustRightInd w:val="0"/>
              <w:snapToGrid w:val="0"/>
              <w:jc w:val="center"/>
              <w:rPr>
                <w:bCs/>
                <w:kern w:val="21"/>
                <w:szCs w:val="21"/>
              </w:rPr>
            </w:pPr>
            <w:r>
              <w:rPr>
                <w:bCs/>
                <w:kern w:val="21"/>
                <w:szCs w:val="21"/>
              </w:rPr>
              <w:t>环境</w:t>
            </w:r>
          </w:p>
          <w:p>
            <w:pPr>
              <w:adjustRightInd w:val="0"/>
              <w:snapToGrid w:val="0"/>
              <w:jc w:val="center"/>
              <w:rPr>
                <w:bCs/>
                <w:kern w:val="21"/>
                <w:szCs w:val="21"/>
              </w:rPr>
            </w:pPr>
            <w:r>
              <w:rPr>
                <w:bCs/>
                <w:kern w:val="21"/>
                <w:szCs w:val="21"/>
              </w:rPr>
              <w:t>质量</w:t>
            </w:r>
          </w:p>
          <w:p>
            <w:pPr>
              <w:adjustRightInd w:val="0"/>
              <w:snapToGrid w:val="0"/>
              <w:jc w:val="center"/>
              <w:rPr>
                <w:kern w:val="21"/>
                <w:szCs w:val="21"/>
              </w:rPr>
            </w:pPr>
            <w:r>
              <w:rPr>
                <w:bCs/>
                <w:kern w:val="21"/>
                <w:szCs w:val="21"/>
              </w:rPr>
              <w:t>现状</w:t>
            </w:r>
          </w:p>
        </w:tc>
        <w:tc>
          <w:tcPr>
            <w:tcW w:w="4549" w:type="pct"/>
            <w:vAlign w:val="center"/>
          </w:tcPr>
          <w:p>
            <w:pPr>
              <w:adjustRightInd w:val="0"/>
              <w:snapToGrid w:val="0"/>
              <w:spacing w:line="360" w:lineRule="auto"/>
              <w:ind w:firstLine="420" w:firstLineChars="200"/>
              <w:rPr>
                <w:szCs w:val="21"/>
              </w:rPr>
            </w:pPr>
            <w:r>
              <w:rPr>
                <w:szCs w:val="21"/>
              </w:rPr>
              <w:t>1、环境空气</w:t>
            </w:r>
          </w:p>
          <w:p>
            <w:pPr>
              <w:adjustRightInd w:val="0"/>
              <w:snapToGrid w:val="0"/>
              <w:spacing w:line="360" w:lineRule="auto"/>
              <w:ind w:firstLine="420" w:firstLineChars="200"/>
            </w:pPr>
            <w:r>
              <w:t>根据淄博市生态环境局202</w:t>
            </w:r>
            <w:r>
              <w:rPr>
                <w:rFonts w:hint="eastAsia"/>
              </w:rPr>
              <w:t>4</w:t>
            </w:r>
            <w:r>
              <w:t>年2月7日公布的《</w:t>
            </w:r>
            <w:r>
              <w:rPr>
                <w:rFonts w:hint="eastAsia"/>
              </w:rPr>
              <w:t>2023年12月份及全年环境空气质量情况通报</w:t>
            </w:r>
            <w:r>
              <w:t>》，</w:t>
            </w:r>
            <w:r>
              <w:rPr>
                <w:rFonts w:hint="eastAsia"/>
              </w:rPr>
              <w:t>2023年12月份，全市良好天数20天（国控），同比增加1天。其中，二氧化硫（SO</w:t>
            </w:r>
            <w:r>
              <w:rPr>
                <w:rFonts w:hint="eastAsia"/>
                <w:vertAlign w:val="subscript"/>
              </w:rPr>
              <w:t>2</w:t>
            </w:r>
            <w:r>
              <w:rPr>
                <w:rFonts w:hint="eastAsia"/>
              </w:rPr>
              <w:t>）12微克/立方米，同比改善40.0%；二氧化氮（NO</w:t>
            </w:r>
            <w:r>
              <w:rPr>
                <w:rFonts w:hint="eastAsia"/>
                <w:vertAlign w:val="subscript"/>
              </w:rPr>
              <w:t>2</w:t>
            </w:r>
            <w:r>
              <w:rPr>
                <w:rFonts w:hint="eastAsia"/>
              </w:rPr>
              <w:t>）44微克/立方米，同比改善8.3%；可吸入颗粒物（PM</w:t>
            </w:r>
            <w:r>
              <w:rPr>
                <w:rFonts w:hint="eastAsia"/>
                <w:vertAlign w:val="subscript"/>
              </w:rPr>
              <w:t>10</w:t>
            </w:r>
            <w:r>
              <w:rPr>
                <w:rFonts w:hint="eastAsia"/>
              </w:rPr>
              <w:t>）99微克/立方米，同比改善10.8%；细颗粒物（PM</w:t>
            </w:r>
            <w:r>
              <w:rPr>
                <w:rFonts w:hint="eastAsia"/>
                <w:vertAlign w:val="subscript"/>
              </w:rPr>
              <w:t>2.5</w:t>
            </w:r>
            <w:r>
              <w:rPr>
                <w:rFonts w:hint="eastAsia"/>
              </w:rPr>
              <w:t>）69微克/立方米，同比恶化6.2%；一氧化碳（CO）1.9毫克/立方米，同比恶化26.7%；臭氧（O</w:t>
            </w:r>
            <w:r>
              <w:rPr>
                <w:rFonts w:hint="eastAsia"/>
                <w:vertAlign w:val="subscript"/>
              </w:rPr>
              <w:t>3</w:t>
            </w:r>
            <w:r>
              <w:rPr>
                <w:rFonts w:hint="eastAsia"/>
              </w:rPr>
              <w:t>）73微克/立方米，同比恶化23.7%。全市综合指数为5.62，同比改善1.9%。</w:t>
            </w:r>
          </w:p>
          <w:p>
            <w:pPr>
              <w:adjustRightInd w:val="0"/>
              <w:snapToGrid w:val="0"/>
              <w:spacing w:line="360" w:lineRule="auto"/>
              <w:ind w:firstLine="420" w:firstLineChars="200"/>
              <w:rPr>
                <w:szCs w:val="21"/>
              </w:rPr>
            </w:pPr>
            <w:r>
              <w:rPr>
                <w:rFonts w:hint="eastAsia"/>
              </w:rPr>
              <w:t>2023年，全市良好天数219天（国控），同比减少17天。重污染天数8天，同比增加2天。其中，二氧化硫（SO</w:t>
            </w:r>
            <w:r>
              <w:rPr>
                <w:rFonts w:hint="eastAsia"/>
                <w:vertAlign w:val="subscript"/>
              </w:rPr>
              <w:t>2</w:t>
            </w:r>
            <w:r>
              <w:rPr>
                <w:rFonts w:hint="eastAsia"/>
              </w:rPr>
              <w:t>）12微克/立方米，同比改善14.3%；二氧化氮（NO</w:t>
            </w:r>
            <w:r>
              <w:rPr>
                <w:rFonts w:hint="eastAsia"/>
                <w:vertAlign w:val="subscript"/>
              </w:rPr>
              <w:t>2</w:t>
            </w:r>
            <w:r>
              <w:rPr>
                <w:rFonts w:hint="eastAsia"/>
              </w:rPr>
              <w:t>）34微克/立方米，同比恶化3.0%；可吸入颗粒物（PM</w:t>
            </w:r>
            <w:r>
              <w:rPr>
                <w:rFonts w:hint="eastAsia"/>
                <w:vertAlign w:val="subscript"/>
              </w:rPr>
              <w:t>10</w:t>
            </w:r>
            <w:r>
              <w:rPr>
                <w:rFonts w:hint="eastAsia"/>
              </w:rPr>
              <w:t>）75微克/立方米，同比持平；细颗粒物（PM</w:t>
            </w:r>
            <w:r>
              <w:rPr>
                <w:rFonts w:hint="eastAsia"/>
                <w:vertAlign w:val="subscript"/>
              </w:rPr>
              <w:t>2.5</w:t>
            </w:r>
            <w:r>
              <w:rPr>
                <w:rFonts w:hint="eastAsia"/>
              </w:rPr>
              <w:t>）41微克/立方米，同比改善4.7%；一氧化碳（CO）1.1毫克/立方米，同比改善15.4%；臭氧（O</w:t>
            </w:r>
            <w:r>
              <w:rPr>
                <w:rFonts w:hint="eastAsia"/>
                <w:vertAlign w:val="subscript"/>
              </w:rPr>
              <w:t>3</w:t>
            </w:r>
            <w:r>
              <w:rPr>
                <w:rFonts w:hint="eastAsia"/>
              </w:rPr>
              <w:t>）198微克/立方米，同比恶化3.1%。全市综合指数为4.81，同比改善1.2%。</w:t>
            </w:r>
          </w:p>
          <w:p>
            <w:pPr>
              <w:jc w:val="center"/>
              <w:rPr>
                <w:b/>
                <w:szCs w:val="21"/>
              </w:rPr>
            </w:pPr>
            <w:r>
              <w:rPr>
                <w:b/>
                <w:szCs w:val="21"/>
              </w:rPr>
              <w:t>表3-1 经开区2023年环境空气监测数据一览表</w:t>
            </w:r>
          </w:p>
          <w:tbl>
            <w:tblPr>
              <w:tblStyle w:val="41"/>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07"/>
              <w:gridCol w:w="2640"/>
              <w:gridCol w:w="1467"/>
              <w:gridCol w:w="1215"/>
              <w:gridCol w:w="116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2" w:type="pct"/>
                  <w:tcBorders>
                    <w:tl2br w:val="nil"/>
                    <w:tr2bl w:val="nil"/>
                  </w:tcBorders>
                  <w:vAlign w:val="center"/>
                </w:tcPr>
                <w:p>
                  <w:pPr>
                    <w:adjustRightInd w:val="0"/>
                    <w:snapToGrid w:val="0"/>
                    <w:jc w:val="center"/>
                    <w:rPr>
                      <w:b/>
                      <w:bCs/>
                      <w:kern w:val="0"/>
                      <w:szCs w:val="21"/>
                    </w:rPr>
                  </w:pPr>
                  <w:r>
                    <w:rPr>
                      <w:b/>
                      <w:bCs/>
                      <w:kern w:val="0"/>
                      <w:szCs w:val="21"/>
                    </w:rPr>
                    <w:t>污染物名称</w:t>
                  </w:r>
                </w:p>
              </w:tc>
              <w:tc>
                <w:tcPr>
                  <w:tcW w:w="1650" w:type="pct"/>
                  <w:tcBorders>
                    <w:tl2br w:val="nil"/>
                    <w:tr2bl w:val="nil"/>
                  </w:tcBorders>
                  <w:vAlign w:val="center"/>
                </w:tcPr>
                <w:p>
                  <w:pPr>
                    <w:adjustRightInd w:val="0"/>
                    <w:snapToGrid w:val="0"/>
                    <w:jc w:val="center"/>
                    <w:rPr>
                      <w:b/>
                      <w:bCs/>
                      <w:kern w:val="0"/>
                      <w:szCs w:val="21"/>
                    </w:rPr>
                  </w:pPr>
                  <w:r>
                    <w:rPr>
                      <w:b/>
                      <w:bCs/>
                      <w:kern w:val="0"/>
                      <w:szCs w:val="21"/>
                    </w:rPr>
                    <w:t>年度评价指标</w:t>
                  </w:r>
                </w:p>
              </w:tc>
              <w:tc>
                <w:tcPr>
                  <w:tcW w:w="917" w:type="pct"/>
                  <w:tcBorders>
                    <w:tl2br w:val="nil"/>
                    <w:tr2bl w:val="nil"/>
                  </w:tcBorders>
                  <w:vAlign w:val="center"/>
                </w:tcPr>
                <w:p>
                  <w:pPr>
                    <w:adjustRightInd w:val="0"/>
                    <w:snapToGrid w:val="0"/>
                    <w:jc w:val="center"/>
                    <w:rPr>
                      <w:b/>
                      <w:bCs/>
                      <w:kern w:val="0"/>
                      <w:szCs w:val="21"/>
                    </w:rPr>
                  </w:pPr>
                  <w:r>
                    <w:rPr>
                      <w:b/>
                      <w:bCs/>
                      <w:kern w:val="0"/>
                      <w:szCs w:val="21"/>
                    </w:rPr>
                    <w:t>现状浓度</w:t>
                  </w:r>
                </w:p>
              </w:tc>
              <w:tc>
                <w:tcPr>
                  <w:tcW w:w="759" w:type="pct"/>
                  <w:tcBorders>
                    <w:tl2br w:val="nil"/>
                    <w:tr2bl w:val="nil"/>
                  </w:tcBorders>
                  <w:vAlign w:val="center"/>
                </w:tcPr>
                <w:p>
                  <w:pPr>
                    <w:adjustRightInd w:val="0"/>
                    <w:snapToGrid w:val="0"/>
                    <w:jc w:val="center"/>
                    <w:rPr>
                      <w:b/>
                      <w:bCs/>
                      <w:kern w:val="0"/>
                      <w:szCs w:val="21"/>
                    </w:rPr>
                  </w:pPr>
                  <w:r>
                    <w:rPr>
                      <w:b/>
                      <w:bCs/>
                      <w:kern w:val="0"/>
                      <w:szCs w:val="21"/>
                    </w:rPr>
                    <w:t>评价标准</w:t>
                  </w:r>
                </w:p>
              </w:tc>
              <w:tc>
                <w:tcPr>
                  <w:tcW w:w="730" w:type="pct"/>
                  <w:tcBorders>
                    <w:tl2br w:val="nil"/>
                    <w:tr2bl w:val="nil"/>
                  </w:tcBorders>
                  <w:vAlign w:val="center"/>
                </w:tcPr>
                <w:p>
                  <w:pPr>
                    <w:adjustRightInd w:val="0"/>
                    <w:snapToGrid w:val="0"/>
                    <w:jc w:val="center"/>
                    <w:rPr>
                      <w:b/>
                      <w:bCs/>
                      <w:kern w:val="0"/>
                      <w:szCs w:val="21"/>
                    </w:rPr>
                  </w:pPr>
                  <w:r>
                    <w:rPr>
                      <w:b/>
                      <w:bCs/>
                      <w:kern w:val="0"/>
                      <w:szCs w:val="21"/>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2" w:type="pct"/>
                  <w:tcBorders>
                    <w:tl2br w:val="nil"/>
                    <w:tr2bl w:val="nil"/>
                  </w:tcBorders>
                  <w:vAlign w:val="center"/>
                </w:tcPr>
                <w:p>
                  <w:pPr>
                    <w:pStyle w:val="161"/>
                    <w:spacing w:line="240" w:lineRule="auto"/>
                    <w:rPr>
                      <w:rFonts w:ascii="Times New Roman"/>
                      <w:kern w:val="0"/>
                      <w:vertAlign w:val="subscript"/>
                    </w:rPr>
                  </w:pPr>
                  <w:r>
                    <w:rPr>
                      <w:rFonts w:ascii="Times New Roman"/>
                      <w:kern w:val="0"/>
                    </w:rPr>
                    <w:t>SO</w:t>
                  </w:r>
                  <w:r>
                    <w:rPr>
                      <w:rFonts w:ascii="Times New Roman"/>
                      <w:kern w:val="0"/>
                      <w:vertAlign w:val="subscript"/>
                    </w:rPr>
                    <w:t>2</w:t>
                  </w:r>
                </w:p>
              </w:tc>
              <w:tc>
                <w:tcPr>
                  <w:tcW w:w="1650" w:type="pct"/>
                  <w:vMerge w:val="restart"/>
                  <w:tcBorders>
                    <w:tl2br w:val="nil"/>
                    <w:tr2bl w:val="nil"/>
                  </w:tcBorders>
                  <w:vAlign w:val="center"/>
                </w:tcPr>
                <w:p>
                  <w:pPr>
                    <w:adjustRightInd w:val="0"/>
                    <w:snapToGrid w:val="0"/>
                    <w:jc w:val="center"/>
                    <w:rPr>
                      <w:kern w:val="0"/>
                      <w:szCs w:val="21"/>
                    </w:rPr>
                  </w:pPr>
                  <w:r>
                    <w:rPr>
                      <w:kern w:val="0"/>
                      <w:szCs w:val="21"/>
                    </w:rPr>
                    <w:t>年平均质量浓度</w:t>
                  </w:r>
                </w:p>
              </w:tc>
              <w:tc>
                <w:tcPr>
                  <w:tcW w:w="917" w:type="pct"/>
                  <w:tcBorders>
                    <w:tl2br w:val="nil"/>
                    <w:tr2bl w:val="nil"/>
                  </w:tcBorders>
                  <w:vAlign w:val="center"/>
                </w:tcPr>
                <w:p>
                  <w:pPr>
                    <w:adjustRightInd w:val="0"/>
                    <w:snapToGrid w:val="0"/>
                    <w:jc w:val="center"/>
                    <w:rPr>
                      <w:kern w:val="0"/>
                      <w:szCs w:val="21"/>
                    </w:rPr>
                  </w:pPr>
                  <w:r>
                    <w:rPr>
                      <w:rFonts w:hint="eastAsia"/>
                      <w:kern w:val="0"/>
                      <w:szCs w:val="21"/>
                    </w:rPr>
                    <w:t>15</w:t>
                  </w:r>
                  <w:r>
                    <w:rPr>
                      <w:kern w:val="0"/>
                      <w:szCs w:val="21"/>
                    </w:rPr>
                    <w:t>μg/m</w:t>
                  </w:r>
                  <w:r>
                    <w:rPr>
                      <w:kern w:val="0"/>
                      <w:szCs w:val="21"/>
                      <w:vertAlign w:val="superscript"/>
                    </w:rPr>
                    <w:t>3</w:t>
                  </w:r>
                </w:p>
              </w:tc>
              <w:tc>
                <w:tcPr>
                  <w:tcW w:w="759" w:type="pct"/>
                  <w:tcBorders>
                    <w:tl2br w:val="nil"/>
                    <w:tr2bl w:val="nil"/>
                  </w:tcBorders>
                  <w:vAlign w:val="center"/>
                </w:tcPr>
                <w:p>
                  <w:pPr>
                    <w:adjustRightInd w:val="0"/>
                    <w:snapToGrid w:val="0"/>
                    <w:jc w:val="center"/>
                    <w:rPr>
                      <w:kern w:val="0"/>
                      <w:szCs w:val="21"/>
                    </w:rPr>
                  </w:pPr>
                  <w:r>
                    <w:rPr>
                      <w:kern w:val="0"/>
                      <w:szCs w:val="21"/>
                    </w:rPr>
                    <w:t>60μg/m</w:t>
                  </w:r>
                  <w:r>
                    <w:rPr>
                      <w:kern w:val="0"/>
                      <w:szCs w:val="21"/>
                      <w:vertAlign w:val="superscript"/>
                    </w:rPr>
                    <w:t>3</w:t>
                  </w:r>
                </w:p>
              </w:tc>
              <w:tc>
                <w:tcPr>
                  <w:tcW w:w="730" w:type="pct"/>
                  <w:tcBorders>
                    <w:tl2br w:val="nil"/>
                    <w:tr2bl w:val="nil"/>
                  </w:tcBorders>
                  <w:vAlign w:val="center"/>
                </w:tcPr>
                <w:p>
                  <w:pPr>
                    <w:adjustRightInd w:val="0"/>
                    <w:snapToGrid w:val="0"/>
                    <w:jc w:val="center"/>
                    <w:rPr>
                      <w:kern w:val="0"/>
                      <w:szCs w:val="21"/>
                    </w:rPr>
                  </w:pPr>
                  <w:r>
                    <w:rPr>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2" w:type="pct"/>
                  <w:tcBorders>
                    <w:tl2br w:val="nil"/>
                    <w:tr2bl w:val="nil"/>
                  </w:tcBorders>
                  <w:vAlign w:val="center"/>
                </w:tcPr>
                <w:p>
                  <w:pPr>
                    <w:adjustRightInd w:val="0"/>
                    <w:snapToGrid w:val="0"/>
                    <w:jc w:val="center"/>
                    <w:rPr>
                      <w:kern w:val="0"/>
                      <w:szCs w:val="21"/>
                    </w:rPr>
                  </w:pPr>
                  <w:r>
                    <w:rPr>
                      <w:kern w:val="0"/>
                      <w:szCs w:val="21"/>
                    </w:rPr>
                    <w:t>NO</w:t>
                  </w:r>
                  <w:r>
                    <w:rPr>
                      <w:kern w:val="0"/>
                      <w:szCs w:val="21"/>
                      <w:vertAlign w:val="subscript"/>
                    </w:rPr>
                    <w:t>2</w:t>
                  </w:r>
                </w:p>
              </w:tc>
              <w:tc>
                <w:tcPr>
                  <w:tcW w:w="1650" w:type="pct"/>
                  <w:vMerge w:val="continue"/>
                  <w:tcBorders>
                    <w:tl2br w:val="nil"/>
                    <w:tr2bl w:val="nil"/>
                  </w:tcBorders>
                  <w:vAlign w:val="center"/>
                </w:tcPr>
                <w:p>
                  <w:pPr>
                    <w:adjustRightInd w:val="0"/>
                    <w:snapToGrid w:val="0"/>
                    <w:ind w:firstLine="422"/>
                    <w:jc w:val="center"/>
                    <w:rPr>
                      <w:kern w:val="0"/>
                      <w:szCs w:val="21"/>
                    </w:rPr>
                  </w:pPr>
                </w:p>
              </w:tc>
              <w:tc>
                <w:tcPr>
                  <w:tcW w:w="917" w:type="pct"/>
                  <w:tcBorders>
                    <w:tl2br w:val="nil"/>
                    <w:tr2bl w:val="nil"/>
                  </w:tcBorders>
                  <w:vAlign w:val="center"/>
                </w:tcPr>
                <w:p>
                  <w:pPr>
                    <w:adjustRightInd w:val="0"/>
                    <w:snapToGrid w:val="0"/>
                    <w:jc w:val="center"/>
                    <w:rPr>
                      <w:kern w:val="0"/>
                      <w:szCs w:val="21"/>
                    </w:rPr>
                  </w:pPr>
                  <w:r>
                    <w:rPr>
                      <w:rFonts w:hint="eastAsia"/>
                      <w:kern w:val="0"/>
                      <w:szCs w:val="21"/>
                    </w:rPr>
                    <w:t>37</w:t>
                  </w:r>
                  <w:r>
                    <w:rPr>
                      <w:kern w:val="0"/>
                      <w:szCs w:val="21"/>
                    </w:rPr>
                    <w:t>μg/m</w:t>
                  </w:r>
                  <w:r>
                    <w:rPr>
                      <w:kern w:val="0"/>
                      <w:szCs w:val="21"/>
                      <w:vertAlign w:val="superscript"/>
                    </w:rPr>
                    <w:t>3</w:t>
                  </w:r>
                </w:p>
              </w:tc>
              <w:tc>
                <w:tcPr>
                  <w:tcW w:w="759" w:type="pct"/>
                  <w:tcBorders>
                    <w:tl2br w:val="nil"/>
                    <w:tr2bl w:val="nil"/>
                  </w:tcBorders>
                  <w:vAlign w:val="center"/>
                </w:tcPr>
                <w:p>
                  <w:pPr>
                    <w:adjustRightInd w:val="0"/>
                    <w:snapToGrid w:val="0"/>
                    <w:jc w:val="center"/>
                    <w:rPr>
                      <w:kern w:val="0"/>
                      <w:szCs w:val="21"/>
                    </w:rPr>
                  </w:pPr>
                  <w:r>
                    <w:rPr>
                      <w:kern w:val="0"/>
                      <w:szCs w:val="21"/>
                    </w:rPr>
                    <w:t>40μg/m</w:t>
                  </w:r>
                  <w:r>
                    <w:rPr>
                      <w:kern w:val="0"/>
                      <w:szCs w:val="21"/>
                      <w:vertAlign w:val="superscript"/>
                    </w:rPr>
                    <w:t>3</w:t>
                  </w:r>
                </w:p>
              </w:tc>
              <w:tc>
                <w:tcPr>
                  <w:tcW w:w="730" w:type="pct"/>
                  <w:tcBorders>
                    <w:tl2br w:val="nil"/>
                    <w:tr2bl w:val="nil"/>
                  </w:tcBorders>
                  <w:vAlign w:val="center"/>
                </w:tcPr>
                <w:p>
                  <w:pPr>
                    <w:adjustRightInd w:val="0"/>
                    <w:snapToGrid w:val="0"/>
                    <w:jc w:val="center"/>
                    <w:rPr>
                      <w:kern w:val="0"/>
                      <w:szCs w:val="21"/>
                    </w:rPr>
                  </w:pPr>
                  <w:r>
                    <w:rPr>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2" w:type="pct"/>
                  <w:tcBorders>
                    <w:tl2br w:val="nil"/>
                    <w:tr2bl w:val="nil"/>
                  </w:tcBorders>
                  <w:vAlign w:val="center"/>
                </w:tcPr>
                <w:p>
                  <w:pPr>
                    <w:adjustRightInd w:val="0"/>
                    <w:snapToGrid w:val="0"/>
                    <w:jc w:val="center"/>
                    <w:rPr>
                      <w:kern w:val="0"/>
                      <w:szCs w:val="21"/>
                      <w:vertAlign w:val="subscript"/>
                    </w:rPr>
                  </w:pPr>
                  <w:r>
                    <w:rPr>
                      <w:kern w:val="0"/>
                      <w:szCs w:val="21"/>
                    </w:rPr>
                    <w:t>PM</w:t>
                  </w:r>
                  <w:r>
                    <w:rPr>
                      <w:kern w:val="0"/>
                      <w:szCs w:val="21"/>
                      <w:vertAlign w:val="subscript"/>
                    </w:rPr>
                    <w:t>10</w:t>
                  </w:r>
                </w:p>
              </w:tc>
              <w:tc>
                <w:tcPr>
                  <w:tcW w:w="1650" w:type="pct"/>
                  <w:vMerge w:val="continue"/>
                  <w:tcBorders>
                    <w:tl2br w:val="nil"/>
                    <w:tr2bl w:val="nil"/>
                  </w:tcBorders>
                  <w:vAlign w:val="center"/>
                </w:tcPr>
                <w:p>
                  <w:pPr>
                    <w:adjustRightInd w:val="0"/>
                    <w:snapToGrid w:val="0"/>
                    <w:ind w:firstLine="422"/>
                    <w:jc w:val="center"/>
                    <w:rPr>
                      <w:kern w:val="0"/>
                      <w:szCs w:val="21"/>
                    </w:rPr>
                  </w:pPr>
                </w:p>
              </w:tc>
              <w:tc>
                <w:tcPr>
                  <w:tcW w:w="917" w:type="pct"/>
                  <w:tcBorders>
                    <w:tl2br w:val="nil"/>
                    <w:tr2bl w:val="nil"/>
                  </w:tcBorders>
                  <w:vAlign w:val="center"/>
                </w:tcPr>
                <w:p>
                  <w:pPr>
                    <w:adjustRightInd w:val="0"/>
                    <w:snapToGrid w:val="0"/>
                    <w:jc w:val="center"/>
                    <w:rPr>
                      <w:kern w:val="0"/>
                      <w:szCs w:val="21"/>
                    </w:rPr>
                  </w:pPr>
                  <w:r>
                    <w:rPr>
                      <w:rFonts w:hint="eastAsia"/>
                      <w:kern w:val="0"/>
                      <w:szCs w:val="21"/>
                    </w:rPr>
                    <w:t>70</w:t>
                  </w:r>
                  <w:r>
                    <w:rPr>
                      <w:kern w:val="0"/>
                      <w:szCs w:val="21"/>
                    </w:rPr>
                    <w:t>μg/m</w:t>
                  </w:r>
                  <w:r>
                    <w:rPr>
                      <w:kern w:val="0"/>
                      <w:szCs w:val="21"/>
                      <w:vertAlign w:val="superscript"/>
                    </w:rPr>
                    <w:t>3</w:t>
                  </w:r>
                </w:p>
              </w:tc>
              <w:tc>
                <w:tcPr>
                  <w:tcW w:w="759" w:type="pct"/>
                  <w:tcBorders>
                    <w:tl2br w:val="nil"/>
                    <w:tr2bl w:val="nil"/>
                  </w:tcBorders>
                  <w:vAlign w:val="center"/>
                </w:tcPr>
                <w:p>
                  <w:pPr>
                    <w:adjustRightInd w:val="0"/>
                    <w:snapToGrid w:val="0"/>
                    <w:jc w:val="center"/>
                    <w:rPr>
                      <w:kern w:val="0"/>
                      <w:szCs w:val="21"/>
                    </w:rPr>
                  </w:pPr>
                  <w:r>
                    <w:rPr>
                      <w:kern w:val="0"/>
                      <w:szCs w:val="21"/>
                    </w:rPr>
                    <w:t>70μg/m</w:t>
                  </w:r>
                  <w:r>
                    <w:rPr>
                      <w:kern w:val="0"/>
                      <w:szCs w:val="21"/>
                      <w:vertAlign w:val="superscript"/>
                    </w:rPr>
                    <w:t>3</w:t>
                  </w:r>
                </w:p>
              </w:tc>
              <w:tc>
                <w:tcPr>
                  <w:tcW w:w="730" w:type="pct"/>
                  <w:tcBorders>
                    <w:tl2br w:val="nil"/>
                    <w:tr2bl w:val="nil"/>
                  </w:tcBorders>
                  <w:vAlign w:val="center"/>
                </w:tcPr>
                <w:p>
                  <w:pPr>
                    <w:adjustRightInd w:val="0"/>
                    <w:snapToGrid w:val="0"/>
                    <w:jc w:val="center"/>
                    <w:rPr>
                      <w:kern w:val="0"/>
                      <w:szCs w:val="21"/>
                    </w:rPr>
                  </w:pPr>
                  <w:r>
                    <w:rPr>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2" w:type="pct"/>
                  <w:tcBorders>
                    <w:tl2br w:val="nil"/>
                    <w:tr2bl w:val="nil"/>
                  </w:tcBorders>
                  <w:vAlign w:val="center"/>
                </w:tcPr>
                <w:p>
                  <w:pPr>
                    <w:adjustRightInd w:val="0"/>
                    <w:snapToGrid w:val="0"/>
                    <w:jc w:val="center"/>
                    <w:rPr>
                      <w:kern w:val="0"/>
                      <w:szCs w:val="21"/>
                      <w:vertAlign w:val="subscript"/>
                    </w:rPr>
                  </w:pPr>
                  <w:r>
                    <w:rPr>
                      <w:kern w:val="0"/>
                      <w:szCs w:val="21"/>
                    </w:rPr>
                    <w:t>PM</w:t>
                  </w:r>
                  <w:r>
                    <w:rPr>
                      <w:kern w:val="0"/>
                      <w:szCs w:val="21"/>
                      <w:vertAlign w:val="subscript"/>
                    </w:rPr>
                    <w:t>2.5</w:t>
                  </w:r>
                </w:p>
              </w:tc>
              <w:tc>
                <w:tcPr>
                  <w:tcW w:w="1650" w:type="pct"/>
                  <w:vMerge w:val="continue"/>
                  <w:tcBorders>
                    <w:tl2br w:val="nil"/>
                    <w:tr2bl w:val="nil"/>
                  </w:tcBorders>
                  <w:vAlign w:val="center"/>
                </w:tcPr>
                <w:p>
                  <w:pPr>
                    <w:adjustRightInd w:val="0"/>
                    <w:snapToGrid w:val="0"/>
                    <w:ind w:firstLine="422"/>
                    <w:jc w:val="center"/>
                    <w:rPr>
                      <w:kern w:val="0"/>
                      <w:szCs w:val="21"/>
                    </w:rPr>
                  </w:pPr>
                </w:p>
              </w:tc>
              <w:tc>
                <w:tcPr>
                  <w:tcW w:w="917" w:type="pct"/>
                  <w:tcBorders>
                    <w:tl2br w:val="nil"/>
                    <w:tr2bl w:val="nil"/>
                  </w:tcBorders>
                  <w:vAlign w:val="center"/>
                </w:tcPr>
                <w:p>
                  <w:pPr>
                    <w:adjustRightInd w:val="0"/>
                    <w:snapToGrid w:val="0"/>
                    <w:jc w:val="center"/>
                    <w:rPr>
                      <w:kern w:val="0"/>
                      <w:szCs w:val="21"/>
                    </w:rPr>
                  </w:pPr>
                  <w:r>
                    <w:rPr>
                      <w:rFonts w:hint="eastAsia"/>
                      <w:kern w:val="0"/>
                      <w:szCs w:val="21"/>
                    </w:rPr>
                    <w:t>40</w:t>
                  </w:r>
                  <w:r>
                    <w:rPr>
                      <w:kern w:val="0"/>
                      <w:szCs w:val="21"/>
                    </w:rPr>
                    <w:t>μg/m</w:t>
                  </w:r>
                  <w:r>
                    <w:rPr>
                      <w:kern w:val="0"/>
                      <w:szCs w:val="21"/>
                      <w:vertAlign w:val="superscript"/>
                    </w:rPr>
                    <w:t>3</w:t>
                  </w:r>
                </w:p>
              </w:tc>
              <w:tc>
                <w:tcPr>
                  <w:tcW w:w="759" w:type="pct"/>
                  <w:tcBorders>
                    <w:tl2br w:val="nil"/>
                    <w:tr2bl w:val="nil"/>
                  </w:tcBorders>
                  <w:vAlign w:val="center"/>
                </w:tcPr>
                <w:p>
                  <w:pPr>
                    <w:adjustRightInd w:val="0"/>
                    <w:snapToGrid w:val="0"/>
                    <w:jc w:val="center"/>
                    <w:rPr>
                      <w:kern w:val="0"/>
                      <w:szCs w:val="21"/>
                    </w:rPr>
                  </w:pPr>
                  <w:r>
                    <w:rPr>
                      <w:kern w:val="0"/>
                      <w:szCs w:val="21"/>
                    </w:rPr>
                    <w:t>35μg/m</w:t>
                  </w:r>
                  <w:r>
                    <w:rPr>
                      <w:kern w:val="0"/>
                      <w:szCs w:val="21"/>
                      <w:vertAlign w:val="superscript"/>
                    </w:rPr>
                    <w:t>3</w:t>
                  </w:r>
                </w:p>
              </w:tc>
              <w:tc>
                <w:tcPr>
                  <w:tcW w:w="730" w:type="pct"/>
                  <w:tcBorders>
                    <w:tl2br w:val="nil"/>
                    <w:tr2bl w:val="nil"/>
                  </w:tcBorders>
                  <w:vAlign w:val="center"/>
                </w:tcPr>
                <w:p>
                  <w:pPr>
                    <w:adjustRightInd w:val="0"/>
                    <w:snapToGrid w:val="0"/>
                    <w:jc w:val="center"/>
                    <w:rPr>
                      <w:kern w:val="0"/>
                      <w:szCs w:val="21"/>
                    </w:rPr>
                  </w:pPr>
                  <w:r>
                    <w:rPr>
                      <w:kern w:val="0"/>
                      <w:szCs w:val="21"/>
                    </w:rPr>
                    <w:t>不达标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2" w:type="pct"/>
                  <w:tcBorders>
                    <w:tl2br w:val="nil"/>
                    <w:tr2bl w:val="nil"/>
                  </w:tcBorders>
                  <w:vAlign w:val="center"/>
                </w:tcPr>
                <w:p>
                  <w:pPr>
                    <w:adjustRightInd w:val="0"/>
                    <w:snapToGrid w:val="0"/>
                    <w:jc w:val="center"/>
                    <w:rPr>
                      <w:kern w:val="0"/>
                      <w:szCs w:val="21"/>
                    </w:rPr>
                  </w:pPr>
                  <w:r>
                    <w:rPr>
                      <w:kern w:val="0"/>
                      <w:szCs w:val="21"/>
                    </w:rPr>
                    <w:t>CO</w:t>
                  </w:r>
                </w:p>
              </w:tc>
              <w:tc>
                <w:tcPr>
                  <w:tcW w:w="1650" w:type="pct"/>
                  <w:tcBorders>
                    <w:tl2br w:val="nil"/>
                    <w:tr2bl w:val="nil"/>
                  </w:tcBorders>
                  <w:vAlign w:val="center"/>
                </w:tcPr>
                <w:p>
                  <w:pPr>
                    <w:adjustRightInd w:val="0"/>
                    <w:snapToGrid w:val="0"/>
                    <w:jc w:val="center"/>
                    <w:rPr>
                      <w:kern w:val="0"/>
                      <w:szCs w:val="21"/>
                    </w:rPr>
                  </w:pPr>
                  <w:r>
                    <w:rPr>
                      <w:kern w:val="0"/>
                      <w:szCs w:val="21"/>
                    </w:rPr>
                    <w:t>95%保证率日平均浓度</w:t>
                  </w:r>
                </w:p>
              </w:tc>
              <w:tc>
                <w:tcPr>
                  <w:tcW w:w="917" w:type="pct"/>
                  <w:tcBorders>
                    <w:tl2br w:val="nil"/>
                    <w:tr2bl w:val="nil"/>
                  </w:tcBorders>
                  <w:vAlign w:val="center"/>
                </w:tcPr>
                <w:p>
                  <w:pPr>
                    <w:adjustRightInd w:val="0"/>
                    <w:snapToGrid w:val="0"/>
                    <w:jc w:val="center"/>
                    <w:rPr>
                      <w:kern w:val="0"/>
                      <w:szCs w:val="21"/>
                    </w:rPr>
                  </w:pPr>
                  <w:r>
                    <w:rPr>
                      <w:kern w:val="0"/>
                      <w:szCs w:val="21"/>
                    </w:rPr>
                    <w:t>1.2mg/m</w:t>
                  </w:r>
                  <w:r>
                    <w:rPr>
                      <w:kern w:val="0"/>
                      <w:szCs w:val="21"/>
                      <w:vertAlign w:val="superscript"/>
                    </w:rPr>
                    <w:t>3</w:t>
                  </w:r>
                </w:p>
              </w:tc>
              <w:tc>
                <w:tcPr>
                  <w:tcW w:w="759" w:type="pct"/>
                  <w:tcBorders>
                    <w:tl2br w:val="nil"/>
                    <w:tr2bl w:val="nil"/>
                  </w:tcBorders>
                  <w:vAlign w:val="center"/>
                </w:tcPr>
                <w:p>
                  <w:pPr>
                    <w:adjustRightInd w:val="0"/>
                    <w:snapToGrid w:val="0"/>
                    <w:jc w:val="center"/>
                    <w:rPr>
                      <w:kern w:val="0"/>
                      <w:szCs w:val="21"/>
                    </w:rPr>
                  </w:pPr>
                  <w:r>
                    <w:rPr>
                      <w:kern w:val="0"/>
                      <w:szCs w:val="21"/>
                    </w:rPr>
                    <w:t>4mg/m</w:t>
                  </w:r>
                  <w:r>
                    <w:rPr>
                      <w:kern w:val="0"/>
                      <w:szCs w:val="21"/>
                      <w:vertAlign w:val="superscript"/>
                    </w:rPr>
                    <w:t>3</w:t>
                  </w:r>
                </w:p>
              </w:tc>
              <w:tc>
                <w:tcPr>
                  <w:tcW w:w="730" w:type="pct"/>
                  <w:tcBorders>
                    <w:tl2br w:val="nil"/>
                    <w:tr2bl w:val="nil"/>
                  </w:tcBorders>
                  <w:vAlign w:val="center"/>
                </w:tcPr>
                <w:p>
                  <w:pPr>
                    <w:adjustRightInd w:val="0"/>
                    <w:snapToGrid w:val="0"/>
                    <w:jc w:val="center"/>
                    <w:rPr>
                      <w:kern w:val="0"/>
                      <w:szCs w:val="21"/>
                    </w:rPr>
                  </w:pPr>
                  <w:r>
                    <w:rPr>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2" w:type="pct"/>
                  <w:tcBorders>
                    <w:tl2br w:val="nil"/>
                    <w:tr2bl w:val="nil"/>
                  </w:tcBorders>
                  <w:vAlign w:val="center"/>
                </w:tcPr>
                <w:p>
                  <w:pPr>
                    <w:adjustRightInd w:val="0"/>
                    <w:snapToGrid w:val="0"/>
                    <w:jc w:val="center"/>
                    <w:rPr>
                      <w:kern w:val="0"/>
                      <w:szCs w:val="21"/>
                      <w:vertAlign w:val="subscript"/>
                    </w:rPr>
                  </w:pPr>
                  <w:r>
                    <w:rPr>
                      <w:kern w:val="0"/>
                      <w:szCs w:val="21"/>
                    </w:rPr>
                    <w:t>O</w:t>
                  </w:r>
                  <w:r>
                    <w:rPr>
                      <w:kern w:val="0"/>
                      <w:szCs w:val="21"/>
                      <w:vertAlign w:val="subscript"/>
                    </w:rPr>
                    <w:t>3</w:t>
                  </w:r>
                </w:p>
              </w:tc>
              <w:tc>
                <w:tcPr>
                  <w:tcW w:w="1650" w:type="pct"/>
                  <w:tcBorders>
                    <w:tl2br w:val="nil"/>
                    <w:tr2bl w:val="nil"/>
                  </w:tcBorders>
                  <w:vAlign w:val="center"/>
                </w:tcPr>
                <w:p>
                  <w:pPr>
                    <w:adjustRightInd w:val="0"/>
                    <w:snapToGrid w:val="0"/>
                    <w:jc w:val="center"/>
                    <w:rPr>
                      <w:kern w:val="0"/>
                      <w:szCs w:val="21"/>
                    </w:rPr>
                  </w:pPr>
                  <w:r>
                    <w:rPr>
                      <w:kern w:val="0"/>
                      <w:szCs w:val="21"/>
                    </w:rPr>
                    <w:t>90%保证率日最大8h平均浓度</w:t>
                  </w:r>
                </w:p>
              </w:tc>
              <w:tc>
                <w:tcPr>
                  <w:tcW w:w="917" w:type="pct"/>
                  <w:tcBorders>
                    <w:tl2br w:val="nil"/>
                    <w:tr2bl w:val="nil"/>
                  </w:tcBorders>
                  <w:vAlign w:val="center"/>
                </w:tcPr>
                <w:p>
                  <w:pPr>
                    <w:adjustRightInd w:val="0"/>
                    <w:snapToGrid w:val="0"/>
                    <w:jc w:val="center"/>
                    <w:rPr>
                      <w:kern w:val="0"/>
                      <w:szCs w:val="21"/>
                    </w:rPr>
                  </w:pPr>
                  <w:r>
                    <w:rPr>
                      <w:rFonts w:hint="eastAsia"/>
                      <w:kern w:val="0"/>
                      <w:szCs w:val="21"/>
                    </w:rPr>
                    <w:t>189</w:t>
                  </w:r>
                  <w:r>
                    <w:rPr>
                      <w:kern w:val="0"/>
                      <w:szCs w:val="21"/>
                    </w:rPr>
                    <w:t>μg/m</w:t>
                  </w:r>
                  <w:r>
                    <w:rPr>
                      <w:kern w:val="0"/>
                      <w:szCs w:val="21"/>
                      <w:vertAlign w:val="superscript"/>
                    </w:rPr>
                    <w:t>3</w:t>
                  </w:r>
                </w:p>
              </w:tc>
              <w:tc>
                <w:tcPr>
                  <w:tcW w:w="759" w:type="pct"/>
                  <w:tcBorders>
                    <w:tl2br w:val="nil"/>
                    <w:tr2bl w:val="nil"/>
                  </w:tcBorders>
                  <w:vAlign w:val="center"/>
                </w:tcPr>
                <w:p>
                  <w:pPr>
                    <w:adjustRightInd w:val="0"/>
                    <w:snapToGrid w:val="0"/>
                    <w:jc w:val="center"/>
                    <w:rPr>
                      <w:kern w:val="0"/>
                      <w:szCs w:val="21"/>
                    </w:rPr>
                  </w:pPr>
                  <w:r>
                    <w:rPr>
                      <w:kern w:val="0"/>
                      <w:szCs w:val="21"/>
                    </w:rPr>
                    <w:t>160μg/m</w:t>
                  </w:r>
                  <w:r>
                    <w:rPr>
                      <w:kern w:val="0"/>
                      <w:szCs w:val="21"/>
                      <w:vertAlign w:val="superscript"/>
                    </w:rPr>
                    <w:t>3</w:t>
                  </w:r>
                </w:p>
              </w:tc>
              <w:tc>
                <w:tcPr>
                  <w:tcW w:w="730" w:type="pct"/>
                  <w:tcBorders>
                    <w:tl2br w:val="nil"/>
                    <w:tr2bl w:val="nil"/>
                  </w:tcBorders>
                  <w:vAlign w:val="center"/>
                </w:tcPr>
                <w:p>
                  <w:pPr>
                    <w:adjustRightInd w:val="0"/>
                    <w:snapToGrid w:val="0"/>
                    <w:jc w:val="center"/>
                    <w:rPr>
                      <w:kern w:val="0"/>
                      <w:szCs w:val="21"/>
                    </w:rPr>
                  </w:pPr>
                  <w:r>
                    <w:rPr>
                      <w:rFonts w:hint="eastAsia"/>
                      <w:kern w:val="0"/>
                      <w:szCs w:val="21"/>
                    </w:rPr>
                    <w:t>不</w:t>
                  </w:r>
                  <w:r>
                    <w:rPr>
                      <w:kern w:val="0"/>
                      <w:szCs w:val="21"/>
                    </w:rPr>
                    <w:t>达标</w:t>
                  </w:r>
                </w:p>
              </w:tc>
            </w:tr>
          </w:tbl>
          <w:p>
            <w:pPr>
              <w:adjustRightInd w:val="0"/>
              <w:snapToGrid w:val="0"/>
              <w:spacing w:line="360" w:lineRule="auto"/>
              <w:ind w:firstLine="420" w:firstLineChars="200"/>
              <w:rPr>
                <w:szCs w:val="21"/>
              </w:rPr>
            </w:pPr>
            <w:r>
              <w:rPr>
                <w:szCs w:val="21"/>
              </w:rPr>
              <w:t>由上表数据可以看出，淄博经开区2023年PM</w:t>
            </w:r>
            <w:r>
              <w:rPr>
                <w:szCs w:val="21"/>
                <w:vertAlign w:val="subscript"/>
              </w:rPr>
              <w:t>2.5</w:t>
            </w:r>
            <w:r>
              <w:rPr>
                <w:rFonts w:hint="eastAsia"/>
                <w:szCs w:val="21"/>
              </w:rPr>
              <w:t>、</w:t>
            </w:r>
            <w:r>
              <w:rPr>
                <w:kern w:val="0"/>
                <w:szCs w:val="21"/>
              </w:rPr>
              <w:t>O</w:t>
            </w:r>
            <w:r>
              <w:rPr>
                <w:kern w:val="0"/>
                <w:szCs w:val="21"/>
                <w:vertAlign w:val="subscript"/>
              </w:rPr>
              <w:t>3</w:t>
            </w:r>
            <w:r>
              <w:rPr>
                <w:szCs w:val="21"/>
              </w:rPr>
              <w:t>的现状浓度不能满足《环境空气质量标准》（GB3095-2012）二级标准要求，本项目所在区域环境空气质量为不达标区。</w:t>
            </w:r>
          </w:p>
          <w:p>
            <w:pPr>
              <w:adjustRightInd w:val="0"/>
              <w:snapToGrid w:val="0"/>
              <w:spacing w:line="360" w:lineRule="auto"/>
              <w:ind w:firstLine="420" w:firstLineChars="200"/>
              <w:rPr>
                <w:szCs w:val="21"/>
              </w:rPr>
            </w:pPr>
            <w:r>
              <w:rPr>
                <w:szCs w:val="21"/>
              </w:rPr>
              <w:t>根据《淄博市“十四五”生态环境保护规划》要求，以持续降低PM2.5浓度，不断提高空气质量优良天数比例，逐步消除重污染天气为目标任务，实施产业结构升级、清洁能源替代、运输结构优化、扬尘精细管控、VOCs深度治理、氮氧化物深度治理“六大减排工程”，全面推进重点行业、重点领域的全流程污染治理，治理后环境空气质量将得到改善。</w:t>
            </w:r>
          </w:p>
          <w:p>
            <w:pPr>
              <w:adjustRightInd w:val="0"/>
              <w:snapToGrid w:val="0"/>
              <w:spacing w:line="360" w:lineRule="auto"/>
              <w:ind w:firstLine="420" w:firstLineChars="200"/>
              <w:rPr>
                <w:szCs w:val="21"/>
              </w:rPr>
            </w:pPr>
            <w:r>
              <w:rPr>
                <w:szCs w:val="21"/>
              </w:rPr>
              <w:t>2、地表水</w:t>
            </w:r>
          </w:p>
          <w:p>
            <w:pPr>
              <w:spacing w:line="360" w:lineRule="auto"/>
              <w:ind w:firstLine="420" w:firstLineChars="200"/>
              <w:rPr>
                <w:szCs w:val="21"/>
              </w:rPr>
            </w:pPr>
            <w:r>
              <w:t>本项目液体硫酸铝加热蒸发产生的蒸汽冷凝水作为循环冷却水补充回用，无生产废水；生活污水经化粪池处理后，由环卫部门定期清运，不外排。</w:t>
            </w:r>
            <w:r>
              <w:rPr>
                <w:szCs w:val="21"/>
              </w:rPr>
              <w:t>该区域主要河流为漫泗河，根据淄博市生态环境局2023年7月20日发布的《2023年1—6月全市地表水环境质量状况》，1—6月，全市15个省控以上河流断面优良水体比例为80%，达标率93.3%。其中，7个国控断面优良水体比例为85.7%，达标率85.7%（高青县支脉河道旭渡断面水质类别为Ⅳ类，年度考核目标为Ⅲ类），水环境质量指数为4.6187，位居全省第1位。8个省控断面优良水体比例为75%，达标率100%。沂源县韩旺大桥、周村区袁家桥、淄川区太河水库、高青县黄河4个国控断面水环境质量指数同比改善，其中韩旺大桥、袁家桥、黄河3个断面连续三年水环境质量指数同比改善。</w:t>
            </w:r>
          </w:p>
          <w:p>
            <w:pPr>
              <w:adjustRightInd w:val="0"/>
              <w:snapToGrid w:val="0"/>
              <w:spacing w:line="360" w:lineRule="auto"/>
              <w:ind w:firstLine="420" w:firstLineChars="200"/>
              <w:rPr>
                <w:szCs w:val="21"/>
              </w:rPr>
            </w:pPr>
            <w:r>
              <w:rPr>
                <w:szCs w:val="21"/>
              </w:rPr>
              <w:t>3、声环境</w:t>
            </w:r>
          </w:p>
          <w:p>
            <w:pPr>
              <w:adjustRightInd w:val="0"/>
              <w:snapToGrid w:val="0"/>
              <w:spacing w:line="360" w:lineRule="auto"/>
              <w:ind w:firstLine="420" w:firstLineChars="200"/>
              <w:rPr>
                <w:szCs w:val="21"/>
              </w:rPr>
            </w:pPr>
            <w:r>
              <w:rPr>
                <w:szCs w:val="21"/>
              </w:rPr>
              <w:t>据查《淄博市人民政府办公室关于印发＜淄博市城区噪声标准适用区域划分及管理规定＞的通知》（淄政办字〔2019〕43号），本项目所在地不属于淄博市城区噪声标准适用区域，其厂界周边50m范围内无声环境保护目标，据现场调查，项目所在地的环境噪声能够满足《声环境质量标准》（GB3096-2008）2 类标准限值要求。</w:t>
            </w:r>
          </w:p>
          <w:p>
            <w:pPr>
              <w:adjustRightInd w:val="0"/>
              <w:snapToGrid w:val="0"/>
              <w:spacing w:line="360" w:lineRule="auto"/>
              <w:ind w:firstLine="420" w:firstLineChars="200"/>
              <w:rPr>
                <w:szCs w:val="21"/>
              </w:rPr>
            </w:pPr>
            <w:r>
              <w:rPr>
                <w:szCs w:val="21"/>
              </w:rPr>
              <w:t>4、生态环境</w:t>
            </w:r>
          </w:p>
          <w:p>
            <w:pPr>
              <w:adjustRightInd w:val="0"/>
              <w:snapToGrid w:val="0"/>
              <w:spacing w:line="360" w:lineRule="auto"/>
              <w:ind w:firstLine="420" w:firstLineChars="200"/>
              <w:rPr>
                <w:szCs w:val="21"/>
              </w:rPr>
            </w:pPr>
            <w:r>
              <w:rPr>
                <w:szCs w:val="21"/>
              </w:rPr>
              <w:t>本项目依托现有厂区厂房，</w:t>
            </w:r>
            <w:r>
              <w:t>不新增占地，且用地范围内无生态环境保护目标，无需进行生态现状调查</w:t>
            </w:r>
            <w:r>
              <w:rPr>
                <w:szCs w:val="21"/>
              </w:rPr>
              <w:t>。</w:t>
            </w:r>
          </w:p>
          <w:p>
            <w:pPr>
              <w:adjustRightInd w:val="0"/>
              <w:snapToGrid w:val="0"/>
              <w:spacing w:line="360" w:lineRule="auto"/>
              <w:ind w:firstLine="420" w:firstLineChars="200"/>
              <w:rPr>
                <w:szCs w:val="21"/>
              </w:rPr>
            </w:pPr>
            <w:r>
              <w:rPr>
                <w:szCs w:val="21"/>
              </w:rPr>
              <w:t>5、电磁辐射</w:t>
            </w:r>
          </w:p>
          <w:p>
            <w:pPr>
              <w:adjustRightInd w:val="0"/>
              <w:snapToGrid w:val="0"/>
              <w:spacing w:line="360" w:lineRule="auto"/>
              <w:ind w:firstLine="420" w:firstLineChars="200"/>
              <w:jc w:val="left"/>
              <w:rPr>
                <w:kern w:val="0"/>
                <w:szCs w:val="21"/>
              </w:rPr>
            </w:pPr>
            <w:r>
              <w:rPr>
                <w:szCs w:val="21"/>
              </w:rPr>
              <w:t>本项目不属于广播电台、差转台、电视塔台、卫星地球上行站、雷达等电磁辐射类项目，本评价不再开展电磁环境影响分析</w:t>
            </w:r>
            <w:r>
              <w:rPr>
                <w:sz w:val="24"/>
              </w:rPr>
              <w:t>。</w:t>
            </w:r>
          </w:p>
          <w:p>
            <w:pPr>
              <w:adjustRightInd w:val="0"/>
              <w:snapToGrid w:val="0"/>
              <w:spacing w:line="360" w:lineRule="auto"/>
              <w:ind w:firstLine="420" w:firstLineChars="200"/>
              <w:rPr>
                <w:szCs w:val="21"/>
              </w:rPr>
            </w:pPr>
            <w:r>
              <w:rPr>
                <w:szCs w:val="21"/>
              </w:rPr>
              <w:t>6、地下水、土壤环境</w:t>
            </w:r>
          </w:p>
          <w:p>
            <w:pPr>
              <w:adjustRightInd w:val="0"/>
              <w:snapToGrid w:val="0"/>
              <w:spacing w:line="360" w:lineRule="auto"/>
              <w:ind w:firstLine="420" w:firstLineChars="200"/>
              <w:rPr>
                <w:kern w:val="21"/>
                <w:szCs w:val="21"/>
              </w:rPr>
            </w:pPr>
            <w:r>
              <w:rPr>
                <w:szCs w:val="21"/>
              </w:rPr>
              <w:t>本项目建成后，通过采取严格的防渗措施，可避免对地下水、土壤环境造成不利影响，故本评价无需开展地下水、土壤现状调查。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0" w:type="pct"/>
            <w:vAlign w:val="center"/>
          </w:tcPr>
          <w:p>
            <w:pPr>
              <w:adjustRightInd w:val="0"/>
              <w:snapToGrid w:val="0"/>
              <w:jc w:val="center"/>
              <w:rPr>
                <w:bCs/>
                <w:kern w:val="21"/>
                <w:szCs w:val="21"/>
              </w:rPr>
            </w:pPr>
            <w:r>
              <w:rPr>
                <w:bCs/>
                <w:kern w:val="21"/>
                <w:szCs w:val="21"/>
              </w:rPr>
              <w:t>环境</w:t>
            </w:r>
          </w:p>
          <w:p>
            <w:pPr>
              <w:adjustRightInd w:val="0"/>
              <w:snapToGrid w:val="0"/>
              <w:jc w:val="center"/>
              <w:rPr>
                <w:bCs/>
                <w:kern w:val="21"/>
                <w:szCs w:val="21"/>
              </w:rPr>
            </w:pPr>
            <w:r>
              <w:rPr>
                <w:bCs/>
                <w:kern w:val="21"/>
                <w:szCs w:val="21"/>
              </w:rPr>
              <w:t>保护</w:t>
            </w:r>
          </w:p>
          <w:p>
            <w:pPr>
              <w:adjustRightInd w:val="0"/>
              <w:snapToGrid w:val="0"/>
              <w:jc w:val="center"/>
              <w:rPr>
                <w:kern w:val="21"/>
                <w:szCs w:val="21"/>
              </w:rPr>
            </w:pPr>
            <w:r>
              <w:rPr>
                <w:bCs/>
                <w:kern w:val="21"/>
                <w:szCs w:val="21"/>
              </w:rPr>
              <w:t>目标</w:t>
            </w:r>
          </w:p>
        </w:tc>
        <w:tc>
          <w:tcPr>
            <w:tcW w:w="4549" w:type="pct"/>
            <w:vAlign w:val="center"/>
          </w:tcPr>
          <w:p>
            <w:pPr>
              <w:pStyle w:val="11"/>
              <w:spacing w:line="360" w:lineRule="auto"/>
              <w:ind w:firstLine="420" w:firstLineChars="200"/>
              <w:rPr>
                <w:kern w:val="2"/>
                <w:sz w:val="21"/>
                <w:szCs w:val="21"/>
              </w:rPr>
            </w:pPr>
            <w:r>
              <w:rPr>
                <w:kern w:val="2"/>
                <w:sz w:val="21"/>
                <w:szCs w:val="21"/>
              </w:rPr>
              <w:t>本项目所在区域内无自然保护区、保护文物及风景名胜区等特殊环境敏感目标。主要环境保护目标见表3-2，附图3。</w:t>
            </w:r>
          </w:p>
          <w:p>
            <w:pPr>
              <w:jc w:val="center"/>
              <w:rPr>
                <w:b/>
                <w:sz w:val="24"/>
              </w:rPr>
            </w:pPr>
            <w:r>
              <w:rPr>
                <w:b/>
                <w:szCs w:val="21"/>
              </w:rPr>
              <w:t>表3-2 主要环境保护目标及级别一览表</w:t>
            </w:r>
          </w:p>
          <w:tbl>
            <w:tblPr>
              <w:tblStyle w:val="4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83"/>
              <w:gridCol w:w="854"/>
              <w:gridCol w:w="702"/>
              <w:gridCol w:w="355"/>
              <w:gridCol w:w="395"/>
              <w:gridCol w:w="1316"/>
              <w:gridCol w:w="651"/>
              <w:gridCol w:w="1084"/>
              <w:gridCol w:w="17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52" w:type="pct"/>
                  <w:tcBorders>
                    <w:tl2br w:val="nil"/>
                    <w:tr2bl w:val="nil"/>
                  </w:tcBorders>
                  <w:vAlign w:val="center"/>
                </w:tcPr>
                <w:p>
                  <w:pPr>
                    <w:adjustRightInd w:val="0"/>
                    <w:snapToGrid w:val="0"/>
                    <w:spacing w:line="0" w:lineRule="atLeast"/>
                    <w:ind w:firstLine="105" w:firstLineChars="50"/>
                    <w:jc w:val="center"/>
                    <w:rPr>
                      <w:b/>
                      <w:szCs w:val="21"/>
                    </w:rPr>
                  </w:pPr>
                  <w:r>
                    <w:rPr>
                      <w:b/>
                      <w:szCs w:val="21"/>
                    </w:rPr>
                    <w:t>序号</w:t>
                  </w:r>
                </w:p>
              </w:tc>
              <w:tc>
                <w:tcPr>
                  <w:tcW w:w="534" w:type="pct"/>
                  <w:tcBorders>
                    <w:tl2br w:val="nil"/>
                    <w:tr2bl w:val="nil"/>
                  </w:tcBorders>
                  <w:vAlign w:val="center"/>
                </w:tcPr>
                <w:p>
                  <w:pPr>
                    <w:adjustRightInd w:val="0"/>
                    <w:snapToGrid w:val="0"/>
                    <w:spacing w:line="0" w:lineRule="atLeast"/>
                    <w:jc w:val="center"/>
                    <w:rPr>
                      <w:b/>
                      <w:szCs w:val="21"/>
                    </w:rPr>
                  </w:pPr>
                  <w:r>
                    <w:rPr>
                      <w:b/>
                      <w:szCs w:val="21"/>
                    </w:rPr>
                    <w:t>名称</w:t>
                  </w:r>
                </w:p>
              </w:tc>
              <w:tc>
                <w:tcPr>
                  <w:tcW w:w="439" w:type="pct"/>
                  <w:tcBorders>
                    <w:tl2br w:val="nil"/>
                    <w:tr2bl w:val="nil"/>
                  </w:tcBorders>
                  <w:vAlign w:val="center"/>
                </w:tcPr>
                <w:p>
                  <w:pPr>
                    <w:jc w:val="center"/>
                    <w:rPr>
                      <w:b/>
                      <w:bCs/>
                      <w:szCs w:val="21"/>
                    </w:rPr>
                  </w:pPr>
                  <w:r>
                    <w:rPr>
                      <w:b/>
                      <w:bCs/>
                      <w:szCs w:val="21"/>
                    </w:rPr>
                    <w:t>保护</w:t>
                  </w:r>
                </w:p>
                <w:p>
                  <w:pPr>
                    <w:jc w:val="center"/>
                    <w:rPr>
                      <w:b/>
                      <w:bCs/>
                      <w:szCs w:val="21"/>
                    </w:rPr>
                  </w:pPr>
                  <w:r>
                    <w:rPr>
                      <w:b/>
                      <w:bCs/>
                      <w:szCs w:val="21"/>
                    </w:rPr>
                    <w:t>对象</w:t>
                  </w:r>
                </w:p>
              </w:tc>
              <w:tc>
                <w:tcPr>
                  <w:tcW w:w="469" w:type="pct"/>
                  <w:gridSpan w:val="2"/>
                  <w:tcBorders>
                    <w:tl2br w:val="nil"/>
                    <w:tr2bl w:val="nil"/>
                  </w:tcBorders>
                  <w:vAlign w:val="center"/>
                </w:tcPr>
                <w:p>
                  <w:pPr>
                    <w:jc w:val="center"/>
                    <w:rPr>
                      <w:b/>
                      <w:bCs/>
                      <w:szCs w:val="21"/>
                    </w:rPr>
                  </w:pPr>
                  <w:r>
                    <w:rPr>
                      <w:b/>
                      <w:bCs/>
                      <w:szCs w:val="21"/>
                    </w:rPr>
                    <w:t>保护</w:t>
                  </w:r>
                </w:p>
                <w:p>
                  <w:pPr>
                    <w:jc w:val="center"/>
                    <w:rPr>
                      <w:b/>
                      <w:bCs/>
                      <w:szCs w:val="21"/>
                    </w:rPr>
                  </w:pPr>
                  <w:r>
                    <w:rPr>
                      <w:b/>
                      <w:bCs/>
                      <w:szCs w:val="21"/>
                    </w:rPr>
                    <w:t>内容</w:t>
                  </w:r>
                </w:p>
              </w:tc>
              <w:tc>
                <w:tcPr>
                  <w:tcW w:w="823" w:type="pct"/>
                  <w:tcBorders>
                    <w:tl2br w:val="nil"/>
                    <w:tr2bl w:val="nil"/>
                  </w:tcBorders>
                  <w:vAlign w:val="center"/>
                </w:tcPr>
                <w:p>
                  <w:pPr>
                    <w:jc w:val="center"/>
                    <w:rPr>
                      <w:b/>
                      <w:bCs/>
                      <w:szCs w:val="21"/>
                    </w:rPr>
                  </w:pPr>
                  <w:r>
                    <w:rPr>
                      <w:b/>
                      <w:bCs/>
                      <w:szCs w:val="21"/>
                    </w:rPr>
                    <w:t>环境功能区</w:t>
                  </w:r>
                </w:p>
              </w:tc>
              <w:tc>
                <w:tcPr>
                  <w:tcW w:w="407" w:type="pct"/>
                  <w:tcBorders>
                    <w:tl2br w:val="nil"/>
                    <w:tr2bl w:val="nil"/>
                  </w:tcBorders>
                  <w:vAlign w:val="center"/>
                </w:tcPr>
                <w:p>
                  <w:pPr>
                    <w:spacing w:line="0" w:lineRule="atLeast"/>
                    <w:jc w:val="center"/>
                    <w:rPr>
                      <w:b/>
                      <w:bCs/>
                      <w:szCs w:val="21"/>
                    </w:rPr>
                  </w:pPr>
                  <w:r>
                    <w:rPr>
                      <w:b/>
                      <w:bCs/>
                      <w:szCs w:val="21"/>
                    </w:rPr>
                    <w:t>相对方位</w:t>
                  </w:r>
                </w:p>
              </w:tc>
              <w:tc>
                <w:tcPr>
                  <w:tcW w:w="677" w:type="pct"/>
                  <w:tcBorders>
                    <w:tl2br w:val="nil"/>
                    <w:tr2bl w:val="nil"/>
                  </w:tcBorders>
                  <w:vAlign w:val="center"/>
                </w:tcPr>
                <w:p>
                  <w:pPr>
                    <w:spacing w:line="0" w:lineRule="atLeast"/>
                    <w:jc w:val="center"/>
                    <w:rPr>
                      <w:b/>
                      <w:bCs/>
                      <w:szCs w:val="21"/>
                    </w:rPr>
                  </w:pPr>
                  <w:r>
                    <w:rPr>
                      <w:b/>
                      <w:bCs/>
                      <w:szCs w:val="21"/>
                    </w:rPr>
                    <w:t>相对距离（m）</w:t>
                  </w:r>
                </w:p>
              </w:tc>
              <w:tc>
                <w:tcPr>
                  <w:tcW w:w="1097" w:type="pct"/>
                  <w:tcBorders>
                    <w:tl2br w:val="nil"/>
                    <w:tr2bl w:val="nil"/>
                  </w:tcBorders>
                  <w:vAlign w:val="center"/>
                </w:tcPr>
                <w:p>
                  <w:pPr>
                    <w:adjustRightInd w:val="0"/>
                    <w:snapToGrid w:val="0"/>
                    <w:spacing w:line="0" w:lineRule="atLeast"/>
                    <w:jc w:val="center"/>
                    <w:rPr>
                      <w:b/>
                      <w:szCs w:val="21"/>
                    </w:rPr>
                  </w:pPr>
                  <w:r>
                    <w:rPr>
                      <w:b/>
                      <w:szCs w:val="21"/>
                    </w:rPr>
                    <w:t>环境功能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26" w:hRule="atLeast"/>
                <w:jc w:val="center"/>
              </w:trPr>
              <w:tc>
                <w:tcPr>
                  <w:tcW w:w="552" w:type="pct"/>
                  <w:tcBorders>
                    <w:tl2br w:val="nil"/>
                    <w:tr2bl w:val="nil"/>
                  </w:tcBorders>
                  <w:vAlign w:val="center"/>
                </w:tcPr>
                <w:p>
                  <w:pPr>
                    <w:adjustRightInd w:val="0"/>
                    <w:snapToGrid w:val="0"/>
                    <w:jc w:val="center"/>
                    <w:rPr>
                      <w:kern w:val="0"/>
                      <w:szCs w:val="21"/>
                    </w:rPr>
                  </w:pPr>
                  <w:r>
                    <w:rPr>
                      <w:kern w:val="0"/>
                      <w:szCs w:val="21"/>
                    </w:rPr>
                    <w:t>环境</w:t>
                  </w:r>
                </w:p>
                <w:p>
                  <w:pPr>
                    <w:adjustRightInd w:val="0"/>
                    <w:snapToGrid w:val="0"/>
                    <w:jc w:val="center"/>
                    <w:rPr>
                      <w:kern w:val="0"/>
                      <w:szCs w:val="21"/>
                    </w:rPr>
                  </w:pPr>
                  <w:r>
                    <w:rPr>
                      <w:kern w:val="0"/>
                      <w:szCs w:val="21"/>
                    </w:rPr>
                    <w:t>空气</w:t>
                  </w:r>
                </w:p>
              </w:tc>
              <w:tc>
                <w:tcPr>
                  <w:tcW w:w="534" w:type="pct"/>
                  <w:tcBorders>
                    <w:tl2br w:val="nil"/>
                    <w:tr2bl w:val="nil"/>
                  </w:tcBorders>
                  <w:vAlign w:val="center"/>
                </w:tcPr>
                <w:p>
                  <w:pPr>
                    <w:adjustRightInd w:val="0"/>
                    <w:snapToGrid w:val="0"/>
                    <w:jc w:val="center"/>
                    <w:rPr>
                      <w:kern w:val="0"/>
                      <w:szCs w:val="21"/>
                    </w:rPr>
                  </w:pPr>
                  <w:r>
                    <w:rPr>
                      <w:kern w:val="0"/>
                      <w:szCs w:val="21"/>
                    </w:rPr>
                    <w:t>大旦村</w:t>
                  </w:r>
                </w:p>
              </w:tc>
              <w:tc>
                <w:tcPr>
                  <w:tcW w:w="439" w:type="pct"/>
                  <w:tcBorders>
                    <w:tl2br w:val="nil"/>
                    <w:tr2bl w:val="nil"/>
                  </w:tcBorders>
                  <w:vAlign w:val="center"/>
                </w:tcPr>
                <w:p>
                  <w:pPr>
                    <w:adjustRightInd w:val="0"/>
                    <w:snapToGrid w:val="0"/>
                    <w:jc w:val="center"/>
                    <w:rPr>
                      <w:kern w:val="0"/>
                      <w:szCs w:val="21"/>
                    </w:rPr>
                  </w:pPr>
                  <w:r>
                    <w:rPr>
                      <w:kern w:val="0"/>
                      <w:szCs w:val="21"/>
                    </w:rPr>
                    <w:t>人群</w:t>
                  </w:r>
                </w:p>
              </w:tc>
              <w:tc>
                <w:tcPr>
                  <w:tcW w:w="469" w:type="pct"/>
                  <w:gridSpan w:val="2"/>
                  <w:tcBorders>
                    <w:tl2br w:val="nil"/>
                    <w:tr2bl w:val="nil"/>
                  </w:tcBorders>
                  <w:vAlign w:val="center"/>
                </w:tcPr>
                <w:p>
                  <w:pPr>
                    <w:adjustRightInd w:val="0"/>
                    <w:snapToGrid w:val="0"/>
                    <w:jc w:val="center"/>
                    <w:rPr>
                      <w:kern w:val="0"/>
                      <w:szCs w:val="21"/>
                    </w:rPr>
                  </w:pPr>
                  <w:r>
                    <w:rPr>
                      <w:kern w:val="0"/>
                      <w:szCs w:val="21"/>
                    </w:rPr>
                    <w:t>大气环境</w:t>
                  </w:r>
                </w:p>
              </w:tc>
              <w:tc>
                <w:tcPr>
                  <w:tcW w:w="823" w:type="pct"/>
                  <w:tcBorders>
                    <w:tl2br w:val="nil"/>
                    <w:tr2bl w:val="nil"/>
                  </w:tcBorders>
                  <w:vAlign w:val="center"/>
                </w:tcPr>
                <w:p>
                  <w:pPr>
                    <w:adjustRightInd w:val="0"/>
                    <w:snapToGrid w:val="0"/>
                    <w:jc w:val="center"/>
                    <w:rPr>
                      <w:kern w:val="0"/>
                      <w:szCs w:val="21"/>
                    </w:rPr>
                  </w:pPr>
                  <w:r>
                    <w:rPr>
                      <w:kern w:val="0"/>
                      <w:szCs w:val="21"/>
                    </w:rPr>
                    <w:t>二类区</w:t>
                  </w:r>
                </w:p>
              </w:tc>
              <w:tc>
                <w:tcPr>
                  <w:tcW w:w="407" w:type="pct"/>
                  <w:tcBorders>
                    <w:tl2br w:val="nil"/>
                    <w:tr2bl w:val="nil"/>
                  </w:tcBorders>
                  <w:vAlign w:val="center"/>
                </w:tcPr>
                <w:p>
                  <w:pPr>
                    <w:adjustRightInd w:val="0"/>
                    <w:snapToGrid w:val="0"/>
                    <w:jc w:val="center"/>
                    <w:rPr>
                      <w:kern w:val="0"/>
                      <w:szCs w:val="21"/>
                    </w:rPr>
                  </w:pPr>
                  <w:r>
                    <w:rPr>
                      <w:kern w:val="0"/>
                      <w:szCs w:val="21"/>
                    </w:rPr>
                    <w:t>S</w:t>
                  </w:r>
                </w:p>
              </w:tc>
              <w:tc>
                <w:tcPr>
                  <w:tcW w:w="677" w:type="pct"/>
                  <w:tcBorders>
                    <w:tl2br w:val="nil"/>
                    <w:tr2bl w:val="nil"/>
                  </w:tcBorders>
                  <w:vAlign w:val="center"/>
                </w:tcPr>
                <w:p>
                  <w:pPr>
                    <w:adjustRightInd w:val="0"/>
                    <w:snapToGrid w:val="0"/>
                    <w:jc w:val="center"/>
                    <w:rPr>
                      <w:kern w:val="0"/>
                      <w:szCs w:val="21"/>
                    </w:rPr>
                  </w:pPr>
                  <w:r>
                    <w:rPr>
                      <w:kern w:val="0"/>
                      <w:szCs w:val="21"/>
                    </w:rPr>
                    <w:t>400</w:t>
                  </w:r>
                </w:p>
              </w:tc>
              <w:tc>
                <w:tcPr>
                  <w:tcW w:w="1097" w:type="pct"/>
                  <w:tcBorders>
                    <w:tl2br w:val="nil"/>
                    <w:tr2bl w:val="nil"/>
                  </w:tcBorders>
                  <w:vAlign w:val="center"/>
                </w:tcPr>
                <w:p>
                  <w:pPr>
                    <w:adjustRightInd w:val="0"/>
                    <w:snapToGrid w:val="0"/>
                    <w:jc w:val="center"/>
                    <w:rPr>
                      <w:kern w:val="0"/>
                      <w:szCs w:val="21"/>
                    </w:rPr>
                  </w:pPr>
                  <w:r>
                    <w:rPr>
                      <w:kern w:val="0"/>
                      <w:szCs w:val="21"/>
                    </w:rPr>
                    <w:t>《环境空气质量标准》（GB3095-2012）中的二级标准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08" w:hRule="atLeast"/>
                <w:jc w:val="center"/>
              </w:trPr>
              <w:tc>
                <w:tcPr>
                  <w:tcW w:w="552" w:type="pct"/>
                  <w:tcBorders>
                    <w:tl2br w:val="nil"/>
                    <w:tr2bl w:val="nil"/>
                  </w:tcBorders>
                  <w:vAlign w:val="center"/>
                </w:tcPr>
                <w:p>
                  <w:pPr>
                    <w:adjustRightInd w:val="0"/>
                    <w:snapToGrid w:val="0"/>
                    <w:jc w:val="center"/>
                    <w:rPr>
                      <w:kern w:val="0"/>
                      <w:szCs w:val="21"/>
                    </w:rPr>
                  </w:pPr>
                  <w:r>
                    <w:rPr>
                      <w:kern w:val="0"/>
                      <w:szCs w:val="21"/>
                    </w:rPr>
                    <w:t>声环境</w:t>
                  </w:r>
                </w:p>
              </w:tc>
              <w:tc>
                <w:tcPr>
                  <w:tcW w:w="3350" w:type="pct"/>
                  <w:gridSpan w:val="7"/>
                  <w:tcBorders>
                    <w:tl2br w:val="nil"/>
                    <w:tr2bl w:val="nil"/>
                  </w:tcBorders>
                  <w:vAlign w:val="center"/>
                </w:tcPr>
                <w:p>
                  <w:pPr>
                    <w:adjustRightInd w:val="0"/>
                    <w:snapToGrid w:val="0"/>
                    <w:jc w:val="center"/>
                    <w:rPr>
                      <w:kern w:val="0"/>
                      <w:szCs w:val="21"/>
                    </w:rPr>
                  </w:pPr>
                  <w:r>
                    <w:rPr>
                      <w:kern w:val="0"/>
                      <w:szCs w:val="21"/>
                    </w:rPr>
                    <w:t>本项目厂界外50m范围内无声环境敏感保护目标</w:t>
                  </w:r>
                </w:p>
              </w:tc>
              <w:tc>
                <w:tcPr>
                  <w:tcW w:w="1097" w:type="pct"/>
                  <w:tcBorders>
                    <w:tl2br w:val="nil"/>
                    <w:tr2bl w:val="nil"/>
                  </w:tcBorders>
                  <w:vAlign w:val="center"/>
                </w:tcPr>
                <w:p>
                  <w:pPr>
                    <w:adjustRightInd w:val="0"/>
                    <w:snapToGrid w:val="0"/>
                    <w:jc w:val="center"/>
                    <w:rPr>
                      <w:kern w:val="0"/>
                      <w:szCs w:val="21"/>
                    </w:rPr>
                  </w:pPr>
                  <w:r>
                    <w:rPr>
                      <w:kern w:val="0"/>
                      <w:szCs w:val="21"/>
                    </w:rPr>
                    <w:t>《声环境质量标准》（GB3096-2008）中2类区标准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552" w:type="pct"/>
                  <w:tcBorders>
                    <w:tl2br w:val="nil"/>
                    <w:tr2bl w:val="nil"/>
                  </w:tcBorders>
                  <w:vAlign w:val="center"/>
                </w:tcPr>
                <w:p>
                  <w:pPr>
                    <w:adjustRightInd w:val="0"/>
                    <w:snapToGrid w:val="0"/>
                    <w:jc w:val="center"/>
                    <w:rPr>
                      <w:kern w:val="0"/>
                      <w:szCs w:val="21"/>
                    </w:rPr>
                  </w:pPr>
                  <w:r>
                    <w:rPr>
                      <w:rFonts w:hint="eastAsia"/>
                      <w:kern w:val="0"/>
                      <w:szCs w:val="21"/>
                    </w:rPr>
                    <w:t>地表水环境</w:t>
                  </w:r>
                </w:p>
              </w:tc>
              <w:tc>
                <w:tcPr>
                  <w:tcW w:w="1195" w:type="pct"/>
                  <w:gridSpan w:val="3"/>
                  <w:tcBorders>
                    <w:tl2br w:val="nil"/>
                    <w:tr2bl w:val="nil"/>
                  </w:tcBorders>
                  <w:vAlign w:val="center"/>
                </w:tcPr>
                <w:p>
                  <w:pPr>
                    <w:adjustRightInd w:val="0"/>
                    <w:snapToGrid w:val="0"/>
                    <w:jc w:val="center"/>
                    <w:rPr>
                      <w:kern w:val="0"/>
                      <w:szCs w:val="21"/>
                    </w:rPr>
                  </w:pPr>
                  <w:r>
                    <w:rPr>
                      <w:rFonts w:hint="eastAsia"/>
                      <w:kern w:val="0"/>
                      <w:szCs w:val="21"/>
                    </w:rPr>
                    <w:t>漫泗河</w:t>
                  </w:r>
                </w:p>
              </w:tc>
              <w:tc>
                <w:tcPr>
                  <w:tcW w:w="1070" w:type="pct"/>
                  <w:gridSpan w:val="2"/>
                  <w:tcBorders>
                    <w:tl2br w:val="nil"/>
                    <w:tr2bl w:val="nil"/>
                  </w:tcBorders>
                  <w:vAlign w:val="center"/>
                </w:tcPr>
                <w:p>
                  <w:pPr>
                    <w:adjustRightInd w:val="0"/>
                    <w:snapToGrid w:val="0"/>
                    <w:jc w:val="center"/>
                    <w:rPr>
                      <w:kern w:val="0"/>
                      <w:szCs w:val="21"/>
                    </w:rPr>
                  </w:pPr>
                  <w:r>
                    <w:rPr>
                      <w:rFonts w:hint="eastAsia"/>
                      <w:kern w:val="0"/>
                      <w:szCs w:val="21"/>
                    </w:rPr>
                    <w:t>SW</w:t>
                  </w:r>
                </w:p>
              </w:tc>
              <w:tc>
                <w:tcPr>
                  <w:tcW w:w="1085" w:type="pct"/>
                  <w:gridSpan w:val="2"/>
                  <w:tcBorders>
                    <w:tl2br w:val="nil"/>
                    <w:tr2bl w:val="nil"/>
                  </w:tcBorders>
                  <w:vAlign w:val="center"/>
                </w:tcPr>
                <w:p>
                  <w:pPr>
                    <w:adjustRightInd w:val="0"/>
                    <w:snapToGrid w:val="0"/>
                    <w:jc w:val="center"/>
                    <w:rPr>
                      <w:kern w:val="0"/>
                      <w:szCs w:val="21"/>
                    </w:rPr>
                  </w:pPr>
                  <w:r>
                    <w:rPr>
                      <w:rFonts w:hint="eastAsia"/>
                      <w:kern w:val="0"/>
                      <w:szCs w:val="21"/>
                    </w:rPr>
                    <w:t>750</w:t>
                  </w:r>
                </w:p>
              </w:tc>
              <w:tc>
                <w:tcPr>
                  <w:tcW w:w="1097" w:type="pct"/>
                  <w:tcBorders>
                    <w:tl2br w:val="nil"/>
                    <w:tr2bl w:val="nil"/>
                  </w:tcBorders>
                  <w:vAlign w:val="center"/>
                </w:tcPr>
                <w:p>
                  <w:pPr>
                    <w:adjustRightInd w:val="0"/>
                    <w:snapToGrid w:val="0"/>
                    <w:jc w:val="center"/>
                    <w:rPr>
                      <w:kern w:val="0"/>
                      <w:szCs w:val="21"/>
                    </w:rPr>
                  </w:pPr>
                  <w:r>
                    <w:rPr>
                      <w:kern w:val="0"/>
                      <w:szCs w:val="21"/>
                    </w:rPr>
                    <w:t>《地表水环境质量标准》(GB3838-2002）</w:t>
                  </w:r>
                  <w:r>
                    <w:rPr>
                      <w:rFonts w:hint="eastAsia"/>
                      <w:kern w:val="0"/>
                      <w:szCs w:val="21"/>
                    </w:rPr>
                    <w:t>Ⅴ</w:t>
                  </w:r>
                  <w:r>
                    <w:rPr>
                      <w:kern w:val="0"/>
                      <w:szCs w:val="21"/>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52" w:type="pct"/>
                  <w:tcBorders>
                    <w:tl2br w:val="nil"/>
                    <w:tr2bl w:val="nil"/>
                  </w:tcBorders>
                  <w:vAlign w:val="center"/>
                </w:tcPr>
                <w:p>
                  <w:pPr>
                    <w:adjustRightInd w:val="0"/>
                    <w:snapToGrid w:val="0"/>
                    <w:jc w:val="center"/>
                    <w:rPr>
                      <w:kern w:val="0"/>
                      <w:szCs w:val="21"/>
                    </w:rPr>
                  </w:pPr>
                  <w:r>
                    <w:rPr>
                      <w:kern w:val="0"/>
                      <w:szCs w:val="21"/>
                    </w:rPr>
                    <w:t>地下</w:t>
                  </w:r>
                </w:p>
                <w:p>
                  <w:pPr>
                    <w:adjustRightInd w:val="0"/>
                    <w:snapToGrid w:val="0"/>
                    <w:jc w:val="center"/>
                    <w:rPr>
                      <w:kern w:val="0"/>
                      <w:szCs w:val="21"/>
                    </w:rPr>
                  </w:pPr>
                  <w:r>
                    <w:rPr>
                      <w:kern w:val="0"/>
                      <w:szCs w:val="21"/>
                    </w:rPr>
                    <w:t>水环境</w:t>
                  </w:r>
                </w:p>
              </w:tc>
              <w:tc>
                <w:tcPr>
                  <w:tcW w:w="4447" w:type="pct"/>
                  <w:gridSpan w:val="8"/>
                  <w:tcBorders>
                    <w:tl2br w:val="nil"/>
                    <w:tr2bl w:val="nil"/>
                  </w:tcBorders>
                  <w:vAlign w:val="center"/>
                </w:tcPr>
                <w:p>
                  <w:pPr>
                    <w:adjustRightInd w:val="0"/>
                    <w:snapToGrid w:val="0"/>
                    <w:jc w:val="center"/>
                    <w:rPr>
                      <w:kern w:val="0"/>
                      <w:szCs w:val="21"/>
                    </w:rPr>
                  </w:pPr>
                  <w:r>
                    <w:rPr>
                      <w:kern w:val="0"/>
                      <w:szCs w:val="21"/>
                    </w:rPr>
                    <w:t>本项目厂界外500m范围内无地下水集中式饮用水水源和热水、矿泉水、温泉等特殊地下水资源。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52" w:type="pct"/>
                  <w:tcBorders>
                    <w:tl2br w:val="nil"/>
                    <w:tr2bl w:val="nil"/>
                  </w:tcBorders>
                  <w:vAlign w:val="center"/>
                </w:tcPr>
                <w:p>
                  <w:pPr>
                    <w:adjustRightInd w:val="0"/>
                    <w:snapToGrid w:val="0"/>
                    <w:jc w:val="center"/>
                    <w:rPr>
                      <w:kern w:val="0"/>
                      <w:szCs w:val="21"/>
                    </w:rPr>
                  </w:pPr>
                  <w:r>
                    <w:rPr>
                      <w:kern w:val="0"/>
                      <w:szCs w:val="21"/>
                    </w:rPr>
                    <w:t>生态</w:t>
                  </w:r>
                </w:p>
                <w:p>
                  <w:pPr>
                    <w:adjustRightInd w:val="0"/>
                    <w:snapToGrid w:val="0"/>
                    <w:jc w:val="center"/>
                    <w:rPr>
                      <w:kern w:val="0"/>
                      <w:szCs w:val="21"/>
                    </w:rPr>
                  </w:pPr>
                  <w:r>
                    <w:rPr>
                      <w:kern w:val="0"/>
                      <w:szCs w:val="21"/>
                    </w:rPr>
                    <w:t>环境</w:t>
                  </w:r>
                </w:p>
              </w:tc>
              <w:tc>
                <w:tcPr>
                  <w:tcW w:w="4447" w:type="pct"/>
                  <w:gridSpan w:val="8"/>
                  <w:tcBorders>
                    <w:tl2br w:val="nil"/>
                    <w:tr2bl w:val="nil"/>
                  </w:tcBorders>
                  <w:vAlign w:val="center"/>
                </w:tcPr>
                <w:p>
                  <w:pPr>
                    <w:adjustRightInd w:val="0"/>
                    <w:snapToGrid w:val="0"/>
                    <w:jc w:val="center"/>
                    <w:rPr>
                      <w:kern w:val="0"/>
                      <w:szCs w:val="21"/>
                    </w:rPr>
                  </w:pPr>
                  <w:r>
                    <w:rPr>
                      <w:kern w:val="0"/>
                      <w:szCs w:val="21"/>
                    </w:rPr>
                    <w:t>本项目租赁山东省淄博市经济开发区南定镇昌盛路9-7号厂房进行建设，无新增建设用地，无生态环境保护目标。</w:t>
                  </w:r>
                </w:p>
              </w:tc>
            </w:tr>
          </w:tbl>
          <w:p>
            <w:pPr>
              <w:adjustRightInd w:val="0"/>
              <w:snapToGrid w:val="0"/>
              <w:ind w:firstLine="420" w:firstLineChars="200"/>
              <w:rPr>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0" w:type="pct"/>
            <w:tcMar>
              <w:left w:w="28" w:type="dxa"/>
              <w:right w:w="28" w:type="dxa"/>
            </w:tcMar>
            <w:vAlign w:val="center"/>
          </w:tcPr>
          <w:p>
            <w:pPr>
              <w:adjustRightInd w:val="0"/>
              <w:snapToGrid w:val="0"/>
              <w:jc w:val="center"/>
              <w:rPr>
                <w:bCs/>
                <w:kern w:val="21"/>
                <w:szCs w:val="21"/>
              </w:rPr>
            </w:pPr>
            <w:r>
              <w:rPr>
                <w:bCs/>
                <w:kern w:val="21"/>
                <w:szCs w:val="21"/>
              </w:rPr>
              <w:t>污染</w:t>
            </w:r>
          </w:p>
          <w:p>
            <w:pPr>
              <w:adjustRightInd w:val="0"/>
              <w:snapToGrid w:val="0"/>
              <w:jc w:val="center"/>
              <w:rPr>
                <w:bCs/>
                <w:kern w:val="21"/>
                <w:szCs w:val="21"/>
              </w:rPr>
            </w:pPr>
            <w:r>
              <w:rPr>
                <w:bCs/>
                <w:kern w:val="21"/>
                <w:szCs w:val="21"/>
              </w:rPr>
              <w:t>物排</w:t>
            </w:r>
          </w:p>
          <w:p>
            <w:pPr>
              <w:adjustRightInd w:val="0"/>
              <w:snapToGrid w:val="0"/>
              <w:jc w:val="center"/>
              <w:rPr>
                <w:bCs/>
                <w:kern w:val="21"/>
                <w:szCs w:val="21"/>
              </w:rPr>
            </w:pPr>
            <w:r>
              <w:rPr>
                <w:bCs/>
                <w:kern w:val="21"/>
                <w:szCs w:val="21"/>
              </w:rPr>
              <w:t>放控</w:t>
            </w:r>
          </w:p>
          <w:p>
            <w:pPr>
              <w:adjustRightInd w:val="0"/>
              <w:snapToGrid w:val="0"/>
              <w:jc w:val="center"/>
              <w:rPr>
                <w:bCs/>
                <w:kern w:val="21"/>
                <w:szCs w:val="21"/>
              </w:rPr>
            </w:pPr>
            <w:r>
              <w:rPr>
                <w:bCs/>
                <w:kern w:val="21"/>
                <w:szCs w:val="21"/>
              </w:rPr>
              <w:t>制标</w:t>
            </w:r>
          </w:p>
          <w:p>
            <w:pPr>
              <w:adjustRightInd w:val="0"/>
              <w:snapToGrid w:val="0"/>
              <w:jc w:val="center"/>
              <w:rPr>
                <w:kern w:val="21"/>
                <w:szCs w:val="21"/>
              </w:rPr>
            </w:pPr>
            <w:r>
              <w:rPr>
                <w:bCs/>
                <w:kern w:val="21"/>
                <w:szCs w:val="21"/>
              </w:rPr>
              <w:t>准</w:t>
            </w:r>
          </w:p>
        </w:tc>
        <w:tc>
          <w:tcPr>
            <w:tcW w:w="4549" w:type="pct"/>
            <w:vAlign w:val="center"/>
          </w:tcPr>
          <w:p>
            <w:pPr>
              <w:spacing w:line="360" w:lineRule="auto"/>
              <w:ind w:firstLine="422" w:firstLineChars="200"/>
              <w:rPr>
                <w:b/>
                <w:bCs/>
                <w:szCs w:val="21"/>
              </w:rPr>
            </w:pPr>
            <w:r>
              <w:rPr>
                <w:b/>
                <w:bCs/>
                <w:szCs w:val="21"/>
              </w:rPr>
              <w:t>一、废气</w:t>
            </w:r>
          </w:p>
          <w:p>
            <w:pPr>
              <w:spacing w:line="360" w:lineRule="auto"/>
              <w:ind w:firstLine="420" w:firstLineChars="200"/>
              <w:rPr>
                <w:szCs w:val="21"/>
              </w:rPr>
            </w:pPr>
            <w:r>
              <w:rPr>
                <w:szCs w:val="21"/>
              </w:rPr>
              <w:t>本项目有组织颗粒物排放执行《区域性大气污染物综合排放标准》（DB37/2376-2019）表1重点控制区排放限值；无组织颗粒物执行《大气污染物综合排放标准》（GB16297-1996）表2无组织排放监控浓度限值。</w:t>
            </w:r>
          </w:p>
          <w:p>
            <w:pPr>
              <w:jc w:val="center"/>
              <w:rPr>
                <w:kern w:val="0"/>
                <w:szCs w:val="21"/>
              </w:rPr>
            </w:pPr>
            <w:r>
              <w:rPr>
                <w:b/>
                <w:bCs/>
                <w:szCs w:val="21"/>
              </w:rPr>
              <w:t>表3-3   本项目颗粒物污染物排放标准限值</w:t>
            </w:r>
          </w:p>
          <w:tbl>
            <w:tblPr>
              <w:tblStyle w:val="4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44"/>
              <w:gridCol w:w="1310"/>
              <w:gridCol w:w="1379"/>
              <w:gridCol w:w="45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4" w:type="pct"/>
                  <w:gridSpan w:val="2"/>
                  <w:tcBorders>
                    <w:tl2br w:val="nil"/>
                    <w:tr2bl w:val="nil"/>
                  </w:tcBorders>
                  <w:vAlign w:val="center"/>
                </w:tcPr>
                <w:p>
                  <w:pPr>
                    <w:jc w:val="center"/>
                    <w:rPr>
                      <w:b/>
                      <w:bCs/>
                      <w:szCs w:val="21"/>
                    </w:rPr>
                  </w:pPr>
                  <w:r>
                    <w:rPr>
                      <w:b/>
                      <w:bCs/>
                      <w:szCs w:val="21"/>
                    </w:rPr>
                    <w:t>污染物</w:t>
                  </w:r>
                </w:p>
              </w:tc>
              <w:tc>
                <w:tcPr>
                  <w:tcW w:w="862" w:type="pct"/>
                  <w:tcBorders>
                    <w:tl2br w:val="nil"/>
                    <w:tr2bl w:val="nil"/>
                  </w:tcBorders>
                  <w:vAlign w:val="center"/>
                </w:tcPr>
                <w:p>
                  <w:pPr>
                    <w:jc w:val="center"/>
                    <w:rPr>
                      <w:b/>
                      <w:bCs/>
                      <w:szCs w:val="21"/>
                    </w:rPr>
                  </w:pPr>
                  <w:r>
                    <w:rPr>
                      <w:b/>
                      <w:bCs/>
                      <w:szCs w:val="21"/>
                    </w:rPr>
                    <w:t>标准限值</w:t>
                  </w:r>
                </w:p>
              </w:tc>
              <w:tc>
                <w:tcPr>
                  <w:tcW w:w="2853" w:type="pct"/>
                  <w:tcBorders>
                    <w:tl2br w:val="nil"/>
                    <w:tr2bl w:val="nil"/>
                  </w:tcBorders>
                  <w:vAlign w:val="center"/>
                </w:tcPr>
                <w:p>
                  <w:pPr>
                    <w:jc w:val="center"/>
                    <w:rPr>
                      <w:b/>
                      <w:bCs/>
                      <w:szCs w:val="21"/>
                    </w:rPr>
                  </w:pPr>
                  <w:r>
                    <w:rPr>
                      <w:b/>
                      <w:bCs/>
                      <w:szCs w:val="21"/>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465" w:type="pct"/>
                  <w:vMerge w:val="restart"/>
                  <w:tcBorders>
                    <w:tl2br w:val="nil"/>
                    <w:tr2bl w:val="nil"/>
                  </w:tcBorders>
                  <w:vAlign w:val="center"/>
                </w:tcPr>
                <w:p>
                  <w:pPr>
                    <w:adjustRightInd w:val="0"/>
                    <w:snapToGrid w:val="0"/>
                    <w:jc w:val="center"/>
                    <w:rPr>
                      <w:kern w:val="0"/>
                      <w:szCs w:val="21"/>
                    </w:rPr>
                  </w:pPr>
                  <w:r>
                    <w:rPr>
                      <w:kern w:val="0"/>
                      <w:szCs w:val="21"/>
                    </w:rPr>
                    <w:t>颗粒物</w:t>
                  </w:r>
                </w:p>
              </w:tc>
              <w:tc>
                <w:tcPr>
                  <w:tcW w:w="818" w:type="pct"/>
                  <w:tcBorders>
                    <w:tl2br w:val="nil"/>
                    <w:tr2bl w:val="nil"/>
                  </w:tcBorders>
                  <w:vAlign w:val="center"/>
                </w:tcPr>
                <w:p>
                  <w:pPr>
                    <w:adjustRightInd w:val="0"/>
                    <w:snapToGrid w:val="0"/>
                    <w:jc w:val="center"/>
                    <w:rPr>
                      <w:kern w:val="0"/>
                      <w:szCs w:val="21"/>
                    </w:rPr>
                  </w:pPr>
                  <w:r>
                    <w:rPr>
                      <w:kern w:val="0"/>
                      <w:szCs w:val="21"/>
                    </w:rPr>
                    <w:t>有组织</w:t>
                  </w:r>
                </w:p>
                <w:p>
                  <w:pPr>
                    <w:adjustRightInd w:val="0"/>
                    <w:snapToGrid w:val="0"/>
                    <w:jc w:val="center"/>
                    <w:rPr>
                      <w:kern w:val="0"/>
                      <w:szCs w:val="21"/>
                    </w:rPr>
                  </w:pPr>
                  <w:r>
                    <w:rPr>
                      <w:kern w:val="0"/>
                      <w:szCs w:val="21"/>
                      <w:lang w:val="de-DE"/>
                    </w:rPr>
                    <w:t>（DA00</w:t>
                  </w:r>
                  <w:r>
                    <w:rPr>
                      <w:kern w:val="0"/>
                      <w:szCs w:val="21"/>
                    </w:rPr>
                    <w:t xml:space="preserve">1 </w:t>
                  </w:r>
                  <w:r>
                    <w:rPr>
                      <w:kern w:val="0"/>
                      <w:szCs w:val="21"/>
                      <w:lang w:val="de-DE"/>
                    </w:rPr>
                    <w:t>）</w:t>
                  </w:r>
                </w:p>
              </w:tc>
              <w:tc>
                <w:tcPr>
                  <w:tcW w:w="862" w:type="pct"/>
                  <w:tcBorders>
                    <w:tl2br w:val="nil"/>
                    <w:tr2bl w:val="nil"/>
                  </w:tcBorders>
                  <w:vAlign w:val="center"/>
                </w:tcPr>
                <w:p>
                  <w:pPr>
                    <w:adjustRightInd w:val="0"/>
                    <w:snapToGrid w:val="0"/>
                    <w:jc w:val="center"/>
                    <w:rPr>
                      <w:kern w:val="0"/>
                      <w:szCs w:val="21"/>
                    </w:rPr>
                  </w:pPr>
                  <w:r>
                    <w:rPr>
                      <w:kern w:val="0"/>
                      <w:szCs w:val="21"/>
                    </w:rPr>
                    <w:t>≤10mg/m</w:t>
                  </w:r>
                  <w:r>
                    <w:rPr>
                      <w:kern w:val="0"/>
                      <w:szCs w:val="21"/>
                      <w:vertAlign w:val="superscript"/>
                    </w:rPr>
                    <w:t>3</w:t>
                  </w:r>
                </w:p>
              </w:tc>
              <w:tc>
                <w:tcPr>
                  <w:tcW w:w="2853" w:type="pct"/>
                  <w:tcBorders>
                    <w:tl2br w:val="nil"/>
                    <w:tr2bl w:val="nil"/>
                  </w:tcBorders>
                  <w:vAlign w:val="center"/>
                </w:tcPr>
                <w:p>
                  <w:pPr>
                    <w:adjustRightInd w:val="0"/>
                    <w:snapToGrid w:val="0"/>
                    <w:jc w:val="center"/>
                    <w:rPr>
                      <w:kern w:val="0"/>
                      <w:szCs w:val="21"/>
                    </w:rPr>
                  </w:pPr>
                  <w:r>
                    <w:rPr>
                      <w:kern w:val="0"/>
                      <w:szCs w:val="21"/>
                    </w:rPr>
                    <w:t>《区域性大气污染物综合排放标准》（DB37/2376-2019）表1重点控制区排放限值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465" w:type="pct"/>
                  <w:vMerge w:val="continue"/>
                  <w:tcBorders>
                    <w:tl2br w:val="nil"/>
                    <w:tr2bl w:val="nil"/>
                  </w:tcBorders>
                  <w:vAlign w:val="center"/>
                </w:tcPr>
                <w:p>
                  <w:pPr>
                    <w:adjustRightInd w:val="0"/>
                    <w:snapToGrid w:val="0"/>
                    <w:jc w:val="center"/>
                    <w:rPr>
                      <w:kern w:val="0"/>
                      <w:szCs w:val="21"/>
                    </w:rPr>
                  </w:pPr>
                </w:p>
              </w:tc>
              <w:tc>
                <w:tcPr>
                  <w:tcW w:w="818" w:type="pct"/>
                  <w:tcBorders>
                    <w:tl2br w:val="nil"/>
                    <w:tr2bl w:val="nil"/>
                  </w:tcBorders>
                  <w:vAlign w:val="center"/>
                </w:tcPr>
                <w:p>
                  <w:pPr>
                    <w:adjustRightInd w:val="0"/>
                    <w:snapToGrid w:val="0"/>
                    <w:jc w:val="center"/>
                    <w:rPr>
                      <w:kern w:val="0"/>
                      <w:szCs w:val="21"/>
                    </w:rPr>
                  </w:pPr>
                  <w:r>
                    <w:rPr>
                      <w:kern w:val="0"/>
                      <w:szCs w:val="21"/>
                    </w:rPr>
                    <w:t>无组织</w:t>
                  </w:r>
                </w:p>
              </w:tc>
              <w:tc>
                <w:tcPr>
                  <w:tcW w:w="862" w:type="pct"/>
                  <w:tcBorders>
                    <w:tl2br w:val="nil"/>
                    <w:tr2bl w:val="nil"/>
                  </w:tcBorders>
                  <w:vAlign w:val="center"/>
                </w:tcPr>
                <w:p>
                  <w:pPr>
                    <w:adjustRightInd w:val="0"/>
                    <w:snapToGrid w:val="0"/>
                    <w:jc w:val="center"/>
                    <w:rPr>
                      <w:kern w:val="0"/>
                      <w:szCs w:val="21"/>
                    </w:rPr>
                  </w:pPr>
                  <w:r>
                    <w:rPr>
                      <w:kern w:val="0"/>
                      <w:szCs w:val="21"/>
                    </w:rPr>
                    <w:t>≤1.0mg/m</w:t>
                  </w:r>
                  <w:r>
                    <w:rPr>
                      <w:kern w:val="0"/>
                      <w:szCs w:val="21"/>
                      <w:vertAlign w:val="superscript"/>
                    </w:rPr>
                    <w:t>3</w:t>
                  </w:r>
                </w:p>
              </w:tc>
              <w:tc>
                <w:tcPr>
                  <w:tcW w:w="2853" w:type="pct"/>
                  <w:tcBorders>
                    <w:tl2br w:val="nil"/>
                    <w:tr2bl w:val="nil"/>
                  </w:tcBorders>
                  <w:vAlign w:val="center"/>
                </w:tcPr>
                <w:p>
                  <w:pPr>
                    <w:adjustRightInd w:val="0"/>
                    <w:snapToGrid w:val="0"/>
                    <w:jc w:val="center"/>
                    <w:rPr>
                      <w:kern w:val="0"/>
                      <w:szCs w:val="21"/>
                    </w:rPr>
                  </w:pPr>
                  <w:r>
                    <w:rPr>
                      <w:kern w:val="0"/>
                      <w:szCs w:val="21"/>
                    </w:rPr>
                    <w:t>《大气污染物综合排放标准》（GB16297-1996）表2无组织排放监控浓度限值</w:t>
                  </w:r>
                </w:p>
              </w:tc>
            </w:tr>
          </w:tbl>
          <w:p>
            <w:pPr>
              <w:spacing w:line="360" w:lineRule="auto"/>
              <w:ind w:firstLine="422" w:firstLineChars="200"/>
              <w:rPr>
                <w:b/>
                <w:bCs/>
                <w:szCs w:val="21"/>
              </w:rPr>
            </w:pPr>
            <w:r>
              <w:rPr>
                <w:b/>
                <w:bCs/>
                <w:szCs w:val="21"/>
              </w:rPr>
              <w:t>二、废水</w:t>
            </w:r>
          </w:p>
          <w:p>
            <w:pPr>
              <w:spacing w:line="360" w:lineRule="auto"/>
              <w:ind w:firstLine="420" w:firstLineChars="200"/>
            </w:pPr>
            <w:r>
              <w:rPr>
                <w:szCs w:val="21"/>
              </w:rPr>
              <w:t>本项目液体硫酸铝加热蒸发产生的蒸汽冷凝水作为循环冷却水补充回用，无生产废水。</w:t>
            </w:r>
            <w:r>
              <w:t>生活污水经化粪池处理后，由环卫部门定期清运，不外排。</w:t>
            </w:r>
          </w:p>
          <w:p>
            <w:pPr>
              <w:spacing w:line="360" w:lineRule="auto"/>
              <w:ind w:firstLine="422" w:firstLineChars="200"/>
              <w:rPr>
                <w:b/>
                <w:bCs/>
                <w:szCs w:val="21"/>
              </w:rPr>
            </w:pPr>
            <w:r>
              <w:rPr>
                <w:b/>
                <w:bCs/>
                <w:szCs w:val="21"/>
              </w:rPr>
              <w:t>三、噪声</w:t>
            </w:r>
          </w:p>
          <w:p>
            <w:pPr>
              <w:spacing w:line="360" w:lineRule="auto"/>
              <w:ind w:firstLine="420" w:firstLineChars="200"/>
              <w:rPr>
                <w:szCs w:val="21"/>
              </w:rPr>
            </w:pPr>
            <w:r>
              <w:rPr>
                <w:szCs w:val="21"/>
              </w:rPr>
              <w:t>本项目厂界噪声排放执行《工业企业厂界环境噪声排放标准》（GB12348-2008）2类标准，具体标准见表3-4。</w:t>
            </w:r>
          </w:p>
          <w:p>
            <w:pPr>
              <w:jc w:val="center"/>
              <w:rPr>
                <w:b/>
                <w:sz w:val="24"/>
              </w:rPr>
            </w:pPr>
            <w:r>
              <w:rPr>
                <w:b/>
                <w:bCs/>
                <w:szCs w:val="21"/>
              </w:rPr>
              <w:t>表3-4 《工业企业厂界环境噪声排放标准》（GB12348-2008）</w:t>
            </w:r>
          </w:p>
          <w:tbl>
            <w:tblPr>
              <w:tblStyle w:val="4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48"/>
              <w:gridCol w:w="3375"/>
              <w:gridCol w:w="33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5" w:hRule="exact"/>
                <w:jc w:val="center"/>
              </w:trPr>
              <w:tc>
                <w:tcPr>
                  <w:tcW w:w="1307" w:type="dxa"/>
                  <w:tcBorders>
                    <w:tl2br w:val="nil"/>
                    <w:tr2bl w:val="nil"/>
                  </w:tcBorders>
                  <w:vAlign w:val="center"/>
                </w:tcPr>
                <w:p>
                  <w:pPr>
                    <w:spacing w:line="0" w:lineRule="atLeast"/>
                    <w:jc w:val="center"/>
                    <w:rPr>
                      <w:b/>
                      <w:szCs w:val="21"/>
                    </w:rPr>
                  </w:pPr>
                  <w:r>
                    <w:rPr>
                      <w:b/>
                      <w:szCs w:val="21"/>
                    </w:rPr>
                    <w:t>类  别</w:t>
                  </w:r>
                </w:p>
              </w:tc>
              <w:tc>
                <w:tcPr>
                  <w:tcW w:w="3525" w:type="dxa"/>
                  <w:tcBorders>
                    <w:tl2br w:val="nil"/>
                    <w:tr2bl w:val="nil"/>
                  </w:tcBorders>
                  <w:vAlign w:val="center"/>
                </w:tcPr>
                <w:p>
                  <w:pPr>
                    <w:spacing w:line="0" w:lineRule="atLeast"/>
                    <w:jc w:val="center"/>
                    <w:rPr>
                      <w:b/>
                      <w:szCs w:val="21"/>
                    </w:rPr>
                  </w:pPr>
                  <w:r>
                    <w:rPr>
                      <w:b/>
                      <w:szCs w:val="21"/>
                    </w:rPr>
                    <w:t>昼间Leq[dB(A)]</w:t>
                  </w:r>
                </w:p>
              </w:tc>
              <w:tc>
                <w:tcPr>
                  <w:tcW w:w="3525" w:type="dxa"/>
                  <w:tcBorders>
                    <w:tl2br w:val="nil"/>
                    <w:tr2bl w:val="nil"/>
                  </w:tcBorders>
                  <w:vAlign w:val="center"/>
                </w:tcPr>
                <w:p>
                  <w:pPr>
                    <w:spacing w:line="0" w:lineRule="atLeast"/>
                    <w:jc w:val="center"/>
                    <w:rPr>
                      <w:b/>
                      <w:szCs w:val="21"/>
                    </w:rPr>
                  </w:pPr>
                  <w:r>
                    <w:rPr>
                      <w:b/>
                      <w:szCs w:val="21"/>
                    </w:rPr>
                    <w:t>夜间Leq[dB(A)]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2" w:hRule="exact"/>
                <w:jc w:val="center"/>
              </w:trPr>
              <w:tc>
                <w:tcPr>
                  <w:tcW w:w="1307" w:type="dxa"/>
                  <w:tcBorders>
                    <w:tl2br w:val="nil"/>
                    <w:tr2bl w:val="nil"/>
                  </w:tcBorders>
                  <w:vAlign w:val="center"/>
                </w:tcPr>
                <w:p>
                  <w:pPr>
                    <w:adjustRightInd w:val="0"/>
                    <w:snapToGrid w:val="0"/>
                    <w:jc w:val="center"/>
                    <w:rPr>
                      <w:kern w:val="0"/>
                      <w:szCs w:val="21"/>
                    </w:rPr>
                  </w:pPr>
                  <w:r>
                    <w:rPr>
                      <w:kern w:val="0"/>
                      <w:szCs w:val="21"/>
                    </w:rPr>
                    <w:t>2类</w:t>
                  </w:r>
                </w:p>
              </w:tc>
              <w:tc>
                <w:tcPr>
                  <w:tcW w:w="3525" w:type="dxa"/>
                  <w:tcBorders>
                    <w:tl2br w:val="nil"/>
                    <w:tr2bl w:val="nil"/>
                  </w:tcBorders>
                  <w:vAlign w:val="center"/>
                </w:tcPr>
                <w:p>
                  <w:pPr>
                    <w:adjustRightInd w:val="0"/>
                    <w:snapToGrid w:val="0"/>
                    <w:jc w:val="center"/>
                    <w:rPr>
                      <w:kern w:val="0"/>
                      <w:szCs w:val="21"/>
                    </w:rPr>
                  </w:pPr>
                  <w:r>
                    <w:rPr>
                      <w:kern w:val="0"/>
                      <w:szCs w:val="21"/>
                    </w:rPr>
                    <w:t>60</w:t>
                  </w:r>
                </w:p>
              </w:tc>
              <w:tc>
                <w:tcPr>
                  <w:tcW w:w="3525" w:type="dxa"/>
                  <w:tcBorders>
                    <w:tl2br w:val="nil"/>
                    <w:tr2bl w:val="nil"/>
                  </w:tcBorders>
                  <w:vAlign w:val="center"/>
                </w:tcPr>
                <w:p>
                  <w:pPr>
                    <w:adjustRightInd w:val="0"/>
                    <w:snapToGrid w:val="0"/>
                    <w:jc w:val="center"/>
                    <w:rPr>
                      <w:kern w:val="0"/>
                      <w:szCs w:val="21"/>
                    </w:rPr>
                  </w:pPr>
                  <w:r>
                    <w:rPr>
                      <w:kern w:val="0"/>
                      <w:szCs w:val="21"/>
                    </w:rPr>
                    <w:t>50</w:t>
                  </w:r>
                </w:p>
              </w:tc>
            </w:tr>
          </w:tbl>
          <w:p>
            <w:pPr>
              <w:spacing w:line="360" w:lineRule="auto"/>
              <w:ind w:firstLine="422" w:firstLineChars="200"/>
              <w:rPr>
                <w:b/>
                <w:bCs/>
                <w:szCs w:val="21"/>
              </w:rPr>
            </w:pPr>
            <w:r>
              <w:rPr>
                <w:b/>
                <w:bCs/>
                <w:szCs w:val="21"/>
              </w:rPr>
              <w:t>四、固废</w:t>
            </w:r>
          </w:p>
          <w:p>
            <w:pPr>
              <w:spacing w:line="360" w:lineRule="auto"/>
              <w:ind w:firstLine="420" w:firstLineChars="200"/>
              <w:rPr>
                <w:kern w:val="21"/>
                <w:szCs w:val="21"/>
              </w:rPr>
            </w:pPr>
            <w:r>
              <w:rPr>
                <w:szCs w:val="21"/>
              </w:rPr>
              <w:t>本项目一般工业固体废物暂存应符合《中华人民共和国固体废物污染环境防治法》相关要求，采取防扬散、防流失、防渗漏或者其他防止污染环境的措施，不得擅自倾倒、堆放、丢弃、遗撒，一般工业固体废物管理过程中还应执行《一般工业固体废物管理台账制定指南（试行）》（公告2021年第82号）要求；危险废物执行《危险废物贮存污染物控制标准》（GB18597-2023）文件要求，危险废物转移按照《危险废物转移管理办法》（2022年1月1日）执行</w:t>
            </w:r>
            <w:r>
              <w:rPr>
                <w:szCs w:val="21"/>
                <w:lang w:val="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0" w:type="pct"/>
            <w:vAlign w:val="center"/>
          </w:tcPr>
          <w:p>
            <w:pPr>
              <w:adjustRightInd w:val="0"/>
              <w:snapToGrid w:val="0"/>
              <w:jc w:val="center"/>
              <w:rPr>
                <w:bCs/>
                <w:kern w:val="21"/>
                <w:szCs w:val="21"/>
              </w:rPr>
            </w:pPr>
            <w:r>
              <w:rPr>
                <w:bCs/>
                <w:kern w:val="21"/>
                <w:szCs w:val="21"/>
              </w:rPr>
              <w:t>总量</w:t>
            </w:r>
          </w:p>
          <w:p>
            <w:pPr>
              <w:adjustRightInd w:val="0"/>
              <w:snapToGrid w:val="0"/>
              <w:jc w:val="center"/>
              <w:rPr>
                <w:bCs/>
                <w:kern w:val="21"/>
                <w:szCs w:val="21"/>
              </w:rPr>
            </w:pPr>
            <w:r>
              <w:rPr>
                <w:bCs/>
                <w:kern w:val="21"/>
                <w:szCs w:val="21"/>
              </w:rPr>
              <w:t>控制</w:t>
            </w:r>
          </w:p>
          <w:p>
            <w:pPr>
              <w:adjustRightInd w:val="0"/>
              <w:snapToGrid w:val="0"/>
              <w:jc w:val="center"/>
              <w:rPr>
                <w:kern w:val="21"/>
                <w:szCs w:val="21"/>
              </w:rPr>
            </w:pPr>
            <w:r>
              <w:rPr>
                <w:bCs/>
                <w:kern w:val="21"/>
                <w:szCs w:val="21"/>
              </w:rPr>
              <w:t>指标</w:t>
            </w:r>
          </w:p>
        </w:tc>
        <w:tc>
          <w:tcPr>
            <w:tcW w:w="4549" w:type="pct"/>
            <w:vAlign w:val="center"/>
          </w:tcPr>
          <w:p>
            <w:pPr>
              <w:spacing w:line="360" w:lineRule="auto"/>
              <w:ind w:firstLine="420" w:firstLineChars="200"/>
              <w:rPr>
                <w:szCs w:val="21"/>
              </w:rPr>
            </w:pPr>
          </w:p>
          <w:p>
            <w:pPr>
              <w:spacing w:line="360" w:lineRule="auto"/>
              <w:ind w:firstLine="420" w:firstLineChars="200"/>
              <w:rPr>
                <w:szCs w:val="21"/>
              </w:rPr>
            </w:pPr>
            <w:r>
              <w:rPr>
                <w:szCs w:val="21"/>
              </w:rPr>
              <w:t>本项目无废水外排，故不需申请COD、氨氮排放总量指标。</w:t>
            </w:r>
          </w:p>
          <w:p>
            <w:pPr>
              <w:spacing w:line="360" w:lineRule="auto"/>
              <w:ind w:firstLine="420" w:firstLineChars="200"/>
            </w:pPr>
            <w:r>
              <w:rPr>
                <w:color w:val="0000FF"/>
                <w:szCs w:val="21"/>
              </w:rPr>
              <w:t>本项目完成后，项目有组织颗粒物排放量0.</w:t>
            </w:r>
            <w:r>
              <w:rPr>
                <w:rFonts w:hint="eastAsia"/>
                <w:color w:val="0000FF"/>
                <w:szCs w:val="21"/>
              </w:rPr>
              <w:t>5281</w:t>
            </w:r>
            <w:r>
              <w:rPr>
                <w:color w:val="0000FF"/>
                <w:szCs w:val="21"/>
                <w:lang w:val="de-DE"/>
              </w:rPr>
              <w:t>t/a</w:t>
            </w:r>
            <w:r>
              <w:rPr>
                <w:color w:val="0000FF"/>
                <w:szCs w:val="21"/>
              </w:rPr>
              <w:t>，</w:t>
            </w:r>
            <w:r>
              <w:rPr>
                <w:rFonts w:hint="eastAsia"/>
                <w:color w:val="0000FF"/>
              </w:rPr>
              <w:t>故需要申请有组织颗粒物总量为</w:t>
            </w:r>
            <w:r>
              <w:rPr>
                <w:color w:val="0000FF"/>
                <w:szCs w:val="21"/>
              </w:rPr>
              <w:t>0.</w:t>
            </w:r>
            <w:r>
              <w:rPr>
                <w:rFonts w:hint="eastAsia"/>
                <w:color w:val="0000FF"/>
                <w:szCs w:val="21"/>
              </w:rPr>
              <w:t>5281</w:t>
            </w:r>
            <w:r>
              <w:rPr>
                <w:rFonts w:hint="eastAsia"/>
                <w:color w:val="0000FF"/>
              </w:rPr>
              <w:t>t/a。</w:t>
            </w:r>
          </w:p>
        </w:tc>
      </w:tr>
    </w:tbl>
    <w:p>
      <w:pPr>
        <w:pStyle w:val="34"/>
        <w:ind w:firstLine="602"/>
        <w:jc w:val="both"/>
        <w:outlineLvl w:val="0"/>
        <w:rPr>
          <w:rFonts w:ascii="Times New Roman" w:hAnsi="Times New Roman" w:eastAsia="黑体"/>
          <w:snapToGrid w:val="0"/>
          <w:sz w:val="30"/>
          <w:szCs w:val="30"/>
        </w:rPr>
        <w:sectPr>
          <w:pgSz w:w="11907" w:h="16840"/>
          <w:pgMar w:top="1701" w:right="1531" w:bottom="2127" w:left="1531" w:header="851" w:footer="851" w:gutter="0"/>
          <w:cols w:space="720" w:num="1"/>
          <w:docGrid w:linePitch="312" w:charSpace="0"/>
        </w:sectPr>
      </w:pPr>
    </w:p>
    <w:p>
      <w:pPr>
        <w:pStyle w:val="34"/>
        <w:ind w:firstLine="602"/>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四、主要环境影响和保护设施</w:t>
      </w:r>
    </w:p>
    <w:tbl>
      <w:tblPr>
        <w:tblStyle w:val="40"/>
        <w:tblpPr w:leftFromText="180" w:rightFromText="180" w:vertAnchor="text" w:horzAnchor="page" w:tblpX="2209" w:tblpY="378"/>
        <w:tblOverlap w:val="never"/>
        <w:tblW w:w="5089"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94"/>
        <w:gridCol w:w="1278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trPr>
        <w:tc>
          <w:tcPr>
            <w:tcW w:w="222" w:type="pct"/>
            <w:tcMar>
              <w:left w:w="28" w:type="dxa"/>
              <w:right w:w="28"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施工</w:t>
            </w:r>
          </w:p>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期环</w:t>
            </w:r>
          </w:p>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境保</w:t>
            </w:r>
          </w:p>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护措</w:t>
            </w:r>
          </w:p>
          <w:p>
            <w:pPr>
              <w:pStyle w:val="34"/>
              <w:adjustRightInd w:val="0"/>
              <w:snapToGrid w:val="0"/>
              <w:spacing w:before="0" w:beforeAutospacing="0" w:after="0" w:afterAutospacing="0"/>
              <w:jc w:val="center"/>
              <w:rPr>
                <w:rFonts w:ascii="Times New Roman" w:hAnsi="Times New Roman"/>
                <w:b/>
                <w:bCs/>
                <w:sz w:val="28"/>
                <w:szCs w:val="28"/>
              </w:rPr>
            </w:pPr>
            <w:r>
              <w:rPr>
                <w:rFonts w:ascii="Times New Roman" w:hAnsi="Times New Roman"/>
                <w:kern w:val="2"/>
                <w:sz w:val="21"/>
                <w:szCs w:val="21"/>
              </w:rPr>
              <w:t>施</w:t>
            </w:r>
          </w:p>
        </w:tc>
        <w:tc>
          <w:tcPr>
            <w:tcW w:w="4777" w:type="pct"/>
            <w:vAlign w:val="center"/>
          </w:tcPr>
          <w:p>
            <w:pPr>
              <w:adjustRightInd w:val="0"/>
              <w:snapToGrid w:val="0"/>
              <w:spacing w:line="360" w:lineRule="auto"/>
              <w:ind w:firstLine="420" w:firstLineChars="200"/>
              <w:rPr>
                <w:bCs/>
                <w:spacing w:val="-10"/>
                <w:szCs w:val="21"/>
              </w:rPr>
            </w:pPr>
            <w:r>
              <w:t>本项目在现有厂房内部进行建设，并配套建设安装附属设施，施工期主要为设备安装及调试，故施工期的主要影响因素是设备调试运行时产生的机械噪声和设备安装时产生的少量固废，对周围环境影响较小，本环评不再对施工期进行环境影响分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22" w:type="pct"/>
            <w:tcMar>
              <w:left w:w="28" w:type="dxa"/>
              <w:right w:w="28"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运营</w:t>
            </w:r>
          </w:p>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期环</w:t>
            </w:r>
          </w:p>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境影</w:t>
            </w:r>
          </w:p>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响和</w:t>
            </w:r>
          </w:p>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保护</w:t>
            </w:r>
          </w:p>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措施</w:t>
            </w:r>
          </w:p>
        </w:tc>
        <w:tc>
          <w:tcPr>
            <w:tcW w:w="4777" w:type="pct"/>
            <w:vAlign w:val="center"/>
          </w:tcPr>
          <w:p>
            <w:pPr>
              <w:spacing w:line="360" w:lineRule="auto"/>
              <w:ind w:firstLine="422" w:firstLineChars="200"/>
              <w:rPr>
                <w:b/>
                <w:bCs/>
                <w:szCs w:val="21"/>
              </w:rPr>
            </w:pPr>
            <w:r>
              <w:rPr>
                <w:b/>
                <w:bCs/>
                <w:szCs w:val="21"/>
              </w:rPr>
              <w:t>一、运营期大气环境影响和保护措施</w:t>
            </w:r>
          </w:p>
          <w:p>
            <w:pPr>
              <w:spacing w:line="360" w:lineRule="auto"/>
              <w:ind w:firstLine="420" w:firstLineChars="200"/>
            </w:pPr>
            <w:r>
              <w:t>1、污染工序及源强分析</w:t>
            </w:r>
          </w:p>
          <w:p>
            <w:pPr>
              <w:spacing w:line="360" w:lineRule="auto"/>
              <w:ind w:firstLine="420" w:firstLineChars="200"/>
            </w:pPr>
            <w:r>
              <w:t>本项目废气主要是粉碎工序产生的粉尘、</w:t>
            </w:r>
            <w:r>
              <w:rPr>
                <w:rFonts w:hint="eastAsia"/>
              </w:rPr>
              <w:t>混合搅拌釜</w:t>
            </w:r>
            <w:r>
              <w:t>上料</w:t>
            </w:r>
            <w:r>
              <w:rPr>
                <w:rFonts w:hint="eastAsia"/>
              </w:rPr>
              <w:t>口</w:t>
            </w:r>
            <w:r>
              <w:t>产生的粉尘、</w:t>
            </w:r>
            <w:r>
              <w:rPr>
                <w:rFonts w:hint="eastAsia"/>
              </w:rPr>
              <w:t>料仓产生的粉尘、</w:t>
            </w:r>
            <w:r>
              <w:t>包装工序产生的粉尘。</w:t>
            </w:r>
          </w:p>
          <w:p>
            <w:pPr>
              <w:spacing w:line="360" w:lineRule="auto"/>
              <w:ind w:firstLine="420" w:firstLineChars="200"/>
              <w:rPr>
                <w:szCs w:val="21"/>
              </w:rPr>
            </w:pPr>
            <w:r>
              <w:rPr>
                <w:szCs w:val="21"/>
              </w:rPr>
              <w:t>本项目粉碎、混合搅拌釜上料</w:t>
            </w:r>
            <w:r>
              <w:rPr>
                <w:rFonts w:hint="eastAsia"/>
                <w:szCs w:val="21"/>
              </w:rPr>
              <w:t>口</w:t>
            </w:r>
            <w:r>
              <w:rPr>
                <w:szCs w:val="21"/>
              </w:rPr>
              <w:t>、包装工序产生的颗粒物采用“集气罩+布袋除尘器”处理，处理后通过1根15m排气筒（DA001）排放，料仓产生的粉尘经收集</w:t>
            </w:r>
            <w:r>
              <w:rPr>
                <w:rFonts w:hint="eastAsia"/>
                <w:szCs w:val="21"/>
              </w:rPr>
              <w:t>后</w:t>
            </w:r>
            <w:r>
              <w:rPr>
                <w:szCs w:val="21"/>
              </w:rPr>
              <w:t>通过仓顶</w:t>
            </w:r>
            <w:r>
              <w:rPr>
                <w:rFonts w:hint="eastAsia"/>
                <w:szCs w:val="21"/>
              </w:rPr>
              <w:t>的</w:t>
            </w:r>
            <w:r>
              <w:rPr>
                <w:szCs w:val="21"/>
              </w:rPr>
              <w:t>布袋除尘器</w:t>
            </w:r>
            <w:r>
              <w:rPr>
                <w:rFonts w:hint="eastAsia"/>
                <w:szCs w:val="21"/>
              </w:rPr>
              <w:t>进行处理后</w:t>
            </w:r>
            <w:r>
              <w:rPr>
                <w:szCs w:val="21"/>
              </w:rPr>
              <w:t>无组织排放。</w:t>
            </w:r>
          </w:p>
          <w:p>
            <w:pPr>
              <w:pStyle w:val="143"/>
              <w:numPr>
                <w:ilvl w:val="0"/>
                <w:numId w:val="6"/>
              </w:numPr>
              <w:spacing w:line="360" w:lineRule="auto"/>
              <w:ind w:firstLineChars="0"/>
            </w:pPr>
            <w:r>
              <w:t>粉碎工序产生的粉尘</w:t>
            </w:r>
          </w:p>
          <w:p>
            <w:pPr>
              <w:pStyle w:val="143"/>
              <w:spacing w:line="360" w:lineRule="auto"/>
            </w:pPr>
            <w:r>
              <w:t>本项目粉碎工序使用的原辅材料为液体硫酸铝，为液态。大块固体硫酸铝进行粉碎产生的粉尘的产生系数参考《排放源统计调查产排污核算方法和系数手册》（公告2021年第24号）的《3099 其他非金属矿物制品制造行业 系数手册 》中破碎工艺中所有规模的颗粒物产污系数为1.13千克/吨-产品，</w:t>
            </w:r>
            <w:r>
              <w:rPr>
                <w:rFonts w:hint="eastAsia"/>
              </w:rPr>
              <w:t>本项目液体硫酸铝的年用量为6226t，由于固体硫酸铝含16个结晶水，硫酸铝（不含结晶水）的含量为26.17%，因此固体硫酸铝的产量为6226*630*0.2617/342.15=3000t/a</w:t>
            </w:r>
            <w:r>
              <w:t>，故粉碎工序产生的粉尘量为</w:t>
            </w:r>
            <w:r>
              <w:rPr>
                <w:rFonts w:hint="eastAsia"/>
              </w:rPr>
              <w:t>3.39</w:t>
            </w:r>
            <w:r>
              <w:t>t/a，项目设置软帘式封闭集气罩，收集效率为95%，故有组织颗粒物产生量为</w:t>
            </w:r>
            <w:r>
              <w:rPr>
                <w:rFonts w:hint="eastAsia"/>
              </w:rPr>
              <w:t>3.2205</w:t>
            </w:r>
            <w:r>
              <w:t>t/a，无组织粉尘产生量为</w:t>
            </w:r>
            <w:r>
              <w:rPr>
                <w:rFonts w:hint="eastAsia"/>
              </w:rPr>
              <w:t>0.</w:t>
            </w:r>
            <w:r>
              <w:t>1</w:t>
            </w:r>
            <w:r>
              <w:rPr>
                <w:rFonts w:hint="eastAsia"/>
              </w:rPr>
              <w:t>695</w:t>
            </w:r>
            <w:r>
              <w:t>t/a</w:t>
            </w:r>
            <w:r>
              <w:rPr>
                <w:rFonts w:hint="eastAsia"/>
              </w:rPr>
              <w:t>，</w:t>
            </w:r>
            <w:r>
              <w:t>无组织粉尘的产生速率为0.0</w:t>
            </w:r>
            <w:r>
              <w:rPr>
                <w:rFonts w:hint="eastAsia"/>
              </w:rPr>
              <w:t>235</w:t>
            </w:r>
            <w:r>
              <w:t>kg/h。</w:t>
            </w:r>
          </w:p>
          <w:p>
            <w:pPr>
              <w:pStyle w:val="143"/>
              <w:spacing w:line="360" w:lineRule="auto"/>
              <w:rPr>
                <w:color w:val="0000FF"/>
              </w:rPr>
            </w:pPr>
            <w:r>
              <w:t>（2）</w:t>
            </w:r>
            <w:r>
              <w:rPr>
                <w:rFonts w:hint="eastAsia"/>
                <w:color w:val="0000FF"/>
              </w:rPr>
              <w:t>混合搅拌釜</w:t>
            </w:r>
            <w:r>
              <w:rPr>
                <w:color w:val="0000FF"/>
              </w:rPr>
              <w:t>上料</w:t>
            </w:r>
            <w:r>
              <w:rPr>
                <w:rFonts w:hint="eastAsia"/>
                <w:color w:val="0000FF"/>
              </w:rPr>
              <w:t>口</w:t>
            </w:r>
            <w:r>
              <w:rPr>
                <w:color w:val="0000FF"/>
              </w:rPr>
              <w:t>产生的粉尘</w:t>
            </w:r>
          </w:p>
          <w:p>
            <w:pPr>
              <w:pStyle w:val="143"/>
              <w:spacing w:line="360" w:lineRule="auto"/>
              <w:rPr>
                <w:color w:val="0000FF"/>
              </w:rPr>
            </w:pPr>
            <w:r>
              <w:t>本项目</w:t>
            </w:r>
            <w:r>
              <w:rPr>
                <w:rFonts w:hint="eastAsia"/>
              </w:rPr>
              <w:t>混合搅拌釜</w:t>
            </w:r>
            <w:r>
              <w:t>上料工序使用的原辅材料为粉碎后硫酸铝、铝矾土、硅铁粉，为固态和粉末状。</w:t>
            </w:r>
            <w:r>
              <w:rPr>
                <w:rFonts w:hint="eastAsia"/>
                <w:color w:val="0000FF"/>
              </w:rPr>
              <w:t>粉碎后的物料通过蛟龙进行人工投料，</w:t>
            </w:r>
            <w:r>
              <w:t>混合搅拌釜上料</w:t>
            </w:r>
            <w:r>
              <w:rPr>
                <w:rFonts w:hint="eastAsia"/>
              </w:rPr>
              <w:t>口</w:t>
            </w:r>
            <w:r>
              <w:t>产生的粉尘的产生系数参考《排放源统计调查产排污核算方法和系数手册》（公告2021年第24号）的《3089 耐火陶瓷制品及其他耐火材料制造行 业系数手册》中定型高铝耐火砖-配料混合中所有规模的颗粒物产污系数为2.60千克/吨-产品，</w:t>
            </w:r>
            <w:r>
              <w:rPr>
                <w:color w:val="0000FF"/>
              </w:rPr>
              <w:t>本项目产品人造铝矾石的年产量为20000t/a，故混合搅拌釜上料</w:t>
            </w:r>
            <w:r>
              <w:rPr>
                <w:rFonts w:hint="eastAsia"/>
                <w:color w:val="0000FF"/>
              </w:rPr>
              <w:t>口</w:t>
            </w:r>
            <w:r>
              <w:rPr>
                <w:color w:val="0000FF"/>
              </w:rPr>
              <w:t>产生的粉尘量为52t/a，项目设置软帘式封闭集气罩，收集效率为95%，故有组织颗粒物产生量为</w:t>
            </w:r>
            <w:r>
              <w:rPr>
                <w:rFonts w:hint="eastAsia"/>
                <w:color w:val="0000FF"/>
              </w:rPr>
              <w:t>49.4</w:t>
            </w:r>
            <w:r>
              <w:rPr>
                <w:color w:val="0000FF"/>
              </w:rPr>
              <w:t>t/a，无组织粉尘产生量为</w:t>
            </w:r>
            <w:r>
              <w:rPr>
                <w:rFonts w:hint="eastAsia"/>
                <w:color w:val="0000FF"/>
              </w:rPr>
              <w:t>2.6</w:t>
            </w:r>
            <w:r>
              <w:rPr>
                <w:color w:val="0000FF"/>
              </w:rPr>
              <w:t>t/a</w:t>
            </w:r>
            <w:r>
              <w:rPr>
                <w:rFonts w:hint="eastAsia"/>
                <w:color w:val="0000FF"/>
              </w:rPr>
              <w:t>，</w:t>
            </w:r>
            <w:r>
              <w:rPr>
                <w:color w:val="0000FF"/>
              </w:rPr>
              <w:t>无组织粉尘的产生速率为0.</w:t>
            </w:r>
            <w:r>
              <w:rPr>
                <w:rFonts w:hint="eastAsia"/>
                <w:color w:val="0000FF"/>
              </w:rPr>
              <w:t>361</w:t>
            </w:r>
            <w:r>
              <w:rPr>
                <w:color w:val="0000FF"/>
              </w:rPr>
              <w:t>kg/h。</w:t>
            </w:r>
          </w:p>
          <w:p>
            <w:pPr>
              <w:pStyle w:val="143"/>
              <w:spacing w:line="360" w:lineRule="auto"/>
            </w:pPr>
            <w:r>
              <w:t>（</w:t>
            </w:r>
            <w:r>
              <w:rPr>
                <w:rFonts w:hint="eastAsia"/>
              </w:rPr>
              <w:t>3</w:t>
            </w:r>
            <w:r>
              <w:t>）</w:t>
            </w:r>
            <w:r>
              <w:rPr>
                <w:rFonts w:hint="eastAsia"/>
              </w:rPr>
              <w:t>料仓</w:t>
            </w:r>
            <w:r>
              <w:t>产生的粉尘</w:t>
            </w:r>
          </w:p>
          <w:p>
            <w:pPr>
              <w:pStyle w:val="143"/>
              <w:spacing w:line="360" w:lineRule="auto"/>
            </w:pPr>
            <w:r>
              <w:t>本项目物料</w:t>
            </w:r>
            <w:r>
              <w:rPr>
                <w:rFonts w:hint="eastAsia"/>
              </w:rPr>
              <w:t>经</w:t>
            </w:r>
            <w:r>
              <w:t>提升机将其提升至料仓后，</w:t>
            </w:r>
            <w:r>
              <w:rPr>
                <w:rFonts w:hint="eastAsia"/>
              </w:rPr>
              <w:t>料仓</w:t>
            </w:r>
            <w:r>
              <w:t>产生的粉尘的产生系数参考《逸散性工业粉尘控制技术》（（美）奥里蒙（Orlemann,J.A.）等编著；张良壁，刘敬严编译）中</w:t>
            </w:r>
            <w:r>
              <w:rPr>
                <w:rFonts w:hint="eastAsia"/>
              </w:rPr>
              <w:t>水泥厂</w:t>
            </w:r>
            <w:r>
              <w:t>-</w:t>
            </w:r>
            <w:r>
              <w:rPr>
                <w:rFonts w:hint="eastAsia"/>
              </w:rPr>
              <w:t>卸料口至料仓</w:t>
            </w:r>
            <w:r>
              <w:t>的颗粒物产污系数</w:t>
            </w:r>
            <w:r>
              <w:rPr>
                <w:rFonts w:hint="eastAsia"/>
              </w:rPr>
              <w:t>为1.5~2.5</w:t>
            </w:r>
            <w:r>
              <w:t>千克/吨-产品，</w:t>
            </w:r>
            <w:r>
              <w:rPr>
                <w:rFonts w:hint="eastAsia"/>
              </w:rPr>
              <w:t>本项目取2</w:t>
            </w:r>
            <w:r>
              <w:t>千克/吨-产品</w:t>
            </w:r>
            <w:r>
              <w:rPr>
                <w:rFonts w:hint="eastAsia"/>
              </w:rPr>
              <w:t>。</w:t>
            </w:r>
            <w:r>
              <w:t>本项目产品人造铝矾石的年产量为20000t/a，故</w:t>
            </w:r>
            <w:r>
              <w:rPr>
                <w:rFonts w:hint="eastAsia"/>
              </w:rPr>
              <w:t>料仓</w:t>
            </w:r>
            <w:r>
              <w:t>产生的粉尘产生量为</w:t>
            </w:r>
            <w:r>
              <w:rPr>
                <w:rFonts w:hint="eastAsia"/>
              </w:rPr>
              <w:t>40</w:t>
            </w:r>
            <w:r>
              <w:t>t/a，</w:t>
            </w:r>
            <w:r>
              <w:rPr>
                <w:rFonts w:hint="eastAsia"/>
                <w:bCs/>
                <w:szCs w:val="21"/>
              </w:rPr>
              <w:t>仓顶设布袋除尘器，废气收集效率以100%计，</w:t>
            </w:r>
            <w:r>
              <w:t>收集后废气引至</w:t>
            </w:r>
            <w:r>
              <w:rPr>
                <w:rFonts w:hint="eastAsia"/>
              </w:rPr>
              <w:t>仓顶的</w:t>
            </w:r>
            <w:r>
              <w:t>布袋除尘器处理（处理效率99%）</w:t>
            </w:r>
            <w:r>
              <w:rPr>
                <w:rFonts w:hint="eastAsia"/>
              </w:rPr>
              <w:t>无组织排放</w:t>
            </w:r>
            <w:r>
              <w:t>，则</w:t>
            </w:r>
            <w:r>
              <w:rPr>
                <w:rFonts w:hint="eastAsia"/>
              </w:rPr>
              <w:t>料仓产生的</w:t>
            </w:r>
            <w:r>
              <w:t>无组织颗粒物排放量为</w:t>
            </w:r>
            <w:r>
              <w:rPr>
                <w:rFonts w:hint="eastAsia"/>
              </w:rPr>
              <w:t xml:space="preserve"> 0.4</w:t>
            </w:r>
            <w:r>
              <w:t>t/a</w:t>
            </w:r>
            <w:r>
              <w:rPr>
                <w:rFonts w:hint="eastAsia"/>
              </w:rPr>
              <w:t>，</w:t>
            </w:r>
            <w:r>
              <w:t>无组织粉尘的产生速率为0.</w:t>
            </w:r>
            <w:r>
              <w:rPr>
                <w:rFonts w:hint="eastAsia"/>
              </w:rPr>
              <w:t>055</w:t>
            </w:r>
            <w:r>
              <w:t>kg/h。</w:t>
            </w:r>
          </w:p>
          <w:p>
            <w:pPr>
              <w:pStyle w:val="143"/>
              <w:spacing w:line="360" w:lineRule="auto"/>
            </w:pPr>
            <w:r>
              <w:t>（</w:t>
            </w:r>
            <w:r>
              <w:rPr>
                <w:rFonts w:hint="eastAsia"/>
              </w:rPr>
              <w:t>4</w:t>
            </w:r>
            <w:r>
              <w:t>）包装工序产生的粉尘</w:t>
            </w:r>
          </w:p>
          <w:p>
            <w:pPr>
              <w:pStyle w:val="143"/>
              <w:spacing w:line="360" w:lineRule="auto"/>
            </w:pPr>
            <w:r>
              <w:t>本项目物料通过包装机进行包装，包装工序产生的粉尘的产生系数参考《逸散性工业粉尘控制技术》（（美）奥里蒙（Orlemann,J.A.）等编著；张良壁，刘敬严编译）中物料的装卸运输-粒料的颗粒物产污系数为0.01千克/吨-产品，本项目产品人造铝矾石的年产量为20000t/a，故包装工序产生的粉尘产生量为0.2t/a，项目设置软帘式封闭集气罩，收集效率为95%，故有组织颗粒物产生量为</w:t>
            </w:r>
            <w:r>
              <w:rPr>
                <w:rFonts w:hint="eastAsia"/>
              </w:rPr>
              <w:t>0.19</w:t>
            </w:r>
            <w:r>
              <w:t>t/a，无组织粉尘产生量为</w:t>
            </w:r>
            <w:r>
              <w:rPr>
                <w:rFonts w:hint="eastAsia"/>
              </w:rPr>
              <w:t>0.01</w:t>
            </w:r>
            <w:r>
              <w:t>t/a</w:t>
            </w:r>
            <w:r>
              <w:rPr>
                <w:rFonts w:hint="eastAsia"/>
              </w:rPr>
              <w:t>，</w:t>
            </w:r>
            <w:r>
              <w:t>无组织粉尘的产生速率为0.</w:t>
            </w:r>
            <w:r>
              <w:rPr>
                <w:rFonts w:hint="eastAsia"/>
              </w:rPr>
              <w:t>0014</w:t>
            </w:r>
            <w:r>
              <w:t>kg/h。</w:t>
            </w:r>
          </w:p>
          <w:p>
            <w:pPr>
              <w:pStyle w:val="143"/>
              <w:spacing w:line="360" w:lineRule="auto"/>
              <w:rPr>
                <w:color w:val="0000FF"/>
              </w:rPr>
            </w:pPr>
            <w:r>
              <w:rPr>
                <w:color w:val="0000FF"/>
              </w:rPr>
              <w:t>粉碎、</w:t>
            </w:r>
            <w:r>
              <w:rPr>
                <w:rFonts w:hint="eastAsia"/>
                <w:color w:val="0000FF"/>
              </w:rPr>
              <w:t>混合搅拌釜上料、</w:t>
            </w:r>
            <w:r>
              <w:rPr>
                <w:color w:val="0000FF"/>
              </w:rPr>
              <w:t>包装工序产生的粉尘经软帘式封闭集气罩统一收集后进“布袋除尘器”（处理效率99%）处理后（风机风量是</w:t>
            </w:r>
            <w:r>
              <w:rPr>
                <w:rFonts w:hint="eastAsia"/>
                <w:color w:val="0000FF"/>
              </w:rPr>
              <w:t>10</w:t>
            </w:r>
            <w:r>
              <w:rPr>
                <w:color w:val="0000FF"/>
              </w:rPr>
              <w:t>000m</w:t>
            </w:r>
            <w:r>
              <w:rPr>
                <w:color w:val="0000FF"/>
                <w:vertAlign w:val="superscript"/>
              </w:rPr>
              <w:t>3</w:t>
            </w:r>
            <w:r>
              <w:rPr>
                <w:color w:val="0000FF"/>
              </w:rPr>
              <w:t>/h，工作时间为7200h），通过一根15m排气筒（DA001）排放。经计算，粉碎、混合搅拌釜上料</w:t>
            </w:r>
            <w:r>
              <w:rPr>
                <w:rFonts w:hint="eastAsia"/>
                <w:color w:val="0000FF"/>
              </w:rPr>
              <w:t>口</w:t>
            </w:r>
            <w:r>
              <w:rPr>
                <w:color w:val="0000FF"/>
              </w:rPr>
              <w:t>、包装工序产生的</w:t>
            </w:r>
            <w:r>
              <w:rPr>
                <w:rFonts w:hint="eastAsia"/>
                <w:color w:val="0000FF"/>
              </w:rPr>
              <w:t>有组织</w:t>
            </w:r>
            <w:r>
              <w:rPr>
                <w:color w:val="0000FF"/>
              </w:rPr>
              <w:t>粉尘总量为</w:t>
            </w:r>
            <w:r>
              <w:rPr>
                <w:rFonts w:hint="eastAsia"/>
                <w:color w:val="0000FF"/>
              </w:rPr>
              <w:t>52.81</w:t>
            </w:r>
            <w:r>
              <w:rPr>
                <w:color w:val="0000FF"/>
              </w:rPr>
              <w:t>t/a，粉尘产生速率、产生浓度分别为7</w:t>
            </w:r>
            <w:r>
              <w:rPr>
                <w:rFonts w:hint="eastAsia"/>
                <w:color w:val="0000FF"/>
              </w:rPr>
              <w:t>.33</w:t>
            </w:r>
            <w:r>
              <w:rPr>
                <w:color w:val="0000FF"/>
              </w:rPr>
              <w:t>kg/h、</w:t>
            </w:r>
            <w:r>
              <w:rPr>
                <w:rFonts w:hint="eastAsia"/>
                <w:color w:val="0000FF"/>
              </w:rPr>
              <w:t>733</w:t>
            </w:r>
            <w:r>
              <w:rPr>
                <w:color w:val="0000FF"/>
              </w:rPr>
              <w:t>mg/m</w:t>
            </w:r>
            <w:r>
              <w:rPr>
                <w:color w:val="0000FF"/>
                <w:vertAlign w:val="superscript"/>
              </w:rPr>
              <w:t>3</w:t>
            </w:r>
            <w:r>
              <w:rPr>
                <w:color w:val="0000FF"/>
              </w:rPr>
              <w:t>；经处理后，有组织粉尘排放量、排放速率、排放浓度分别为0.</w:t>
            </w:r>
            <w:r>
              <w:rPr>
                <w:rFonts w:hint="eastAsia"/>
                <w:color w:val="0000FF"/>
              </w:rPr>
              <w:t>5281</w:t>
            </w:r>
            <w:r>
              <w:rPr>
                <w:color w:val="0000FF"/>
              </w:rPr>
              <w:t>t/a、0.0</w:t>
            </w:r>
            <w:r>
              <w:rPr>
                <w:rFonts w:hint="eastAsia"/>
                <w:color w:val="0000FF"/>
              </w:rPr>
              <w:t>733</w:t>
            </w:r>
            <w:r>
              <w:rPr>
                <w:color w:val="0000FF"/>
              </w:rPr>
              <w:t>kg/h、</w:t>
            </w:r>
            <w:r>
              <w:rPr>
                <w:rFonts w:hint="eastAsia"/>
                <w:color w:val="0000FF"/>
              </w:rPr>
              <w:t>7.33</w:t>
            </w:r>
            <w:r>
              <w:rPr>
                <w:color w:val="0000FF"/>
              </w:rPr>
              <w:t>mg/m</w:t>
            </w:r>
            <w:r>
              <w:rPr>
                <w:color w:val="0000FF"/>
                <w:vertAlign w:val="superscript"/>
              </w:rPr>
              <w:t>3</w:t>
            </w:r>
            <w:r>
              <w:rPr>
                <w:color w:val="0000FF"/>
              </w:rPr>
              <w:t>，无组织粉尘排放总量为</w:t>
            </w:r>
            <w:r>
              <w:rPr>
                <w:rFonts w:hint="eastAsia"/>
                <w:color w:val="0000FF"/>
              </w:rPr>
              <w:t>3.1795t/a</w:t>
            </w:r>
            <w:r>
              <w:rPr>
                <w:color w:val="0000FF"/>
              </w:rPr>
              <w:t>。</w:t>
            </w:r>
          </w:p>
          <w:p>
            <w:pPr>
              <w:pStyle w:val="143"/>
              <w:spacing w:line="360" w:lineRule="auto"/>
              <w:ind w:firstLine="422"/>
            </w:pPr>
            <w:r>
              <w:rPr>
                <w:rFonts w:hint="eastAsia"/>
                <w:b/>
                <w:bCs/>
              </w:rPr>
              <w:t>风机风量合理性：</w:t>
            </w:r>
            <w:r>
              <w:rPr>
                <w:rFonts w:hint="eastAsia"/>
              </w:rPr>
              <w:t>根据设备厂商提供信息，</w:t>
            </w:r>
            <w:r>
              <w:rPr>
                <w:rFonts w:hint="eastAsia"/>
                <w:color w:val="0000FF"/>
              </w:rPr>
              <w:t>企业在粉碎机、混合搅拌釜上料口、包装机处各设置一个</w:t>
            </w:r>
            <w:r>
              <w:rPr>
                <w:color w:val="0000FF"/>
              </w:rPr>
              <w:t>软帘式封闭集气罩</w:t>
            </w:r>
            <w:r>
              <w:rPr>
                <w:rFonts w:hint="eastAsia"/>
                <w:color w:val="0000FF"/>
              </w:rPr>
              <w:t>，共3处。</w:t>
            </w:r>
            <w:r>
              <w:rPr>
                <w:rFonts w:hint="eastAsia"/>
              </w:rPr>
              <w:t>粉碎机设备上端规格为长2.1m，宽1.4 m，据产品生产工艺要求，企业将集气罩安装在设备上方20cm处，h1取0.2 m，粉碎机罩口敞开面周长P1=2.1+2.1+1.4+1.4=7m；</w:t>
            </w:r>
            <w:r>
              <w:rPr>
                <w:rFonts w:hint="eastAsia"/>
                <w:color w:val="0000FF"/>
              </w:rPr>
              <w:t>混合搅拌釜设备上料口的上端规格为长1.15m，宽0.9m，据产品生产工艺要求，企业将集气罩安装在设备入料口一侧30cm处，h2取0.3m，混合搅拌釜上料口的罩口敞开面周长P2=1.15+1.15+0.9+0.9=4.1m；</w:t>
            </w:r>
            <w:r>
              <w:rPr>
                <w:rFonts w:hint="eastAsia"/>
              </w:rPr>
              <w:t>包装机设备上端规格为长0.7m，宽0.3m，据产品生产工艺要求，企业将集气罩安装在设备上方25cm处，h3取0.25 m，根包装机罩口敞开面周长P3=0.7+0.7+0.3+0.3=2m，风量可采用以下公式计算：风量Q=KPHu，</w:t>
            </w:r>
          </w:p>
          <w:p>
            <w:pPr>
              <w:pStyle w:val="143"/>
              <w:spacing w:line="360" w:lineRule="auto"/>
            </w:pPr>
            <w:r>
              <w:rPr>
                <w:rFonts w:hint="eastAsia"/>
              </w:rPr>
              <w:t>式中：Q-抽风量，m</w:t>
            </w:r>
            <w:r>
              <w:rPr>
                <w:rFonts w:hint="eastAsia"/>
                <w:vertAlign w:val="superscript"/>
              </w:rPr>
              <w:t>3</w:t>
            </w:r>
            <w:r>
              <w:rPr>
                <w:rFonts w:hint="eastAsia"/>
              </w:rPr>
              <w:t>/s</w:t>
            </w:r>
          </w:p>
          <w:p>
            <w:pPr>
              <w:pStyle w:val="143"/>
              <w:spacing w:line="360" w:lineRule="auto"/>
            </w:pPr>
            <w:r>
              <w:rPr>
                <w:rFonts w:hint="eastAsia"/>
              </w:rPr>
              <w:t>K-安全系数，取1.4</w:t>
            </w:r>
          </w:p>
          <w:p>
            <w:pPr>
              <w:pStyle w:val="143"/>
              <w:spacing w:line="360" w:lineRule="auto"/>
            </w:pPr>
            <w:r>
              <w:rPr>
                <w:rFonts w:hint="eastAsia"/>
              </w:rPr>
              <w:t>P-罩口敞开面周长，m</w:t>
            </w:r>
          </w:p>
          <w:p>
            <w:pPr>
              <w:pStyle w:val="143"/>
              <w:spacing w:line="360" w:lineRule="auto"/>
            </w:pPr>
            <w:r>
              <w:rPr>
                <w:rFonts w:hint="eastAsia"/>
              </w:rPr>
              <w:t>H-轴线方向控制距离，m</w:t>
            </w:r>
          </w:p>
          <w:p>
            <w:pPr>
              <w:pStyle w:val="143"/>
              <w:spacing w:line="360" w:lineRule="auto"/>
            </w:pPr>
            <w:r>
              <w:rPr>
                <w:rFonts w:hint="eastAsia"/>
              </w:rPr>
              <w:t>U-控制风速，一般取0.5m/s~1.5m/s，过大容易造成物料损失太大影响生产，本项目取0.5m/s</w:t>
            </w:r>
          </w:p>
          <w:p>
            <w:pPr>
              <w:pStyle w:val="143"/>
              <w:spacing w:line="360" w:lineRule="auto"/>
              <w:rPr>
                <w:color w:val="0000FF"/>
              </w:rPr>
            </w:pPr>
            <w:r>
              <w:rPr>
                <w:rFonts w:hint="eastAsia"/>
                <w:color w:val="0000FF"/>
              </w:rPr>
              <w:t>计算得粉碎机设备所需风量Q1为3528m</w:t>
            </w:r>
            <w:r>
              <w:rPr>
                <w:rFonts w:hint="eastAsia"/>
                <w:color w:val="0000FF"/>
                <w:vertAlign w:val="superscript"/>
              </w:rPr>
              <w:t>3</w:t>
            </w:r>
            <w:r>
              <w:rPr>
                <w:rFonts w:hint="eastAsia"/>
                <w:color w:val="0000FF"/>
              </w:rPr>
              <w:t>/h，混合搅拌釜上料口所需风量Q2为3099.6m</w:t>
            </w:r>
            <w:r>
              <w:rPr>
                <w:rFonts w:hint="eastAsia"/>
                <w:color w:val="0000FF"/>
                <w:vertAlign w:val="superscript"/>
              </w:rPr>
              <w:t>3</w:t>
            </w:r>
            <w:r>
              <w:rPr>
                <w:rFonts w:hint="eastAsia"/>
                <w:color w:val="0000FF"/>
              </w:rPr>
              <w:t>/h，包装机所需风量Q3为1260m</w:t>
            </w:r>
            <w:r>
              <w:rPr>
                <w:rFonts w:hint="eastAsia"/>
                <w:color w:val="0000FF"/>
                <w:vertAlign w:val="superscript"/>
              </w:rPr>
              <w:t>3</w:t>
            </w:r>
            <w:r>
              <w:rPr>
                <w:rFonts w:hint="eastAsia"/>
                <w:color w:val="0000FF"/>
              </w:rPr>
              <w:t>/h，Q总=3528+3099.6+1260=7887.6m</w:t>
            </w:r>
            <w:r>
              <w:rPr>
                <w:rFonts w:hint="eastAsia"/>
                <w:color w:val="0000FF"/>
                <w:vertAlign w:val="superscript"/>
              </w:rPr>
              <w:t>3</w:t>
            </w:r>
            <w:r>
              <w:rPr>
                <w:rFonts w:hint="eastAsia"/>
                <w:color w:val="0000FF"/>
              </w:rPr>
              <w:t>/h（风速u在较稳定的状态下，产生较低扩散速度的有害物的控制风速，u取0.5m</w:t>
            </w:r>
            <w:r>
              <w:rPr>
                <w:rFonts w:hint="eastAsia"/>
                <w:color w:val="0000FF"/>
                <w:vertAlign w:val="superscript"/>
              </w:rPr>
              <w:t>3</w:t>
            </w:r>
            <w:r>
              <w:rPr>
                <w:rFonts w:hint="eastAsia"/>
                <w:color w:val="0000FF"/>
              </w:rPr>
              <w:t>/s），本项目设置风机风量是10000m</w:t>
            </w:r>
            <w:r>
              <w:rPr>
                <w:rFonts w:hint="eastAsia"/>
                <w:color w:val="0000FF"/>
                <w:vertAlign w:val="superscript"/>
              </w:rPr>
              <w:t>3</w:t>
            </w:r>
            <w:r>
              <w:rPr>
                <w:rFonts w:hint="eastAsia"/>
                <w:color w:val="0000FF"/>
              </w:rPr>
              <w:t>/h，满足要求。</w:t>
            </w:r>
          </w:p>
          <w:p>
            <w:pPr>
              <w:numPr>
                <w:ilvl w:val="0"/>
                <w:numId w:val="7"/>
              </w:numPr>
              <w:spacing w:line="360" w:lineRule="auto"/>
              <w:ind w:firstLine="420" w:firstLineChars="200"/>
              <w:rPr>
                <w:szCs w:val="21"/>
              </w:rPr>
            </w:pPr>
            <w:r>
              <w:rPr>
                <w:szCs w:val="21"/>
              </w:rPr>
              <w:t>大气污染物产排情况及治理措施</w:t>
            </w:r>
          </w:p>
          <w:p>
            <w:pPr>
              <w:spacing w:line="360" w:lineRule="auto"/>
              <w:ind w:firstLine="420" w:firstLineChars="200"/>
            </w:pPr>
            <w:r>
              <w:t>（1）项目大气污染物产排情况：</w:t>
            </w:r>
          </w:p>
          <w:p>
            <w:pPr>
              <w:jc w:val="center"/>
              <w:rPr>
                <w:b/>
                <w:bCs/>
                <w:szCs w:val="21"/>
              </w:rPr>
            </w:pPr>
            <w:r>
              <w:rPr>
                <w:b/>
                <w:bCs/>
                <w:szCs w:val="21"/>
              </w:rPr>
              <w:t>表4-</w:t>
            </w:r>
            <w:r>
              <w:rPr>
                <w:rFonts w:hint="eastAsia"/>
                <w:b/>
                <w:bCs/>
                <w:szCs w:val="21"/>
              </w:rPr>
              <w:t>1</w:t>
            </w:r>
            <w:r>
              <w:rPr>
                <w:b/>
                <w:bCs/>
                <w:szCs w:val="21"/>
              </w:rPr>
              <w:t xml:space="preserve">  本项目大气污染物有组织产排情况一览表</w:t>
            </w:r>
          </w:p>
          <w:tbl>
            <w:tblPr>
              <w:tblStyle w:val="4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0"/>
              <w:gridCol w:w="899"/>
              <w:gridCol w:w="465"/>
              <w:gridCol w:w="903"/>
              <w:gridCol w:w="800"/>
              <w:gridCol w:w="760"/>
              <w:gridCol w:w="1169"/>
              <w:gridCol w:w="1098"/>
              <w:gridCol w:w="684"/>
              <w:gridCol w:w="954"/>
              <w:gridCol w:w="1197"/>
              <w:gridCol w:w="1054"/>
              <w:gridCol w:w="860"/>
              <w:gridCol w:w="12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67"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生产工序</w:t>
                  </w:r>
                </w:p>
              </w:tc>
              <w:tc>
                <w:tcPr>
                  <w:tcW w:w="358"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污染源</w:t>
                  </w:r>
                </w:p>
              </w:tc>
              <w:tc>
                <w:tcPr>
                  <w:tcW w:w="185"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污染物</w:t>
                  </w:r>
                </w:p>
              </w:tc>
              <w:tc>
                <w:tcPr>
                  <w:tcW w:w="360"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rPr>
                  </w:pPr>
                  <w:r>
                    <w:rPr>
                      <w:rFonts w:ascii="Times New Roman" w:hAnsi="Times New Roman"/>
                      <w:kern w:val="2"/>
                      <w:sz w:val="21"/>
                      <w:szCs w:val="24"/>
                    </w:rPr>
                    <w:t>风机风量（m</w:t>
                  </w:r>
                  <w:r>
                    <w:rPr>
                      <w:rFonts w:ascii="Times New Roman" w:hAnsi="Times New Roman"/>
                      <w:kern w:val="2"/>
                      <w:sz w:val="21"/>
                      <w:szCs w:val="24"/>
                      <w:vertAlign w:val="superscript"/>
                    </w:rPr>
                    <w:t>3</w:t>
                  </w:r>
                  <w:r>
                    <w:rPr>
                      <w:rFonts w:ascii="Times New Roman" w:hAnsi="Times New Roman"/>
                      <w:kern w:val="2"/>
                      <w:sz w:val="21"/>
                      <w:szCs w:val="24"/>
                    </w:rPr>
                    <w:t>/h）</w:t>
                  </w:r>
                </w:p>
              </w:tc>
              <w:tc>
                <w:tcPr>
                  <w:tcW w:w="319" w:type="pct"/>
                  <w:vMerge w:val="restart"/>
                  <w:tcBorders>
                    <w:tl2br w:val="nil"/>
                    <w:tr2bl w:val="nil"/>
                  </w:tcBorders>
                  <w:vAlign w:val="center"/>
                </w:tcPr>
                <w:p>
                  <w:pPr>
                    <w:widowControl/>
                    <w:jc w:val="center"/>
                  </w:pPr>
                  <w:r>
                    <w:t>废气量（万m</w:t>
                  </w:r>
                  <w:r>
                    <w:rPr>
                      <w:vertAlign w:val="superscript"/>
                    </w:rPr>
                    <w:t>3</w:t>
                  </w:r>
                  <w:r>
                    <w:t>/a）</w:t>
                  </w:r>
                </w:p>
              </w:tc>
              <w:tc>
                <w:tcPr>
                  <w:tcW w:w="1205" w:type="pct"/>
                  <w:gridSpan w:val="3"/>
                  <w:tcBorders>
                    <w:tl2br w:val="nil"/>
                    <w:tr2bl w:val="nil"/>
                  </w:tcBorders>
                  <w:vAlign w:val="center"/>
                </w:tcPr>
                <w:p>
                  <w:pPr>
                    <w:widowControl/>
                    <w:jc w:val="center"/>
                  </w:pPr>
                  <w:r>
                    <w:t>污染物产生</w:t>
                  </w:r>
                </w:p>
              </w:tc>
              <w:tc>
                <w:tcPr>
                  <w:tcW w:w="273" w:type="pct"/>
                  <w:tcBorders>
                    <w:tl2br w:val="nil"/>
                    <w:tr2bl w:val="nil"/>
                  </w:tcBorders>
                  <w:vAlign w:val="center"/>
                </w:tcPr>
                <w:p>
                  <w:pPr>
                    <w:widowControl/>
                    <w:jc w:val="center"/>
                  </w:pPr>
                  <w:r>
                    <w:t>治理措施</w:t>
                  </w:r>
                </w:p>
              </w:tc>
              <w:tc>
                <w:tcPr>
                  <w:tcW w:w="1275" w:type="pct"/>
                  <w:gridSpan w:val="3"/>
                  <w:tcBorders>
                    <w:tl2br w:val="nil"/>
                    <w:tr2bl w:val="nil"/>
                  </w:tcBorders>
                  <w:vAlign w:val="center"/>
                </w:tcPr>
                <w:p>
                  <w:pPr>
                    <w:widowControl/>
                    <w:jc w:val="center"/>
                  </w:pPr>
                  <w:r>
                    <w:t>污染物排放</w:t>
                  </w:r>
                </w:p>
              </w:tc>
              <w:tc>
                <w:tcPr>
                  <w:tcW w:w="343" w:type="pct"/>
                  <w:vMerge w:val="restart"/>
                  <w:tcBorders>
                    <w:tl2br w:val="nil"/>
                    <w:tr2bl w:val="nil"/>
                  </w:tcBorders>
                  <w:vAlign w:val="center"/>
                </w:tcPr>
                <w:p>
                  <w:pPr>
                    <w:widowControl/>
                    <w:jc w:val="center"/>
                  </w:pPr>
                  <w:r>
                    <w:t>排放时间/h</w:t>
                  </w:r>
                </w:p>
              </w:tc>
              <w:tc>
                <w:tcPr>
                  <w:tcW w:w="509" w:type="pct"/>
                  <w:vMerge w:val="restart"/>
                  <w:tcBorders>
                    <w:tl2br w:val="nil"/>
                    <w:tr2bl w:val="nil"/>
                  </w:tcBorders>
                  <w:vAlign w:val="center"/>
                </w:tcPr>
                <w:p>
                  <w:pPr>
                    <w:widowControl/>
                    <w:jc w:val="center"/>
                  </w:pPr>
                  <w:r>
                    <w:t>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167" w:type="pct"/>
                  <w:vMerge w:val="continue"/>
                  <w:tcBorders>
                    <w:tl2br w:val="nil"/>
                    <w:tr2bl w:val="nil"/>
                  </w:tcBorders>
                  <w:vAlign w:val="center"/>
                </w:tcPr>
                <w:p>
                  <w:pPr>
                    <w:widowControl/>
                    <w:ind w:firstLine="422"/>
                    <w:jc w:val="center"/>
                  </w:pPr>
                </w:p>
              </w:tc>
              <w:tc>
                <w:tcPr>
                  <w:tcW w:w="358" w:type="pct"/>
                  <w:vMerge w:val="continue"/>
                  <w:tcBorders>
                    <w:tl2br w:val="nil"/>
                    <w:tr2bl w:val="nil"/>
                  </w:tcBorders>
                  <w:vAlign w:val="center"/>
                </w:tcPr>
                <w:p>
                  <w:pPr>
                    <w:widowControl/>
                    <w:ind w:firstLine="422"/>
                    <w:jc w:val="center"/>
                  </w:pPr>
                </w:p>
              </w:tc>
              <w:tc>
                <w:tcPr>
                  <w:tcW w:w="185" w:type="pct"/>
                  <w:vMerge w:val="continue"/>
                  <w:tcBorders>
                    <w:tl2br w:val="nil"/>
                    <w:tr2bl w:val="nil"/>
                  </w:tcBorders>
                  <w:vAlign w:val="center"/>
                </w:tcPr>
                <w:p>
                  <w:pPr>
                    <w:widowControl/>
                    <w:ind w:firstLine="422"/>
                    <w:jc w:val="center"/>
                  </w:pPr>
                </w:p>
              </w:tc>
              <w:tc>
                <w:tcPr>
                  <w:tcW w:w="360" w:type="pct"/>
                  <w:vMerge w:val="continue"/>
                  <w:tcBorders>
                    <w:tl2br w:val="nil"/>
                    <w:tr2bl w:val="nil"/>
                  </w:tcBorders>
                  <w:vAlign w:val="center"/>
                </w:tcPr>
                <w:p>
                  <w:pPr>
                    <w:widowControl/>
                    <w:ind w:firstLine="422"/>
                    <w:jc w:val="center"/>
                  </w:pPr>
                </w:p>
              </w:tc>
              <w:tc>
                <w:tcPr>
                  <w:tcW w:w="319" w:type="pct"/>
                  <w:vMerge w:val="continue"/>
                  <w:tcBorders>
                    <w:tl2br w:val="nil"/>
                    <w:tr2bl w:val="nil"/>
                  </w:tcBorders>
                  <w:vAlign w:val="center"/>
                </w:tcPr>
                <w:p>
                  <w:pPr>
                    <w:widowControl/>
                    <w:ind w:firstLine="422"/>
                    <w:jc w:val="center"/>
                  </w:pPr>
                </w:p>
              </w:tc>
              <w:tc>
                <w:tcPr>
                  <w:tcW w:w="303" w:type="pct"/>
                  <w:tcBorders>
                    <w:tl2br w:val="nil"/>
                    <w:tr2bl w:val="nil"/>
                  </w:tcBorders>
                  <w:vAlign w:val="center"/>
                </w:tcPr>
                <w:p>
                  <w:pPr>
                    <w:widowControl/>
                    <w:jc w:val="center"/>
                  </w:pPr>
                  <w:r>
                    <w:t>产生量（t/a）</w:t>
                  </w:r>
                </w:p>
              </w:tc>
              <w:tc>
                <w:tcPr>
                  <w:tcW w:w="465" w:type="pct"/>
                  <w:tcBorders>
                    <w:tl2br w:val="nil"/>
                    <w:tr2bl w:val="nil"/>
                  </w:tcBorders>
                  <w:vAlign w:val="center"/>
                </w:tcPr>
                <w:p>
                  <w:pPr>
                    <w:widowControl/>
                    <w:jc w:val="center"/>
                  </w:pPr>
                  <w:r>
                    <w:t>产生浓度（mg/m</w:t>
                  </w:r>
                  <w:r>
                    <w:rPr>
                      <w:vertAlign w:val="superscript"/>
                    </w:rPr>
                    <w:t>3</w:t>
                  </w:r>
                  <w:r>
                    <w:t>）</w:t>
                  </w:r>
                </w:p>
              </w:tc>
              <w:tc>
                <w:tcPr>
                  <w:tcW w:w="437" w:type="pct"/>
                  <w:tcBorders>
                    <w:tl2br w:val="nil"/>
                    <w:tr2bl w:val="nil"/>
                  </w:tcBorders>
                  <w:vAlign w:val="center"/>
                </w:tcPr>
                <w:p>
                  <w:pPr>
                    <w:widowControl/>
                    <w:jc w:val="center"/>
                  </w:pPr>
                  <w:r>
                    <w:t>产生速率（kg/h）</w:t>
                  </w:r>
                </w:p>
              </w:tc>
              <w:tc>
                <w:tcPr>
                  <w:tcW w:w="273" w:type="pct"/>
                  <w:tcBorders>
                    <w:tl2br w:val="nil"/>
                    <w:tr2bl w:val="nil"/>
                  </w:tcBorders>
                  <w:vAlign w:val="center"/>
                </w:tcPr>
                <w:p>
                  <w:pPr>
                    <w:widowControl/>
                    <w:jc w:val="center"/>
                  </w:pPr>
                  <w:r>
                    <w:t>工艺及效率</w:t>
                  </w:r>
                </w:p>
              </w:tc>
              <w:tc>
                <w:tcPr>
                  <w:tcW w:w="380" w:type="pct"/>
                  <w:tcBorders>
                    <w:tl2br w:val="nil"/>
                    <w:tr2bl w:val="nil"/>
                  </w:tcBorders>
                  <w:vAlign w:val="center"/>
                </w:tcPr>
                <w:p>
                  <w:pPr>
                    <w:widowControl/>
                    <w:adjustRightInd w:val="0"/>
                    <w:snapToGrid w:val="0"/>
                    <w:jc w:val="center"/>
                  </w:pPr>
                  <w:r>
                    <w:t>排放量</w:t>
                  </w:r>
                </w:p>
                <w:p>
                  <w:pPr>
                    <w:adjustRightInd w:val="0"/>
                    <w:snapToGrid w:val="0"/>
                    <w:jc w:val="center"/>
                  </w:pPr>
                  <w:r>
                    <w:t>（t/a）</w:t>
                  </w:r>
                </w:p>
              </w:tc>
              <w:tc>
                <w:tcPr>
                  <w:tcW w:w="476" w:type="pct"/>
                  <w:tcBorders>
                    <w:tl2br w:val="nil"/>
                    <w:tr2bl w:val="nil"/>
                  </w:tcBorders>
                  <w:vAlign w:val="center"/>
                </w:tcPr>
                <w:p>
                  <w:pPr>
                    <w:widowControl/>
                    <w:jc w:val="center"/>
                  </w:pPr>
                  <w:r>
                    <w:t>排放浓度（mg/m</w:t>
                  </w:r>
                  <w:r>
                    <w:rPr>
                      <w:vertAlign w:val="superscript"/>
                    </w:rPr>
                    <w:t>3</w:t>
                  </w:r>
                  <w:r>
                    <w:t>）</w:t>
                  </w:r>
                </w:p>
              </w:tc>
              <w:tc>
                <w:tcPr>
                  <w:tcW w:w="418" w:type="pct"/>
                  <w:tcBorders>
                    <w:tl2br w:val="nil"/>
                    <w:tr2bl w:val="nil"/>
                  </w:tcBorders>
                  <w:vAlign w:val="center"/>
                </w:tcPr>
                <w:p>
                  <w:pPr>
                    <w:widowControl/>
                    <w:jc w:val="center"/>
                  </w:pPr>
                  <w:r>
                    <w:t>排放速率（kg/h）</w:t>
                  </w:r>
                </w:p>
              </w:tc>
              <w:tc>
                <w:tcPr>
                  <w:tcW w:w="343" w:type="pct"/>
                  <w:vMerge w:val="continue"/>
                  <w:tcBorders>
                    <w:tl2br w:val="nil"/>
                    <w:tr2bl w:val="nil"/>
                  </w:tcBorders>
                  <w:vAlign w:val="center"/>
                </w:tcPr>
                <w:p>
                  <w:pPr>
                    <w:widowControl/>
                    <w:ind w:firstLine="422"/>
                    <w:jc w:val="center"/>
                  </w:pPr>
                </w:p>
              </w:tc>
              <w:tc>
                <w:tcPr>
                  <w:tcW w:w="509" w:type="pct"/>
                  <w:vMerge w:val="continue"/>
                  <w:tcBorders>
                    <w:tl2br w:val="nil"/>
                    <w:tr2bl w:val="nil"/>
                  </w:tcBorders>
                  <w:vAlign w:val="center"/>
                </w:tcPr>
                <w:p>
                  <w:pPr>
                    <w:widowControl/>
                    <w:ind w:firstLine="422"/>
                    <w:jc w:val="cente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9" w:hRule="atLeast"/>
                <w:jc w:val="center"/>
              </w:trPr>
              <w:tc>
                <w:tcPr>
                  <w:tcW w:w="167"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粉碎产生的粉尘</w:t>
                  </w:r>
                </w:p>
              </w:tc>
              <w:tc>
                <w:tcPr>
                  <w:tcW w:w="358"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DA001</w:t>
                  </w:r>
                </w:p>
              </w:tc>
              <w:tc>
                <w:tcPr>
                  <w:tcW w:w="185"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颗粒物</w:t>
                  </w:r>
                </w:p>
              </w:tc>
              <w:tc>
                <w:tcPr>
                  <w:tcW w:w="360"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10000</w:t>
                  </w:r>
                </w:p>
              </w:tc>
              <w:tc>
                <w:tcPr>
                  <w:tcW w:w="319"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7200</w:t>
                  </w:r>
                </w:p>
              </w:tc>
              <w:tc>
                <w:tcPr>
                  <w:tcW w:w="303"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color w:val="0000FF"/>
                      <w:kern w:val="2"/>
                      <w:sz w:val="21"/>
                      <w:szCs w:val="21"/>
                    </w:rPr>
                  </w:pPr>
                  <w:r>
                    <w:rPr>
                      <w:rFonts w:hint="eastAsia" w:ascii="Times New Roman" w:hAnsi="Times New Roman"/>
                      <w:color w:val="0000FF"/>
                      <w:kern w:val="2"/>
                      <w:sz w:val="21"/>
                      <w:szCs w:val="21"/>
                    </w:rPr>
                    <w:t>3.2205</w:t>
                  </w:r>
                </w:p>
              </w:tc>
              <w:tc>
                <w:tcPr>
                  <w:tcW w:w="465"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color w:val="0000FF"/>
                      <w:kern w:val="2"/>
                      <w:sz w:val="21"/>
                      <w:szCs w:val="21"/>
                    </w:rPr>
                  </w:pPr>
                  <w:r>
                    <w:rPr>
                      <w:rFonts w:hint="eastAsia" w:ascii="Times New Roman" w:hAnsi="Times New Roman"/>
                      <w:color w:val="0000FF"/>
                      <w:kern w:val="2"/>
                      <w:sz w:val="21"/>
                      <w:szCs w:val="21"/>
                    </w:rPr>
                    <w:t>733</w:t>
                  </w:r>
                </w:p>
              </w:tc>
              <w:tc>
                <w:tcPr>
                  <w:tcW w:w="437"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color w:val="0000FF"/>
                      <w:kern w:val="2"/>
                      <w:sz w:val="21"/>
                      <w:szCs w:val="21"/>
                    </w:rPr>
                  </w:pPr>
                  <w:r>
                    <w:rPr>
                      <w:rFonts w:hint="eastAsia" w:ascii="Times New Roman" w:hAnsi="Times New Roman"/>
                      <w:color w:val="0000FF"/>
                      <w:kern w:val="2"/>
                      <w:sz w:val="21"/>
                      <w:szCs w:val="21"/>
                    </w:rPr>
                    <w:t>7.33</w:t>
                  </w:r>
                </w:p>
              </w:tc>
              <w:tc>
                <w:tcPr>
                  <w:tcW w:w="273"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color w:val="0000FF"/>
                      <w:kern w:val="2"/>
                      <w:sz w:val="21"/>
                      <w:szCs w:val="21"/>
                    </w:rPr>
                  </w:pPr>
                  <w:r>
                    <w:rPr>
                      <w:rFonts w:ascii="Times New Roman" w:hAnsi="Times New Roman"/>
                      <w:color w:val="0000FF"/>
                      <w:kern w:val="2"/>
                      <w:sz w:val="21"/>
                      <w:szCs w:val="21"/>
                    </w:rPr>
                    <w:t>布袋除尘</w:t>
                  </w:r>
                  <w:r>
                    <w:rPr>
                      <w:rFonts w:hint="eastAsia" w:ascii="Times New Roman" w:hAnsi="Times New Roman"/>
                      <w:color w:val="0000FF"/>
                      <w:kern w:val="2"/>
                      <w:sz w:val="21"/>
                      <w:szCs w:val="21"/>
                    </w:rPr>
                    <w:t>器</w:t>
                  </w:r>
                  <w:r>
                    <w:rPr>
                      <w:rFonts w:ascii="Times New Roman" w:hAnsi="Times New Roman"/>
                      <w:color w:val="0000FF"/>
                      <w:kern w:val="2"/>
                      <w:sz w:val="21"/>
                      <w:szCs w:val="21"/>
                    </w:rPr>
                    <w:t>处理效率99%）</w:t>
                  </w:r>
                </w:p>
              </w:tc>
              <w:tc>
                <w:tcPr>
                  <w:tcW w:w="380"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color w:val="0000FF"/>
                      <w:kern w:val="2"/>
                      <w:sz w:val="21"/>
                      <w:szCs w:val="21"/>
                    </w:rPr>
                  </w:pPr>
                  <w:r>
                    <w:rPr>
                      <w:rFonts w:hint="eastAsia" w:ascii="Times New Roman" w:hAnsi="Times New Roman"/>
                      <w:color w:val="0000FF"/>
                      <w:kern w:val="2"/>
                      <w:sz w:val="21"/>
                      <w:szCs w:val="21"/>
                    </w:rPr>
                    <w:t>0.5281</w:t>
                  </w:r>
                </w:p>
              </w:tc>
              <w:tc>
                <w:tcPr>
                  <w:tcW w:w="476"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color w:val="0000FF"/>
                      <w:kern w:val="2"/>
                      <w:sz w:val="21"/>
                      <w:szCs w:val="21"/>
                    </w:rPr>
                  </w:pPr>
                  <w:r>
                    <w:rPr>
                      <w:rFonts w:hint="eastAsia" w:ascii="Times New Roman" w:hAnsi="Times New Roman"/>
                      <w:color w:val="0000FF"/>
                      <w:kern w:val="2"/>
                      <w:sz w:val="21"/>
                      <w:szCs w:val="21"/>
                    </w:rPr>
                    <w:t>7.33</w:t>
                  </w:r>
                </w:p>
              </w:tc>
              <w:tc>
                <w:tcPr>
                  <w:tcW w:w="418"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color w:val="0000FF"/>
                      <w:kern w:val="2"/>
                      <w:sz w:val="21"/>
                      <w:szCs w:val="21"/>
                    </w:rPr>
                  </w:pPr>
                  <w:r>
                    <w:rPr>
                      <w:rFonts w:hint="eastAsia" w:ascii="Times New Roman" w:hAnsi="Times New Roman"/>
                      <w:color w:val="0000FF"/>
                      <w:kern w:val="2"/>
                      <w:sz w:val="21"/>
                      <w:szCs w:val="21"/>
                    </w:rPr>
                    <w:t>0.0733</w:t>
                  </w:r>
                </w:p>
              </w:tc>
              <w:tc>
                <w:tcPr>
                  <w:tcW w:w="343"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7200h</w:t>
                  </w:r>
                </w:p>
              </w:tc>
              <w:tc>
                <w:tcPr>
                  <w:tcW w:w="509"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《区域性大气污染物综合排放标准》（DB37/2376-2019）表1重点控制区排放限值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28" w:hRule="atLeast"/>
                <w:jc w:val="center"/>
              </w:trPr>
              <w:tc>
                <w:tcPr>
                  <w:tcW w:w="167"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混合搅拌釜上料口</w:t>
                  </w:r>
                  <w:r>
                    <w:rPr>
                      <w:rFonts w:ascii="Times New Roman" w:hAnsi="Times New Roman"/>
                      <w:kern w:val="2"/>
                      <w:sz w:val="21"/>
                      <w:szCs w:val="21"/>
                    </w:rPr>
                    <w:t>产生的粉尘</w:t>
                  </w:r>
                </w:p>
              </w:tc>
              <w:tc>
                <w:tcPr>
                  <w:tcW w:w="358"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185"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360" w:type="pct"/>
                  <w:vMerge w:val="continue"/>
                  <w:tcBorders>
                    <w:tl2br w:val="nil"/>
                    <w:tr2bl w:val="nil"/>
                  </w:tcBorders>
                  <w:vAlign w:val="center"/>
                </w:tcPr>
                <w:p>
                  <w:pPr>
                    <w:adjustRightInd w:val="0"/>
                    <w:snapToGrid w:val="0"/>
                    <w:jc w:val="center"/>
                    <w:rPr>
                      <w:szCs w:val="21"/>
                    </w:rPr>
                  </w:pPr>
                </w:p>
              </w:tc>
              <w:tc>
                <w:tcPr>
                  <w:tcW w:w="319"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303"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color w:val="0000FF"/>
                      <w:kern w:val="2"/>
                      <w:sz w:val="21"/>
                      <w:szCs w:val="21"/>
                    </w:rPr>
                    <w:t>49.4</w:t>
                  </w:r>
                </w:p>
              </w:tc>
              <w:tc>
                <w:tcPr>
                  <w:tcW w:w="465"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437"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273"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380"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476"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418"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343"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509"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7"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包装产生的有机废气</w:t>
                  </w:r>
                </w:p>
              </w:tc>
              <w:tc>
                <w:tcPr>
                  <w:tcW w:w="358"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185"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360" w:type="pct"/>
                  <w:vMerge w:val="continue"/>
                  <w:tcBorders>
                    <w:tl2br w:val="nil"/>
                    <w:tr2bl w:val="nil"/>
                  </w:tcBorders>
                  <w:vAlign w:val="center"/>
                </w:tcPr>
                <w:p>
                  <w:pPr>
                    <w:adjustRightInd w:val="0"/>
                    <w:snapToGrid w:val="0"/>
                    <w:jc w:val="center"/>
                    <w:rPr>
                      <w:szCs w:val="21"/>
                    </w:rPr>
                  </w:pPr>
                </w:p>
              </w:tc>
              <w:tc>
                <w:tcPr>
                  <w:tcW w:w="319"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303"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0.19</w:t>
                  </w:r>
                </w:p>
              </w:tc>
              <w:tc>
                <w:tcPr>
                  <w:tcW w:w="465"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437"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273"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380"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476"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418"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343"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509"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167"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粉碎未收集粉尘废气</w:t>
                  </w:r>
                </w:p>
              </w:tc>
              <w:tc>
                <w:tcPr>
                  <w:tcW w:w="358"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无组织</w:t>
                  </w:r>
                </w:p>
              </w:tc>
              <w:tc>
                <w:tcPr>
                  <w:tcW w:w="185"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颗粒物</w:t>
                  </w:r>
                </w:p>
              </w:tc>
              <w:tc>
                <w:tcPr>
                  <w:tcW w:w="360"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w:t>
                  </w:r>
                </w:p>
              </w:tc>
              <w:tc>
                <w:tcPr>
                  <w:tcW w:w="319"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w:t>
                  </w:r>
                </w:p>
              </w:tc>
              <w:tc>
                <w:tcPr>
                  <w:tcW w:w="303"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0.1695</w:t>
                  </w:r>
                </w:p>
              </w:tc>
              <w:tc>
                <w:tcPr>
                  <w:tcW w:w="465" w:type="pct"/>
                  <w:tcBorders>
                    <w:tl2br w:val="nil"/>
                    <w:tr2bl w:val="nil"/>
                  </w:tcBorders>
                  <w:vAlign w:val="center"/>
                </w:tcPr>
                <w:p>
                  <w:pPr>
                    <w:adjustRightInd w:val="0"/>
                    <w:snapToGrid w:val="0"/>
                    <w:jc w:val="center"/>
                    <w:rPr>
                      <w:szCs w:val="21"/>
                    </w:rPr>
                  </w:pPr>
                  <w:r>
                    <w:rPr>
                      <w:rFonts w:hint="eastAsia"/>
                    </w:rPr>
                    <w:t>--</w:t>
                  </w:r>
                </w:p>
              </w:tc>
              <w:tc>
                <w:tcPr>
                  <w:tcW w:w="437" w:type="pct"/>
                  <w:tcBorders>
                    <w:tl2br w:val="nil"/>
                    <w:tr2bl w:val="nil"/>
                  </w:tcBorders>
                  <w:vAlign w:val="center"/>
                </w:tcPr>
                <w:p>
                  <w:pPr>
                    <w:adjustRightInd w:val="0"/>
                    <w:snapToGrid w:val="0"/>
                    <w:jc w:val="center"/>
                    <w:rPr>
                      <w:szCs w:val="21"/>
                    </w:rPr>
                  </w:pPr>
                  <w:r>
                    <w:t>0.0</w:t>
                  </w:r>
                  <w:r>
                    <w:rPr>
                      <w:rFonts w:hint="eastAsia"/>
                    </w:rPr>
                    <w:t>235</w:t>
                  </w:r>
                </w:p>
              </w:tc>
              <w:tc>
                <w:tcPr>
                  <w:tcW w:w="273"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车间密闭</w:t>
                  </w:r>
                </w:p>
              </w:tc>
              <w:tc>
                <w:tcPr>
                  <w:tcW w:w="380"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0.1695</w:t>
                  </w:r>
                </w:p>
              </w:tc>
              <w:tc>
                <w:tcPr>
                  <w:tcW w:w="476" w:type="pct"/>
                  <w:tcBorders>
                    <w:tl2br w:val="nil"/>
                    <w:tr2bl w:val="nil"/>
                  </w:tcBorders>
                  <w:vAlign w:val="center"/>
                </w:tcPr>
                <w:p>
                  <w:pPr>
                    <w:adjustRightInd w:val="0"/>
                    <w:snapToGrid w:val="0"/>
                    <w:jc w:val="center"/>
                    <w:rPr>
                      <w:szCs w:val="21"/>
                    </w:rPr>
                  </w:pPr>
                  <w:r>
                    <w:rPr>
                      <w:rFonts w:hint="eastAsia"/>
                    </w:rPr>
                    <w:t>--</w:t>
                  </w:r>
                </w:p>
              </w:tc>
              <w:tc>
                <w:tcPr>
                  <w:tcW w:w="418" w:type="pct"/>
                  <w:tcBorders>
                    <w:tl2br w:val="nil"/>
                    <w:tr2bl w:val="nil"/>
                  </w:tcBorders>
                  <w:vAlign w:val="center"/>
                </w:tcPr>
                <w:p>
                  <w:pPr>
                    <w:adjustRightInd w:val="0"/>
                    <w:snapToGrid w:val="0"/>
                    <w:jc w:val="center"/>
                    <w:rPr>
                      <w:szCs w:val="21"/>
                    </w:rPr>
                  </w:pPr>
                  <w:r>
                    <w:t>0.0</w:t>
                  </w:r>
                  <w:r>
                    <w:rPr>
                      <w:rFonts w:hint="eastAsia"/>
                    </w:rPr>
                    <w:t>235</w:t>
                  </w:r>
                </w:p>
              </w:tc>
              <w:tc>
                <w:tcPr>
                  <w:tcW w:w="343"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7200h</w:t>
                  </w:r>
                </w:p>
              </w:tc>
              <w:tc>
                <w:tcPr>
                  <w:tcW w:w="509"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《大气污染物综合排放标准》（GB16297-1996）表2无组织排放监控浓度限值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167"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color w:val="0000FF"/>
                      <w:kern w:val="2"/>
                      <w:sz w:val="21"/>
                      <w:szCs w:val="21"/>
                    </w:rPr>
                  </w:pPr>
                  <w:r>
                    <w:rPr>
                      <w:rFonts w:hint="eastAsia" w:ascii="Times New Roman" w:hAnsi="Times New Roman"/>
                      <w:color w:val="0000FF"/>
                      <w:kern w:val="2"/>
                      <w:sz w:val="21"/>
                      <w:szCs w:val="21"/>
                    </w:rPr>
                    <w:t>混合搅拌釜上料口未收集废气</w:t>
                  </w:r>
                </w:p>
              </w:tc>
              <w:tc>
                <w:tcPr>
                  <w:tcW w:w="899" w:type="dxa"/>
                  <w:tcBorders>
                    <w:tl2br w:val="nil"/>
                    <w:tr2bl w:val="nil"/>
                  </w:tcBorders>
                  <w:vAlign w:val="center"/>
                </w:tcPr>
                <w:p>
                  <w:pPr>
                    <w:pStyle w:val="34"/>
                    <w:adjustRightInd w:val="0"/>
                    <w:snapToGrid w:val="0"/>
                    <w:spacing w:before="0" w:beforeAutospacing="0" w:after="0" w:afterAutospacing="0"/>
                    <w:jc w:val="center"/>
                    <w:rPr>
                      <w:rFonts w:ascii="Times New Roman" w:hAnsi="Times New Roman"/>
                      <w:color w:val="0000FF"/>
                      <w:kern w:val="2"/>
                      <w:sz w:val="21"/>
                      <w:szCs w:val="21"/>
                    </w:rPr>
                  </w:pPr>
                  <w:r>
                    <w:rPr>
                      <w:rFonts w:ascii="Times New Roman" w:hAnsi="Times New Roman"/>
                      <w:color w:val="0000FF"/>
                      <w:kern w:val="2"/>
                      <w:sz w:val="21"/>
                      <w:szCs w:val="21"/>
                    </w:rPr>
                    <w:t>无组织</w:t>
                  </w:r>
                </w:p>
              </w:tc>
              <w:tc>
                <w:tcPr>
                  <w:tcW w:w="466" w:type="dxa"/>
                  <w:tcBorders>
                    <w:tl2br w:val="nil"/>
                    <w:tr2bl w:val="nil"/>
                  </w:tcBorders>
                  <w:vAlign w:val="center"/>
                </w:tcPr>
                <w:p>
                  <w:pPr>
                    <w:pStyle w:val="34"/>
                    <w:adjustRightInd w:val="0"/>
                    <w:snapToGrid w:val="0"/>
                    <w:spacing w:before="0" w:beforeAutospacing="0" w:after="0" w:afterAutospacing="0"/>
                    <w:jc w:val="center"/>
                    <w:rPr>
                      <w:rFonts w:ascii="Times New Roman" w:hAnsi="Times New Roman"/>
                      <w:color w:val="0000FF"/>
                      <w:kern w:val="2"/>
                      <w:sz w:val="21"/>
                      <w:szCs w:val="21"/>
                    </w:rPr>
                  </w:pPr>
                  <w:r>
                    <w:rPr>
                      <w:rFonts w:ascii="Times New Roman" w:hAnsi="Times New Roman"/>
                      <w:color w:val="0000FF"/>
                      <w:kern w:val="2"/>
                      <w:sz w:val="21"/>
                      <w:szCs w:val="21"/>
                    </w:rPr>
                    <w:t>颗粒物</w:t>
                  </w:r>
                </w:p>
              </w:tc>
              <w:tc>
                <w:tcPr>
                  <w:tcW w:w="905" w:type="dxa"/>
                  <w:tcBorders>
                    <w:tl2br w:val="nil"/>
                    <w:tr2bl w:val="nil"/>
                  </w:tcBorders>
                  <w:vAlign w:val="center"/>
                </w:tcPr>
                <w:p>
                  <w:pPr>
                    <w:pStyle w:val="34"/>
                    <w:adjustRightInd w:val="0"/>
                    <w:snapToGrid w:val="0"/>
                    <w:spacing w:before="0" w:beforeAutospacing="0" w:after="0" w:afterAutospacing="0"/>
                    <w:jc w:val="center"/>
                    <w:rPr>
                      <w:rFonts w:ascii="Times New Roman" w:hAnsi="Times New Roman"/>
                      <w:color w:val="0000FF"/>
                      <w:kern w:val="2"/>
                      <w:sz w:val="21"/>
                      <w:szCs w:val="21"/>
                    </w:rPr>
                  </w:pPr>
                  <w:r>
                    <w:rPr>
                      <w:rFonts w:ascii="Times New Roman" w:hAnsi="Times New Roman"/>
                      <w:color w:val="0000FF"/>
                      <w:kern w:val="2"/>
                      <w:sz w:val="21"/>
                      <w:szCs w:val="21"/>
                    </w:rPr>
                    <w:t>--</w:t>
                  </w:r>
                </w:p>
              </w:tc>
              <w:tc>
                <w:tcPr>
                  <w:tcW w:w="801" w:type="dxa"/>
                  <w:tcBorders>
                    <w:tl2br w:val="nil"/>
                    <w:tr2bl w:val="nil"/>
                  </w:tcBorders>
                  <w:vAlign w:val="center"/>
                </w:tcPr>
                <w:p>
                  <w:pPr>
                    <w:pStyle w:val="34"/>
                    <w:adjustRightInd w:val="0"/>
                    <w:snapToGrid w:val="0"/>
                    <w:spacing w:before="0" w:beforeAutospacing="0" w:after="0" w:afterAutospacing="0"/>
                    <w:jc w:val="center"/>
                    <w:rPr>
                      <w:rFonts w:ascii="Times New Roman" w:hAnsi="Times New Roman"/>
                      <w:color w:val="0000FF"/>
                      <w:kern w:val="2"/>
                      <w:sz w:val="21"/>
                      <w:szCs w:val="21"/>
                    </w:rPr>
                  </w:pPr>
                  <w:r>
                    <w:rPr>
                      <w:rFonts w:ascii="Times New Roman" w:hAnsi="Times New Roman"/>
                      <w:color w:val="0000FF"/>
                      <w:kern w:val="2"/>
                      <w:sz w:val="21"/>
                      <w:szCs w:val="21"/>
                    </w:rPr>
                    <w:t>--</w:t>
                  </w:r>
                </w:p>
              </w:tc>
              <w:tc>
                <w:tcPr>
                  <w:tcW w:w="761" w:type="dxa"/>
                  <w:tcBorders>
                    <w:tl2br w:val="nil"/>
                    <w:tr2bl w:val="nil"/>
                  </w:tcBorders>
                  <w:vAlign w:val="center"/>
                </w:tcPr>
                <w:p>
                  <w:pPr>
                    <w:pStyle w:val="34"/>
                    <w:adjustRightInd w:val="0"/>
                    <w:snapToGrid w:val="0"/>
                    <w:spacing w:before="0" w:beforeAutospacing="0" w:after="0" w:afterAutospacing="0"/>
                    <w:jc w:val="center"/>
                    <w:rPr>
                      <w:rFonts w:ascii="Times New Roman" w:hAnsi="Times New Roman"/>
                      <w:color w:val="0000FF"/>
                      <w:kern w:val="2"/>
                      <w:sz w:val="21"/>
                      <w:szCs w:val="21"/>
                    </w:rPr>
                  </w:pPr>
                  <w:r>
                    <w:rPr>
                      <w:rFonts w:hint="eastAsia" w:ascii="Times New Roman" w:hAnsi="Times New Roman"/>
                      <w:color w:val="0000FF"/>
                      <w:kern w:val="2"/>
                      <w:sz w:val="21"/>
                      <w:szCs w:val="21"/>
                    </w:rPr>
                    <w:t>2.6</w:t>
                  </w:r>
                </w:p>
              </w:tc>
              <w:tc>
                <w:tcPr>
                  <w:tcW w:w="1167" w:type="dxa"/>
                  <w:tcBorders>
                    <w:tl2br w:val="nil"/>
                    <w:tr2bl w:val="nil"/>
                  </w:tcBorders>
                  <w:vAlign w:val="center"/>
                </w:tcPr>
                <w:p>
                  <w:pPr>
                    <w:adjustRightInd w:val="0"/>
                    <w:snapToGrid w:val="0"/>
                    <w:jc w:val="center"/>
                    <w:rPr>
                      <w:color w:val="0000FF"/>
                    </w:rPr>
                  </w:pPr>
                  <w:r>
                    <w:rPr>
                      <w:rFonts w:hint="eastAsia"/>
                      <w:color w:val="0000FF"/>
                    </w:rPr>
                    <w:t>--</w:t>
                  </w:r>
                </w:p>
              </w:tc>
              <w:tc>
                <w:tcPr>
                  <w:tcW w:w="1097" w:type="dxa"/>
                  <w:tcBorders>
                    <w:tl2br w:val="nil"/>
                    <w:tr2bl w:val="nil"/>
                  </w:tcBorders>
                  <w:vAlign w:val="center"/>
                </w:tcPr>
                <w:p>
                  <w:pPr>
                    <w:adjustRightInd w:val="0"/>
                    <w:snapToGrid w:val="0"/>
                    <w:jc w:val="center"/>
                    <w:rPr>
                      <w:color w:val="0000FF"/>
                    </w:rPr>
                  </w:pPr>
                  <w:r>
                    <w:rPr>
                      <w:color w:val="0000FF"/>
                    </w:rPr>
                    <w:t>0.</w:t>
                  </w:r>
                  <w:r>
                    <w:rPr>
                      <w:rFonts w:hint="eastAsia"/>
                      <w:color w:val="0000FF"/>
                    </w:rPr>
                    <w:t>361</w:t>
                  </w:r>
                </w:p>
              </w:tc>
              <w:tc>
                <w:tcPr>
                  <w:tcW w:w="686" w:type="dxa"/>
                  <w:tcBorders>
                    <w:tl2br w:val="nil"/>
                    <w:tr2bl w:val="nil"/>
                  </w:tcBorders>
                  <w:vAlign w:val="center"/>
                </w:tcPr>
                <w:p>
                  <w:pPr>
                    <w:pStyle w:val="34"/>
                    <w:adjustRightInd w:val="0"/>
                    <w:snapToGrid w:val="0"/>
                    <w:spacing w:before="0" w:beforeAutospacing="0" w:after="0" w:afterAutospacing="0"/>
                    <w:jc w:val="center"/>
                    <w:rPr>
                      <w:rFonts w:ascii="Times New Roman" w:hAnsi="Times New Roman"/>
                      <w:color w:val="0000FF"/>
                      <w:kern w:val="2"/>
                      <w:sz w:val="21"/>
                      <w:szCs w:val="21"/>
                    </w:rPr>
                  </w:pPr>
                  <w:r>
                    <w:rPr>
                      <w:rFonts w:ascii="Times New Roman" w:hAnsi="Times New Roman"/>
                      <w:color w:val="0000FF"/>
                      <w:kern w:val="2"/>
                      <w:sz w:val="21"/>
                      <w:szCs w:val="21"/>
                    </w:rPr>
                    <w:t>车间密闭</w:t>
                  </w:r>
                </w:p>
              </w:tc>
              <w:tc>
                <w:tcPr>
                  <w:tcW w:w="955" w:type="dxa"/>
                  <w:tcBorders>
                    <w:tl2br w:val="nil"/>
                    <w:tr2bl w:val="nil"/>
                  </w:tcBorders>
                  <w:vAlign w:val="center"/>
                </w:tcPr>
                <w:p>
                  <w:pPr>
                    <w:pStyle w:val="34"/>
                    <w:adjustRightInd w:val="0"/>
                    <w:snapToGrid w:val="0"/>
                    <w:spacing w:before="0" w:beforeAutospacing="0" w:after="0" w:afterAutospacing="0"/>
                    <w:jc w:val="center"/>
                    <w:rPr>
                      <w:rFonts w:ascii="Times New Roman" w:hAnsi="Times New Roman"/>
                      <w:color w:val="0000FF"/>
                      <w:kern w:val="2"/>
                      <w:sz w:val="21"/>
                      <w:szCs w:val="21"/>
                    </w:rPr>
                  </w:pPr>
                  <w:r>
                    <w:rPr>
                      <w:rFonts w:hint="eastAsia" w:ascii="Times New Roman" w:hAnsi="Times New Roman"/>
                      <w:color w:val="0000FF"/>
                      <w:kern w:val="2"/>
                      <w:sz w:val="21"/>
                      <w:szCs w:val="21"/>
                    </w:rPr>
                    <w:t>2.6</w:t>
                  </w:r>
                </w:p>
              </w:tc>
              <w:tc>
                <w:tcPr>
                  <w:tcW w:w="1195" w:type="dxa"/>
                  <w:tcBorders>
                    <w:tl2br w:val="nil"/>
                    <w:tr2bl w:val="nil"/>
                  </w:tcBorders>
                  <w:vAlign w:val="center"/>
                </w:tcPr>
                <w:p>
                  <w:pPr>
                    <w:adjustRightInd w:val="0"/>
                    <w:snapToGrid w:val="0"/>
                    <w:jc w:val="center"/>
                    <w:rPr>
                      <w:color w:val="0000FF"/>
                    </w:rPr>
                  </w:pPr>
                  <w:r>
                    <w:rPr>
                      <w:rFonts w:hint="eastAsia"/>
                      <w:color w:val="0000FF"/>
                    </w:rPr>
                    <w:t>--</w:t>
                  </w:r>
                </w:p>
              </w:tc>
              <w:tc>
                <w:tcPr>
                  <w:tcW w:w="1050" w:type="dxa"/>
                  <w:tcBorders>
                    <w:tl2br w:val="nil"/>
                    <w:tr2bl w:val="nil"/>
                  </w:tcBorders>
                  <w:vAlign w:val="center"/>
                </w:tcPr>
                <w:p>
                  <w:pPr>
                    <w:adjustRightInd w:val="0"/>
                    <w:snapToGrid w:val="0"/>
                    <w:jc w:val="center"/>
                    <w:rPr>
                      <w:color w:val="0000FF"/>
                    </w:rPr>
                  </w:pPr>
                  <w:r>
                    <w:rPr>
                      <w:color w:val="0000FF"/>
                    </w:rPr>
                    <w:t>0.</w:t>
                  </w:r>
                  <w:r>
                    <w:rPr>
                      <w:rFonts w:hint="eastAsia"/>
                      <w:color w:val="0000FF"/>
                    </w:rPr>
                    <w:t>361</w:t>
                  </w:r>
                </w:p>
              </w:tc>
              <w:tc>
                <w:tcPr>
                  <w:tcW w:w="861" w:type="dxa"/>
                  <w:tcBorders>
                    <w:tl2br w:val="nil"/>
                    <w:tr2bl w:val="nil"/>
                  </w:tcBorders>
                  <w:vAlign w:val="center"/>
                </w:tcPr>
                <w:p>
                  <w:pPr>
                    <w:pStyle w:val="34"/>
                    <w:adjustRightInd w:val="0"/>
                    <w:snapToGrid w:val="0"/>
                    <w:spacing w:before="0" w:beforeAutospacing="0" w:after="0" w:afterAutospacing="0"/>
                    <w:jc w:val="center"/>
                    <w:rPr>
                      <w:rFonts w:ascii="Times New Roman" w:hAnsi="Times New Roman"/>
                      <w:color w:val="0000FF"/>
                      <w:kern w:val="2"/>
                      <w:sz w:val="21"/>
                      <w:szCs w:val="21"/>
                    </w:rPr>
                  </w:pPr>
                  <w:r>
                    <w:rPr>
                      <w:rFonts w:ascii="Times New Roman" w:hAnsi="Times New Roman"/>
                      <w:color w:val="0000FF"/>
                      <w:kern w:val="2"/>
                      <w:sz w:val="21"/>
                      <w:szCs w:val="21"/>
                    </w:rPr>
                    <w:t>7200h</w:t>
                  </w:r>
                </w:p>
              </w:tc>
              <w:tc>
                <w:tcPr>
                  <w:tcW w:w="509"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167"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料仓产生的废气</w:t>
                  </w:r>
                </w:p>
              </w:tc>
              <w:tc>
                <w:tcPr>
                  <w:tcW w:w="358"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无组织</w:t>
                  </w:r>
                </w:p>
              </w:tc>
              <w:tc>
                <w:tcPr>
                  <w:tcW w:w="185"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颗粒物</w:t>
                  </w:r>
                </w:p>
              </w:tc>
              <w:tc>
                <w:tcPr>
                  <w:tcW w:w="360"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w:t>
                  </w:r>
                  <w:r>
                    <w:rPr>
                      <w:rFonts w:ascii="Times New Roman" w:hAnsi="Times New Roman"/>
                      <w:kern w:val="2"/>
                      <w:sz w:val="21"/>
                      <w:szCs w:val="21"/>
                    </w:rPr>
                    <w:t>-</w:t>
                  </w:r>
                </w:p>
              </w:tc>
              <w:tc>
                <w:tcPr>
                  <w:tcW w:w="319"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w:t>
                  </w:r>
                </w:p>
              </w:tc>
              <w:tc>
                <w:tcPr>
                  <w:tcW w:w="303"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0</w:t>
                  </w:r>
                  <w:r>
                    <w:rPr>
                      <w:rFonts w:ascii="Times New Roman" w:hAnsi="Times New Roman"/>
                      <w:kern w:val="2"/>
                      <w:sz w:val="21"/>
                      <w:szCs w:val="21"/>
                    </w:rPr>
                    <w:t>.4</w:t>
                  </w:r>
                </w:p>
              </w:tc>
              <w:tc>
                <w:tcPr>
                  <w:tcW w:w="465"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w:t>
                  </w:r>
                  <w:r>
                    <w:rPr>
                      <w:rFonts w:ascii="Times New Roman" w:hAnsi="Times New Roman"/>
                      <w:kern w:val="2"/>
                      <w:sz w:val="21"/>
                      <w:szCs w:val="21"/>
                    </w:rPr>
                    <w:t>-</w:t>
                  </w:r>
                </w:p>
              </w:tc>
              <w:tc>
                <w:tcPr>
                  <w:tcW w:w="437"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0</w:t>
                  </w:r>
                  <w:r>
                    <w:rPr>
                      <w:rFonts w:ascii="Times New Roman" w:hAnsi="Times New Roman"/>
                      <w:kern w:val="2"/>
                      <w:sz w:val="21"/>
                      <w:szCs w:val="21"/>
                    </w:rPr>
                    <w:t>.055</w:t>
                  </w:r>
                </w:p>
              </w:tc>
              <w:tc>
                <w:tcPr>
                  <w:tcW w:w="273"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380"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0</w:t>
                  </w:r>
                  <w:r>
                    <w:rPr>
                      <w:rFonts w:ascii="Times New Roman" w:hAnsi="Times New Roman"/>
                      <w:kern w:val="2"/>
                      <w:sz w:val="21"/>
                      <w:szCs w:val="21"/>
                    </w:rPr>
                    <w:t>.4</w:t>
                  </w:r>
                </w:p>
              </w:tc>
              <w:tc>
                <w:tcPr>
                  <w:tcW w:w="476"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w:t>
                  </w:r>
                  <w:r>
                    <w:rPr>
                      <w:rFonts w:ascii="Times New Roman" w:hAnsi="Times New Roman"/>
                      <w:kern w:val="2"/>
                      <w:sz w:val="21"/>
                      <w:szCs w:val="21"/>
                    </w:rPr>
                    <w:t>-</w:t>
                  </w:r>
                </w:p>
              </w:tc>
              <w:tc>
                <w:tcPr>
                  <w:tcW w:w="418"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0</w:t>
                  </w:r>
                  <w:r>
                    <w:rPr>
                      <w:rFonts w:ascii="Times New Roman" w:hAnsi="Times New Roman"/>
                      <w:kern w:val="2"/>
                      <w:sz w:val="21"/>
                      <w:szCs w:val="21"/>
                    </w:rPr>
                    <w:t>.055</w:t>
                  </w:r>
                </w:p>
              </w:tc>
              <w:tc>
                <w:tcPr>
                  <w:tcW w:w="343"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7200h</w:t>
                  </w:r>
                </w:p>
              </w:tc>
              <w:tc>
                <w:tcPr>
                  <w:tcW w:w="509"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67"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包装未收集粉尘废气</w:t>
                  </w:r>
                </w:p>
              </w:tc>
              <w:tc>
                <w:tcPr>
                  <w:tcW w:w="358"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无组织</w:t>
                  </w:r>
                </w:p>
              </w:tc>
              <w:tc>
                <w:tcPr>
                  <w:tcW w:w="185"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颗粒物</w:t>
                  </w:r>
                </w:p>
              </w:tc>
              <w:tc>
                <w:tcPr>
                  <w:tcW w:w="360"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w:t>
                  </w:r>
                </w:p>
              </w:tc>
              <w:tc>
                <w:tcPr>
                  <w:tcW w:w="319"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w:t>
                  </w:r>
                </w:p>
              </w:tc>
              <w:tc>
                <w:tcPr>
                  <w:tcW w:w="303"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0.01</w:t>
                  </w:r>
                </w:p>
              </w:tc>
              <w:tc>
                <w:tcPr>
                  <w:tcW w:w="465"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w:t>
                  </w:r>
                </w:p>
              </w:tc>
              <w:tc>
                <w:tcPr>
                  <w:tcW w:w="437"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0.0014</w:t>
                  </w:r>
                </w:p>
              </w:tc>
              <w:tc>
                <w:tcPr>
                  <w:tcW w:w="273"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车间密闭</w:t>
                  </w:r>
                </w:p>
              </w:tc>
              <w:tc>
                <w:tcPr>
                  <w:tcW w:w="380"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0.01</w:t>
                  </w:r>
                </w:p>
              </w:tc>
              <w:tc>
                <w:tcPr>
                  <w:tcW w:w="476"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w:t>
                  </w:r>
                </w:p>
              </w:tc>
              <w:tc>
                <w:tcPr>
                  <w:tcW w:w="418"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0.0014</w:t>
                  </w:r>
                </w:p>
              </w:tc>
              <w:tc>
                <w:tcPr>
                  <w:tcW w:w="343"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7200h</w:t>
                  </w:r>
                </w:p>
              </w:tc>
              <w:tc>
                <w:tcPr>
                  <w:tcW w:w="509"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r>
          </w:tbl>
          <w:p>
            <w:pPr>
              <w:adjustRightInd w:val="0"/>
              <w:snapToGrid w:val="0"/>
              <w:spacing w:line="360" w:lineRule="auto"/>
              <w:ind w:firstLine="422"/>
            </w:pPr>
            <w:r>
              <w:t>（2）项目大气污染物治理措施</w:t>
            </w:r>
          </w:p>
          <w:p>
            <w:pPr>
              <w:spacing w:line="360" w:lineRule="auto"/>
              <w:ind w:firstLine="420" w:firstLineChars="200"/>
              <w:rPr>
                <w:szCs w:val="21"/>
              </w:rPr>
            </w:pPr>
            <w:r>
              <w:rPr>
                <w:szCs w:val="21"/>
              </w:rPr>
              <w:t>本项目粉碎、</w:t>
            </w:r>
            <w:r>
              <w:t>混合搅拌釜上料</w:t>
            </w:r>
            <w:r>
              <w:rPr>
                <w:rFonts w:hint="eastAsia"/>
              </w:rPr>
              <w:t>口</w:t>
            </w:r>
            <w:r>
              <w:rPr>
                <w:szCs w:val="21"/>
              </w:rPr>
              <w:t>、包装工序产生的颗粒物采用“集气罩+布袋除尘器”处理，处理后通过1根15m排气筒（DA001）排放，料仓产生的粉尘经收集</w:t>
            </w:r>
            <w:r>
              <w:rPr>
                <w:rFonts w:hint="eastAsia"/>
                <w:szCs w:val="21"/>
              </w:rPr>
              <w:t>后</w:t>
            </w:r>
            <w:r>
              <w:rPr>
                <w:szCs w:val="21"/>
              </w:rPr>
              <w:t>通过仓顶</w:t>
            </w:r>
            <w:r>
              <w:rPr>
                <w:rFonts w:hint="eastAsia"/>
                <w:szCs w:val="21"/>
              </w:rPr>
              <w:t>的</w:t>
            </w:r>
            <w:r>
              <w:rPr>
                <w:szCs w:val="21"/>
              </w:rPr>
              <w:t>布袋除尘器</w:t>
            </w:r>
            <w:r>
              <w:rPr>
                <w:rFonts w:hint="eastAsia"/>
                <w:szCs w:val="21"/>
              </w:rPr>
              <w:t>进行处理后</w:t>
            </w:r>
            <w:r>
              <w:rPr>
                <w:szCs w:val="21"/>
              </w:rPr>
              <w:t>无组织排放</w:t>
            </w:r>
            <w:r>
              <w:rPr>
                <w:rFonts w:hint="eastAsia"/>
                <w:szCs w:val="21"/>
              </w:rPr>
              <w:t>，</w:t>
            </w:r>
            <w:r>
              <w:t>污染物可达标排放。</w:t>
            </w:r>
          </w:p>
          <w:p>
            <w:pPr>
              <w:adjustRightInd w:val="0"/>
              <w:snapToGrid w:val="0"/>
              <w:spacing w:line="360" w:lineRule="auto"/>
              <w:ind w:firstLine="422"/>
            </w:pPr>
            <w:r>
              <w:t>袋式除尘器是利用棉、毛、人造纤维等编织物作为滤袋起过滤作用，对颗粒物进行捕集而达到除尘效果的。其主要工作原理是：含尘气流从下部进入圆筒形滤袋，在通过滤料的孔隙时，粉尘被捕集于滤料上，透过滤料的清洁气体由排出口排出。沉积在滤料上的粉尘，可在机械振动的作用下从滤料表面脱落，落入灰斗中。常用滤料由棉、毛、人造纤维等加工而成，新型滤料有玻璃纤维和微滤膜等，滤料本身网孔较小，一般为20-50μm，表面起绒的滤料为5-10μm，而新型滤料的孔径在5μm以下。按不同粒径的粉尘在流体中运动的不同物理学特征，颗粒物通过惯性碰撞、截留、扩散、静电、筛滤等作用被捕集。此外，粉尘因截留、惯性碰撞、静电和扩散等作用，逐渐在滤袋表面形成粉尘层，常称为粉尘初层。初层形成后，它成为袋式除尘器的主要过滤层，提高了除尘效率。滤布只不过起着形成粉尘初层和支撑它的骨架作用，但随着粉尘在滤袋上积聚，滤袋两侧的压力差增大，会把有些已附在滤料上的细小粉尘挤压过去，使除尘效率下降。另外，若除尘器阻力过高，还会使除尘系统的处理气体量显著下降，影响生产系统的排风效果。因此，除尘器阻力达到一定的数值后，要及时清灰。</w:t>
            </w:r>
          </w:p>
          <w:p>
            <w:pPr>
              <w:spacing w:line="360" w:lineRule="auto"/>
              <w:ind w:firstLine="420" w:firstLineChars="200"/>
              <w:rPr>
                <w:szCs w:val="21"/>
              </w:rPr>
            </w:pPr>
            <w:r>
              <w:t>根据《排污许可证申请与核发技术规范总则》（HJ942-2018）可知，废气污染物治理设施工艺除尘设施包含袋式除尘器、电除尘器、电袋复合除尘器、其他等。</w:t>
            </w:r>
            <w:r>
              <w:rPr>
                <w:szCs w:val="21"/>
              </w:rPr>
              <w:t>本项目粉碎、</w:t>
            </w:r>
            <w:r>
              <w:t>混合搅拌釜上料</w:t>
            </w:r>
            <w:r>
              <w:rPr>
                <w:rFonts w:hint="eastAsia"/>
              </w:rPr>
              <w:t>口</w:t>
            </w:r>
            <w:r>
              <w:rPr>
                <w:szCs w:val="21"/>
              </w:rPr>
              <w:t>、包装工序产生的颗粒物采用“集气罩+布袋除尘器”处理，处理后通过1根15m排气筒（DA001）排放，料仓产生的粉尘经收集</w:t>
            </w:r>
            <w:r>
              <w:rPr>
                <w:rFonts w:hint="eastAsia"/>
                <w:szCs w:val="21"/>
              </w:rPr>
              <w:t>后</w:t>
            </w:r>
            <w:r>
              <w:rPr>
                <w:szCs w:val="21"/>
              </w:rPr>
              <w:t>通过仓顶</w:t>
            </w:r>
            <w:r>
              <w:rPr>
                <w:rFonts w:hint="eastAsia"/>
                <w:szCs w:val="21"/>
              </w:rPr>
              <w:t>的</w:t>
            </w:r>
            <w:r>
              <w:rPr>
                <w:szCs w:val="21"/>
              </w:rPr>
              <w:t>布袋除尘器</w:t>
            </w:r>
            <w:r>
              <w:rPr>
                <w:rFonts w:hint="eastAsia"/>
                <w:szCs w:val="21"/>
              </w:rPr>
              <w:t>进行处理后</w:t>
            </w:r>
            <w:r>
              <w:rPr>
                <w:szCs w:val="21"/>
              </w:rPr>
              <w:t>无组织排放</w:t>
            </w:r>
            <w:r>
              <w:rPr>
                <w:rFonts w:hint="eastAsia"/>
                <w:szCs w:val="21"/>
              </w:rPr>
              <w:t>，</w:t>
            </w:r>
            <w:r>
              <w:t>均为废气污染防治可行技术。</w:t>
            </w:r>
          </w:p>
          <w:p>
            <w:pPr>
              <w:jc w:val="center"/>
              <w:rPr>
                <w:b/>
                <w:bCs/>
                <w:szCs w:val="21"/>
              </w:rPr>
            </w:pPr>
            <w:r>
              <w:rPr>
                <w:b/>
                <w:bCs/>
                <w:szCs w:val="21"/>
              </w:rPr>
              <w:t>表4-</w:t>
            </w:r>
            <w:r>
              <w:rPr>
                <w:rFonts w:hint="eastAsia"/>
                <w:b/>
                <w:bCs/>
                <w:szCs w:val="21"/>
              </w:rPr>
              <w:t>2</w:t>
            </w:r>
            <w:r>
              <w:rPr>
                <w:b/>
                <w:bCs/>
                <w:szCs w:val="21"/>
              </w:rPr>
              <w:t xml:space="preserve">  主要废气污染物治理设施一览表</w:t>
            </w:r>
          </w:p>
          <w:tbl>
            <w:tblPr>
              <w:tblStyle w:val="4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18"/>
              <w:gridCol w:w="1167"/>
              <w:gridCol w:w="1933"/>
              <w:gridCol w:w="3665"/>
              <w:gridCol w:w="1720"/>
              <w:gridCol w:w="19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43" w:type="pct"/>
                  <w:tcBorders>
                    <w:tl2br w:val="nil"/>
                    <w:tr2bl w:val="nil"/>
                  </w:tcBorders>
                  <w:vAlign w:val="center"/>
                </w:tcPr>
                <w:p>
                  <w:pPr>
                    <w:jc w:val="center"/>
                    <w:rPr>
                      <w:b/>
                      <w:bCs/>
                      <w:szCs w:val="21"/>
                    </w:rPr>
                  </w:pPr>
                  <w:r>
                    <w:rPr>
                      <w:b/>
                      <w:bCs/>
                      <w:szCs w:val="21"/>
                    </w:rPr>
                    <w:t>产污环节</w:t>
                  </w:r>
                </w:p>
              </w:tc>
              <w:tc>
                <w:tcPr>
                  <w:tcW w:w="465" w:type="pct"/>
                  <w:tcBorders>
                    <w:tl2br w:val="nil"/>
                    <w:tr2bl w:val="nil"/>
                  </w:tcBorders>
                  <w:vAlign w:val="center"/>
                </w:tcPr>
                <w:p>
                  <w:pPr>
                    <w:jc w:val="center"/>
                    <w:rPr>
                      <w:b/>
                      <w:bCs/>
                      <w:szCs w:val="21"/>
                    </w:rPr>
                  </w:pPr>
                  <w:r>
                    <w:rPr>
                      <w:b/>
                      <w:bCs/>
                      <w:szCs w:val="21"/>
                    </w:rPr>
                    <w:t>污染物</w:t>
                  </w:r>
                </w:p>
              </w:tc>
              <w:tc>
                <w:tcPr>
                  <w:tcW w:w="771" w:type="pct"/>
                  <w:tcBorders>
                    <w:tl2br w:val="nil"/>
                    <w:tr2bl w:val="nil"/>
                  </w:tcBorders>
                  <w:vAlign w:val="center"/>
                </w:tcPr>
                <w:p>
                  <w:pPr>
                    <w:jc w:val="center"/>
                    <w:rPr>
                      <w:b/>
                      <w:bCs/>
                      <w:szCs w:val="21"/>
                    </w:rPr>
                  </w:pPr>
                  <w:r>
                    <w:rPr>
                      <w:b/>
                      <w:bCs/>
                      <w:szCs w:val="21"/>
                    </w:rPr>
                    <w:t>排放口编号</w:t>
                  </w:r>
                </w:p>
              </w:tc>
              <w:tc>
                <w:tcPr>
                  <w:tcW w:w="1461" w:type="pct"/>
                  <w:tcBorders>
                    <w:tl2br w:val="nil"/>
                    <w:tr2bl w:val="nil"/>
                  </w:tcBorders>
                  <w:vAlign w:val="center"/>
                </w:tcPr>
                <w:p>
                  <w:pPr>
                    <w:jc w:val="center"/>
                    <w:rPr>
                      <w:b/>
                      <w:bCs/>
                      <w:szCs w:val="21"/>
                    </w:rPr>
                  </w:pPr>
                  <w:r>
                    <w:rPr>
                      <w:b/>
                      <w:bCs/>
                      <w:szCs w:val="21"/>
                    </w:rPr>
                    <w:t>处理设施</w:t>
                  </w:r>
                </w:p>
              </w:tc>
              <w:tc>
                <w:tcPr>
                  <w:tcW w:w="686" w:type="pct"/>
                  <w:tcBorders>
                    <w:tl2br w:val="nil"/>
                    <w:tr2bl w:val="nil"/>
                  </w:tcBorders>
                  <w:vAlign w:val="center"/>
                </w:tcPr>
                <w:p>
                  <w:pPr>
                    <w:jc w:val="center"/>
                    <w:rPr>
                      <w:b/>
                      <w:bCs/>
                      <w:szCs w:val="21"/>
                    </w:rPr>
                  </w:pPr>
                  <w:r>
                    <w:rPr>
                      <w:b/>
                      <w:bCs/>
                      <w:szCs w:val="21"/>
                    </w:rPr>
                    <w:t>是否可行</w:t>
                  </w:r>
                </w:p>
              </w:tc>
              <w:tc>
                <w:tcPr>
                  <w:tcW w:w="771" w:type="pct"/>
                  <w:tcBorders>
                    <w:tl2br w:val="nil"/>
                    <w:tr2bl w:val="nil"/>
                  </w:tcBorders>
                  <w:vAlign w:val="center"/>
                </w:tcPr>
                <w:p>
                  <w:pPr>
                    <w:jc w:val="center"/>
                    <w:rPr>
                      <w:b/>
                      <w:bCs/>
                      <w:szCs w:val="21"/>
                    </w:rPr>
                  </w:pPr>
                  <w:r>
                    <w:rPr>
                      <w:b/>
                      <w:bCs/>
                      <w:szCs w:val="21"/>
                    </w:rPr>
                    <w:t>排放口类型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843"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粉碎工序</w:t>
                  </w:r>
                </w:p>
              </w:tc>
              <w:tc>
                <w:tcPr>
                  <w:tcW w:w="465"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颗粒物</w:t>
                  </w:r>
                </w:p>
              </w:tc>
              <w:tc>
                <w:tcPr>
                  <w:tcW w:w="771"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DA001</w:t>
                  </w:r>
                </w:p>
              </w:tc>
              <w:tc>
                <w:tcPr>
                  <w:tcW w:w="1461"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布袋除尘器</w:t>
                  </w:r>
                </w:p>
              </w:tc>
              <w:tc>
                <w:tcPr>
                  <w:tcW w:w="686"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是</w:t>
                  </w:r>
                </w:p>
              </w:tc>
              <w:tc>
                <w:tcPr>
                  <w:tcW w:w="771"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一般排放口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843"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混合搅拌釜上料口</w:t>
                  </w:r>
                </w:p>
              </w:tc>
              <w:tc>
                <w:tcPr>
                  <w:tcW w:w="465"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颗粒物</w:t>
                  </w:r>
                </w:p>
              </w:tc>
              <w:tc>
                <w:tcPr>
                  <w:tcW w:w="771"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1461"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686"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771"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843"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包装工序</w:t>
                  </w:r>
                </w:p>
              </w:tc>
              <w:tc>
                <w:tcPr>
                  <w:tcW w:w="465"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颗粒物</w:t>
                  </w:r>
                </w:p>
              </w:tc>
              <w:tc>
                <w:tcPr>
                  <w:tcW w:w="771"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1461"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686"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771"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r>
          </w:tbl>
          <w:p>
            <w:pPr>
              <w:jc w:val="center"/>
              <w:rPr>
                <w:b/>
                <w:bCs/>
                <w:szCs w:val="21"/>
              </w:rPr>
            </w:pPr>
            <w:r>
              <w:rPr>
                <w:b/>
                <w:bCs/>
                <w:szCs w:val="21"/>
              </w:rPr>
              <w:t>表4-</w:t>
            </w:r>
            <w:r>
              <w:rPr>
                <w:rFonts w:hint="eastAsia"/>
                <w:b/>
                <w:bCs/>
                <w:szCs w:val="21"/>
              </w:rPr>
              <w:t>3</w:t>
            </w:r>
            <w:r>
              <w:rPr>
                <w:b/>
                <w:bCs/>
                <w:szCs w:val="21"/>
              </w:rPr>
              <w:t xml:space="preserve">   大气污染物排放口情况一览表</w:t>
            </w:r>
          </w:p>
          <w:tbl>
            <w:tblPr>
              <w:tblStyle w:val="4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33"/>
              <w:gridCol w:w="1492"/>
              <w:gridCol w:w="1925"/>
              <w:gridCol w:w="1715"/>
              <w:gridCol w:w="1713"/>
              <w:gridCol w:w="1710"/>
              <w:gridCol w:w="17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1" w:type="pct"/>
                  <w:vMerge w:val="restart"/>
                  <w:tcBorders>
                    <w:tl2br w:val="nil"/>
                    <w:tr2bl w:val="nil"/>
                  </w:tcBorders>
                  <w:vAlign w:val="center"/>
                </w:tcPr>
                <w:p>
                  <w:pPr>
                    <w:jc w:val="center"/>
                    <w:rPr>
                      <w:b/>
                      <w:bCs/>
                      <w:szCs w:val="21"/>
                    </w:rPr>
                  </w:pPr>
                  <w:r>
                    <w:rPr>
                      <w:b/>
                      <w:bCs/>
                      <w:szCs w:val="21"/>
                    </w:rPr>
                    <w:t>排放口</w:t>
                  </w:r>
                </w:p>
                <w:p>
                  <w:pPr>
                    <w:jc w:val="center"/>
                    <w:rPr>
                      <w:b/>
                      <w:bCs/>
                      <w:szCs w:val="21"/>
                    </w:rPr>
                  </w:pPr>
                  <w:r>
                    <w:rPr>
                      <w:b/>
                      <w:bCs/>
                      <w:szCs w:val="21"/>
                    </w:rPr>
                    <w:t>编号、类型</w:t>
                  </w:r>
                </w:p>
              </w:tc>
              <w:tc>
                <w:tcPr>
                  <w:tcW w:w="595" w:type="pct"/>
                  <w:vMerge w:val="restart"/>
                  <w:tcBorders>
                    <w:tl2br w:val="nil"/>
                    <w:tr2bl w:val="nil"/>
                  </w:tcBorders>
                  <w:vAlign w:val="center"/>
                </w:tcPr>
                <w:p>
                  <w:pPr>
                    <w:jc w:val="center"/>
                    <w:rPr>
                      <w:b/>
                      <w:bCs/>
                      <w:szCs w:val="21"/>
                    </w:rPr>
                  </w:pPr>
                  <w:r>
                    <w:rPr>
                      <w:b/>
                      <w:bCs/>
                      <w:szCs w:val="21"/>
                    </w:rPr>
                    <w:t>污染物</w:t>
                  </w:r>
                </w:p>
              </w:tc>
              <w:tc>
                <w:tcPr>
                  <w:tcW w:w="1452" w:type="pct"/>
                  <w:gridSpan w:val="2"/>
                  <w:tcBorders>
                    <w:tl2br w:val="nil"/>
                    <w:tr2bl w:val="nil"/>
                  </w:tcBorders>
                  <w:vAlign w:val="center"/>
                </w:tcPr>
                <w:p>
                  <w:pPr>
                    <w:jc w:val="center"/>
                    <w:rPr>
                      <w:b/>
                      <w:bCs/>
                      <w:szCs w:val="21"/>
                    </w:rPr>
                  </w:pPr>
                  <w:r>
                    <w:rPr>
                      <w:b/>
                      <w:bCs/>
                      <w:szCs w:val="21"/>
                    </w:rPr>
                    <w:t>排放口地理坐标</w:t>
                  </w:r>
                </w:p>
              </w:tc>
              <w:tc>
                <w:tcPr>
                  <w:tcW w:w="683" w:type="pct"/>
                  <w:vMerge w:val="restart"/>
                  <w:tcBorders>
                    <w:tl2br w:val="nil"/>
                    <w:tr2bl w:val="nil"/>
                  </w:tcBorders>
                  <w:vAlign w:val="center"/>
                </w:tcPr>
                <w:p>
                  <w:pPr>
                    <w:jc w:val="center"/>
                    <w:rPr>
                      <w:b/>
                      <w:bCs/>
                      <w:szCs w:val="21"/>
                    </w:rPr>
                  </w:pPr>
                  <w:r>
                    <w:rPr>
                      <w:b/>
                      <w:bCs/>
                      <w:szCs w:val="21"/>
                    </w:rPr>
                    <w:t>排气筒高度（m）</w:t>
                  </w:r>
                </w:p>
              </w:tc>
              <w:tc>
                <w:tcPr>
                  <w:tcW w:w="682" w:type="pct"/>
                  <w:vMerge w:val="restart"/>
                  <w:tcBorders>
                    <w:tl2br w:val="nil"/>
                    <w:tr2bl w:val="nil"/>
                  </w:tcBorders>
                  <w:vAlign w:val="center"/>
                </w:tcPr>
                <w:p>
                  <w:pPr>
                    <w:jc w:val="center"/>
                    <w:rPr>
                      <w:b/>
                      <w:bCs/>
                      <w:szCs w:val="21"/>
                    </w:rPr>
                  </w:pPr>
                  <w:r>
                    <w:rPr>
                      <w:b/>
                      <w:bCs/>
                      <w:szCs w:val="21"/>
                    </w:rPr>
                    <w:t>排气筒内径（m）</w:t>
                  </w:r>
                </w:p>
              </w:tc>
              <w:tc>
                <w:tcPr>
                  <w:tcW w:w="697" w:type="pct"/>
                  <w:vMerge w:val="restart"/>
                  <w:tcBorders>
                    <w:tl2br w:val="nil"/>
                    <w:tr2bl w:val="nil"/>
                  </w:tcBorders>
                  <w:vAlign w:val="center"/>
                </w:tcPr>
                <w:p>
                  <w:pPr>
                    <w:jc w:val="center"/>
                    <w:rPr>
                      <w:b/>
                      <w:bCs/>
                      <w:szCs w:val="21"/>
                    </w:rPr>
                  </w:pPr>
                  <w:r>
                    <w:rPr>
                      <w:b/>
                      <w:bCs/>
                      <w:szCs w:val="21"/>
                    </w:rPr>
                    <w:t>排气温度（℃）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891" w:type="pct"/>
                  <w:vMerge w:val="continue"/>
                  <w:tcBorders>
                    <w:tl2br w:val="nil"/>
                    <w:tr2bl w:val="nil"/>
                  </w:tcBorders>
                  <w:vAlign w:val="center"/>
                </w:tcPr>
                <w:p>
                  <w:pPr>
                    <w:ind w:firstLine="420"/>
                    <w:jc w:val="center"/>
                    <w:rPr>
                      <w:b/>
                      <w:bCs/>
                      <w:szCs w:val="21"/>
                    </w:rPr>
                  </w:pPr>
                </w:p>
              </w:tc>
              <w:tc>
                <w:tcPr>
                  <w:tcW w:w="595" w:type="pct"/>
                  <w:vMerge w:val="continue"/>
                  <w:tcBorders>
                    <w:tl2br w:val="nil"/>
                    <w:tr2bl w:val="nil"/>
                  </w:tcBorders>
                  <w:vAlign w:val="center"/>
                </w:tcPr>
                <w:p>
                  <w:pPr>
                    <w:ind w:firstLine="420"/>
                    <w:jc w:val="center"/>
                    <w:rPr>
                      <w:b/>
                      <w:bCs/>
                      <w:szCs w:val="21"/>
                    </w:rPr>
                  </w:pPr>
                </w:p>
              </w:tc>
              <w:tc>
                <w:tcPr>
                  <w:tcW w:w="768" w:type="pct"/>
                  <w:tcBorders>
                    <w:tl2br w:val="nil"/>
                    <w:tr2bl w:val="nil"/>
                  </w:tcBorders>
                  <w:vAlign w:val="center"/>
                </w:tcPr>
                <w:p>
                  <w:pPr>
                    <w:jc w:val="center"/>
                    <w:rPr>
                      <w:b/>
                      <w:bCs/>
                      <w:szCs w:val="21"/>
                    </w:rPr>
                  </w:pPr>
                  <w:r>
                    <w:rPr>
                      <w:b/>
                      <w:bCs/>
                      <w:szCs w:val="21"/>
                    </w:rPr>
                    <w:t>经度</w:t>
                  </w:r>
                </w:p>
              </w:tc>
              <w:tc>
                <w:tcPr>
                  <w:tcW w:w="683" w:type="pct"/>
                  <w:tcBorders>
                    <w:tl2br w:val="nil"/>
                    <w:tr2bl w:val="nil"/>
                  </w:tcBorders>
                  <w:vAlign w:val="center"/>
                </w:tcPr>
                <w:p>
                  <w:pPr>
                    <w:jc w:val="center"/>
                    <w:rPr>
                      <w:b/>
                      <w:bCs/>
                      <w:szCs w:val="21"/>
                    </w:rPr>
                  </w:pPr>
                  <w:r>
                    <w:rPr>
                      <w:b/>
                      <w:bCs/>
                      <w:szCs w:val="21"/>
                    </w:rPr>
                    <w:t>纬度</w:t>
                  </w:r>
                </w:p>
              </w:tc>
              <w:tc>
                <w:tcPr>
                  <w:tcW w:w="683" w:type="pct"/>
                  <w:vMerge w:val="continue"/>
                  <w:tcBorders>
                    <w:tl2br w:val="nil"/>
                    <w:tr2bl w:val="nil"/>
                  </w:tcBorders>
                  <w:vAlign w:val="center"/>
                </w:tcPr>
                <w:p>
                  <w:pPr>
                    <w:ind w:firstLine="420"/>
                    <w:jc w:val="center"/>
                    <w:rPr>
                      <w:b/>
                      <w:bCs/>
                      <w:szCs w:val="21"/>
                    </w:rPr>
                  </w:pPr>
                </w:p>
              </w:tc>
              <w:tc>
                <w:tcPr>
                  <w:tcW w:w="682" w:type="pct"/>
                  <w:vMerge w:val="continue"/>
                  <w:tcBorders>
                    <w:tl2br w:val="nil"/>
                    <w:tr2bl w:val="nil"/>
                  </w:tcBorders>
                  <w:vAlign w:val="center"/>
                </w:tcPr>
                <w:p>
                  <w:pPr>
                    <w:ind w:firstLine="420"/>
                    <w:jc w:val="center"/>
                    <w:rPr>
                      <w:b/>
                      <w:bCs/>
                      <w:szCs w:val="21"/>
                    </w:rPr>
                  </w:pPr>
                </w:p>
              </w:tc>
              <w:tc>
                <w:tcPr>
                  <w:tcW w:w="697" w:type="pct"/>
                  <w:vMerge w:val="continue"/>
                  <w:tcBorders>
                    <w:tl2br w:val="nil"/>
                    <w:tr2bl w:val="nil"/>
                  </w:tcBorders>
                  <w:vAlign w:val="center"/>
                </w:tcPr>
                <w:p>
                  <w:pPr>
                    <w:ind w:firstLine="420"/>
                    <w:jc w:val="center"/>
                    <w:rPr>
                      <w:b/>
                      <w:bCs/>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891"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DA001、一般排放口</w:t>
                  </w:r>
                </w:p>
              </w:tc>
              <w:tc>
                <w:tcPr>
                  <w:tcW w:w="595"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颗粒物</w:t>
                  </w:r>
                </w:p>
              </w:tc>
              <w:tc>
                <w:tcPr>
                  <w:tcW w:w="768"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118.054</w:t>
                  </w:r>
                </w:p>
              </w:tc>
              <w:tc>
                <w:tcPr>
                  <w:tcW w:w="683"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36.733</w:t>
                  </w:r>
                </w:p>
              </w:tc>
              <w:tc>
                <w:tcPr>
                  <w:tcW w:w="683"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15</w:t>
                  </w:r>
                </w:p>
              </w:tc>
              <w:tc>
                <w:tcPr>
                  <w:tcW w:w="682" w:type="pct"/>
                  <w:tcBorders>
                    <w:tl2br w:val="nil"/>
                    <w:tr2bl w:val="nil"/>
                  </w:tcBorders>
                  <w:shd w:val="clear" w:color="auto" w:fill="auto"/>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0.3</w:t>
                  </w:r>
                </w:p>
              </w:tc>
              <w:tc>
                <w:tcPr>
                  <w:tcW w:w="697"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25</w:t>
                  </w:r>
                </w:p>
              </w:tc>
            </w:tr>
          </w:tbl>
          <w:p>
            <w:pPr>
              <w:spacing w:line="360" w:lineRule="auto"/>
              <w:ind w:firstLine="420" w:firstLineChars="200"/>
            </w:pPr>
            <w:r>
              <w:t>3、非正常工况</w:t>
            </w:r>
          </w:p>
          <w:p>
            <w:pPr>
              <w:spacing w:line="360" w:lineRule="auto"/>
              <w:ind w:firstLine="420" w:firstLineChars="200"/>
            </w:pPr>
            <w:r>
              <w:t>非正常工况是指污染物控制措施出现问题或燃料、原料发生变化等因素引起的污染源排放量高于设计值，如点火开炉、设备检修，污染物控制措施达不到应有效率等情况。</w:t>
            </w:r>
          </w:p>
          <w:p>
            <w:pPr>
              <w:spacing w:line="360" w:lineRule="auto"/>
              <w:ind w:firstLine="420" w:firstLineChars="200"/>
            </w:pPr>
            <w:r>
              <w:t>就本项目来讲，非正常工况主要是废气治理措施故障。</w:t>
            </w:r>
          </w:p>
          <w:p>
            <w:pPr>
              <w:jc w:val="center"/>
              <w:rPr>
                <w:b/>
                <w:bCs/>
                <w:szCs w:val="21"/>
              </w:rPr>
            </w:pPr>
            <w:r>
              <w:rPr>
                <w:b/>
                <w:bCs/>
                <w:szCs w:val="21"/>
              </w:rPr>
              <w:t>表4-</w:t>
            </w:r>
            <w:r>
              <w:rPr>
                <w:rFonts w:hint="eastAsia"/>
                <w:b/>
                <w:bCs/>
                <w:szCs w:val="21"/>
              </w:rPr>
              <w:t>4</w:t>
            </w:r>
            <w:r>
              <w:rPr>
                <w:b/>
                <w:bCs/>
                <w:szCs w:val="21"/>
              </w:rPr>
              <w:t xml:space="preserve"> 非正常工况下废气排放源强一览表</w:t>
            </w:r>
          </w:p>
          <w:tbl>
            <w:tblPr>
              <w:tblStyle w:val="40"/>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99"/>
              <w:gridCol w:w="2292"/>
              <w:gridCol w:w="988"/>
              <w:gridCol w:w="1475"/>
              <w:gridCol w:w="1232"/>
              <w:gridCol w:w="1386"/>
              <w:gridCol w:w="1493"/>
              <w:gridCol w:w="1218"/>
              <w:gridCol w:w="8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637" w:type="pct"/>
                  <w:vMerge w:val="restart"/>
                  <w:tcBorders>
                    <w:tl2br w:val="nil"/>
                    <w:tr2bl w:val="nil"/>
                  </w:tcBorders>
                  <w:vAlign w:val="center"/>
                </w:tcPr>
                <w:p>
                  <w:pPr>
                    <w:jc w:val="center"/>
                    <w:rPr>
                      <w:b/>
                      <w:bCs/>
                      <w:szCs w:val="21"/>
                    </w:rPr>
                  </w:pPr>
                  <w:r>
                    <w:rPr>
                      <w:b/>
                      <w:bCs/>
                      <w:szCs w:val="21"/>
                    </w:rPr>
                    <w:t>非正常排放源</w:t>
                  </w:r>
                </w:p>
              </w:tc>
              <w:tc>
                <w:tcPr>
                  <w:tcW w:w="913" w:type="pct"/>
                  <w:vMerge w:val="restart"/>
                  <w:tcBorders>
                    <w:tl2br w:val="nil"/>
                    <w:tr2bl w:val="nil"/>
                  </w:tcBorders>
                  <w:vAlign w:val="center"/>
                </w:tcPr>
                <w:p>
                  <w:pPr>
                    <w:jc w:val="center"/>
                    <w:rPr>
                      <w:b/>
                      <w:bCs/>
                      <w:szCs w:val="21"/>
                    </w:rPr>
                  </w:pPr>
                  <w:r>
                    <w:rPr>
                      <w:b/>
                      <w:bCs/>
                      <w:szCs w:val="21"/>
                    </w:rPr>
                    <w:t>非正常排放原因</w:t>
                  </w:r>
                </w:p>
              </w:tc>
              <w:tc>
                <w:tcPr>
                  <w:tcW w:w="394" w:type="pct"/>
                  <w:vMerge w:val="restart"/>
                  <w:tcBorders>
                    <w:tl2br w:val="nil"/>
                    <w:tr2bl w:val="nil"/>
                  </w:tcBorders>
                  <w:vAlign w:val="center"/>
                </w:tcPr>
                <w:p>
                  <w:pPr>
                    <w:jc w:val="center"/>
                    <w:rPr>
                      <w:b/>
                      <w:bCs/>
                      <w:szCs w:val="21"/>
                    </w:rPr>
                  </w:pPr>
                  <w:r>
                    <w:rPr>
                      <w:b/>
                      <w:bCs/>
                      <w:szCs w:val="21"/>
                    </w:rPr>
                    <w:t>污染物</w:t>
                  </w:r>
                </w:p>
              </w:tc>
              <w:tc>
                <w:tcPr>
                  <w:tcW w:w="1632" w:type="pct"/>
                  <w:gridSpan w:val="3"/>
                  <w:tcBorders>
                    <w:tl2br w:val="nil"/>
                    <w:tr2bl w:val="nil"/>
                  </w:tcBorders>
                  <w:vAlign w:val="center"/>
                </w:tcPr>
                <w:p>
                  <w:pPr>
                    <w:jc w:val="center"/>
                    <w:rPr>
                      <w:b/>
                      <w:bCs/>
                      <w:szCs w:val="21"/>
                    </w:rPr>
                  </w:pPr>
                  <w:r>
                    <w:rPr>
                      <w:b/>
                      <w:bCs/>
                      <w:szCs w:val="21"/>
                    </w:rPr>
                    <w:t>非正常排放</w:t>
                  </w:r>
                </w:p>
              </w:tc>
              <w:tc>
                <w:tcPr>
                  <w:tcW w:w="596" w:type="pct"/>
                  <w:vMerge w:val="restart"/>
                  <w:tcBorders>
                    <w:tl2br w:val="nil"/>
                    <w:tr2bl w:val="nil"/>
                  </w:tcBorders>
                  <w:vAlign w:val="center"/>
                </w:tcPr>
                <w:p>
                  <w:pPr>
                    <w:jc w:val="center"/>
                    <w:rPr>
                      <w:b/>
                      <w:bCs/>
                      <w:szCs w:val="21"/>
                    </w:rPr>
                  </w:pPr>
                  <w:r>
                    <w:rPr>
                      <w:b/>
                      <w:bCs/>
                      <w:szCs w:val="21"/>
                    </w:rPr>
                    <w:t>单次持续时间/min</w:t>
                  </w:r>
                </w:p>
              </w:tc>
              <w:tc>
                <w:tcPr>
                  <w:tcW w:w="486" w:type="pct"/>
                  <w:vMerge w:val="restart"/>
                  <w:tcBorders>
                    <w:tl2br w:val="nil"/>
                    <w:tr2bl w:val="nil"/>
                  </w:tcBorders>
                  <w:vAlign w:val="center"/>
                </w:tcPr>
                <w:p>
                  <w:pPr>
                    <w:jc w:val="center"/>
                    <w:rPr>
                      <w:b/>
                      <w:bCs/>
                      <w:szCs w:val="21"/>
                    </w:rPr>
                  </w:pPr>
                  <w:r>
                    <w:rPr>
                      <w:b/>
                      <w:bCs/>
                      <w:szCs w:val="21"/>
                    </w:rPr>
                    <w:t>年发生频次/次</w:t>
                  </w:r>
                </w:p>
              </w:tc>
              <w:tc>
                <w:tcPr>
                  <w:tcW w:w="338" w:type="pct"/>
                  <w:vMerge w:val="restart"/>
                  <w:tcBorders>
                    <w:tl2br w:val="nil"/>
                    <w:tr2bl w:val="nil"/>
                  </w:tcBorders>
                  <w:vAlign w:val="center"/>
                </w:tcPr>
                <w:p>
                  <w:pPr>
                    <w:jc w:val="center"/>
                    <w:rPr>
                      <w:b/>
                      <w:bCs/>
                      <w:szCs w:val="21"/>
                    </w:rPr>
                  </w:pPr>
                  <w:r>
                    <w:rPr>
                      <w:b/>
                      <w:bCs/>
                      <w:szCs w:val="21"/>
                    </w:rPr>
                    <w:t>控制</w:t>
                  </w:r>
                </w:p>
                <w:p>
                  <w:pPr>
                    <w:jc w:val="center"/>
                    <w:rPr>
                      <w:b/>
                      <w:bCs/>
                      <w:szCs w:val="21"/>
                    </w:rPr>
                  </w:pPr>
                  <w:r>
                    <w:rPr>
                      <w:b/>
                      <w:bCs/>
                      <w:szCs w:val="21"/>
                    </w:rPr>
                    <w:t>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637" w:type="pct"/>
                  <w:vMerge w:val="continue"/>
                  <w:tcBorders>
                    <w:tl2br w:val="nil"/>
                    <w:tr2bl w:val="nil"/>
                  </w:tcBorders>
                  <w:vAlign w:val="center"/>
                </w:tcPr>
                <w:p>
                  <w:pPr>
                    <w:ind w:firstLine="420"/>
                    <w:jc w:val="center"/>
                    <w:rPr>
                      <w:b/>
                      <w:bCs/>
                      <w:szCs w:val="21"/>
                    </w:rPr>
                  </w:pPr>
                </w:p>
              </w:tc>
              <w:tc>
                <w:tcPr>
                  <w:tcW w:w="913" w:type="pct"/>
                  <w:vMerge w:val="continue"/>
                  <w:tcBorders>
                    <w:tl2br w:val="nil"/>
                    <w:tr2bl w:val="nil"/>
                  </w:tcBorders>
                  <w:vAlign w:val="center"/>
                </w:tcPr>
                <w:p>
                  <w:pPr>
                    <w:ind w:firstLine="420"/>
                    <w:jc w:val="center"/>
                    <w:rPr>
                      <w:b/>
                      <w:bCs/>
                      <w:szCs w:val="21"/>
                    </w:rPr>
                  </w:pPr>
                </w:p>
              </w:tc>
              <w:tc>
                <w:tcPr>
                  <w:tcW w:w="394" w:type="pct"/>
                  <w:vMerge w:val="continue"/>
                  <w:tcBorders>
                    <w:tl2br w:val="nil"/>
                    <w:tr2bl w:val="nil"/>
                  </w:tcBorders>
                  <w:vAlign w:val="center"/>
                </w:tcPr>
                <w:p>
                  <w:pPr>
                    <w:ind w:firstLine="420"/>
                    <w:jc w:val="center"/>
                    <w:rPr>
                      <w:b/>
                      <w:bCs/>
                      <w:szCs w:val="21"/>
                    </w:rPr>
                  </w:pPr>
                </w:p>
              </w:tc>
              <w:tc>
                <w:tcPr>
                  <w:tcW w:w="588" w:type="pct"/>
                  <w:tcBorders>
                    <w:tl2br w:val="nil"/>
                    <w:tr2bl w:val="nil"/>
                  </w:tcBorders>
                  <w:vAlign w:val="center"/>
                </w:tcPr>
                <w:p>
                  <w:pPr>
                    <w:jc w:val="center"/>
                    <w:rPr>
                      <w:b/>
                      <w:bCs/>
                      <w:szCs w:val="21"/>
                    </w:rPr>
                  </w:pPr>
                  <w:r>
                    <w:rPr>
                      <w:b/>
                      <w:bCs/>
                      <w:szCs w:val="21"/>
                    </w:rPr>
                    <w:t>排放浓度（mg/m</w:t>
                  </w:r>
                  <w:r>
                    <w:rPr>
                      <w:b/>
                      <w:bCs/>
                      <w:szCs w:val="21"/>
                      <w:vertAlign w:val="superscript"/>
                    </w:rPr>
                    <w:t>3</w:t>
                  </w:r>
                  <w:r>
                    <w:rPr>
                      <w:b/>
                      <w:bCs/>
                      <w:szCs w:val="21"/>
                    </w:rPr>
                    <w:t>）</w:t>
                  </w:r>
                </w:p>
              </w:tc>
              <w:tc>
                <w:tcPr>
                  <w:tcW w:w="491" w:type="pct"/>
                  <w:tcBorders>
                    <w:tl2br w:val="nil"/>
                    <w:tr2bl w:val="nil"/>
                  </w:tcBorders>
                  <w:vAlign w:val="center"/>
                </w:tcPr>
                <w:p>
                  <w:pPr>
                    <w:jc w:val="center"/>
                    <w:rPr>
                      <w:b/>
                      <w:bCs/>
                      <w:szCs w:val="21"/>
                    </w:rPr>
                  </w:pPr>
                  <w:r>
                    <w:rPr>
                      <w:b/>
                      <w:bCs/>
                      <w:szCs w:val="21"/>
                    </w:rPr>
                    <w:t>排放速率（kg/h）</w:t>
                  </w:r>
                </w:p>
              </w:tc>
              <w:tc>
                <w:tcPr>
                  <w:tcW w:w="551" w:type="pct"/>
                  <w:tcBorders>
                    <w:tl2br w:val="nil"/>
                    <w:tr2bl w:val="nil"/>
                  </w:tcBorders>
                </w:tcPr>
                <w:p>
                  <w:pPr>
                    <w:jc w:val="center"/>
                    <w:rPr>
                      <w:b/>
                      <w:bCs/>
                      <w:szCs w:val="21"/>
                    </w:rPr>
                  </w:pPr>
                  <w:r>
                    <w:rPr>
                      <w:b/>
                      <w:bCs/>
                      <w:szCs w:val="21"/>
                    </w:rPr>
                    <w:t>排放量（kg/次）</w:t>
                  </w:r>
                </w:p>
              </w:tc>
              <w:tc>
                <w:tcPr>
                  <w:tcW w:w="596" w:type="pct"/>
                  <w:vMerge w:val="continue"/>
                  <w:tcBorders>
                    <w:tl2br w:val="nil"/>
                    <w:tr2bl w:val="nil"/>
                  </w:tcBorders>
                  <w:vAlign w:val="center"/>
                </w:tcPr>
                <w:p>
                  <w:pPr>
                    <w:ind w:firstLine="420"/>
                    <w:jc w:val="center"/>
                    <w:rPr>
                      <w:b/>
                      <w:bCs/>
                      <w:szCs w:val="21"/>
                    </w:rPr>
                  </w:pPr>
                </w:p>
              </w:tc>
              <w:tc>
                <w:tcPr>
                  <w:tcW w:w="486" w:type="pct"/>
                  <w:vMerge w:val="continue"/>
                  <w:tcBorders>
                    <w:tl2br w:val="nil"/>
                    <w:tr2bl w:val="nil"/>
                  </w:tcBorders>
                  <w:vAlign w:val="center"/>
                </w:tcPr>
                <w:p>
                  <w:pPr>
                    <w:ind w:firstLine="420"/>
                    <w:jc w:val="center"/>
                    <w:rPr>
                      <w:b/>
                      <w:bCs/>
                      <w:szCs w:val="21"/>
                    </w:rPr>
                  </w:pPr>
                </w:p>
              </w:tc>
              <w:tc>
                <w:tcPr>
                  <w:tcW w:w="338" w:type="pct"/>
                  <w:vMerge w:val="continue"/>
                  <w:tcBorders>
                    <w:tl2br w:val="nil"/>
                    <w:tr2bl w:val="nil"/>
                  </w:tcBorders>
                  <w:vAlign w:val="center"/>
                </w:tcPr>
                <w:p>
                  <w:pPr>
                    <w:ind w:firstLine="420"/>
                    <w:jc w:val="center"/>
                    <w:rPr>
                      <w:b/>
                      <w:bCs/>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94" w:hRule="atLeast"/>
                <w:jc w:val="center"/>
              </w:trPr>
              <w:tc>
                <w:tcPr>
                  <w:tcW w:w="637"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排气筒（DA001）</w:t>
                  </w:r>
                </w:p>
              </w:tc>
              <w:tc>
                <w:tcPr>
                  <w:tcW w:w="913"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污染物控制措施失效，处理效率取值0</w:t>
                  </w:r>
                </w:p>
              </w:tc>
              <w:tc>
                <w:tcPr>
                  <w:tcW w:w="394"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颗粒物</w:t>
                  </w:r>
                </w:p>
              </w:tc>
              <w:tc>
                <w:tcPr>
                  <w:tcW w:w="588"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color w:val="0000FF"/>
                      <w:kern w:val="2"/>
                      <w:sz w:val="21"/>
                      <w:szCs w:val="21"/>
                    </w:rPr>
                  </w:pPr>
                  <w:r>
                    <w:rPr>
                      <w:rFonts w:hint="eastAsia" w:ascii="Times New Roman" w:hAnsi="Times New Roman"/>
                      <w:color w:val="0000FF"/>
                      <w:kern w:val="2"/>
                      <w:sz w:val="21"/>
                      <w:szCs w:val="21"/>
                    </w:rPr>
                    <w:t>733</w:t>
                  </w:r>
                </w:p>
              </w:tc>
              <w:tc>
                <w:tcPr>
                  <w:tcW w:w="491"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color w:val="0000FF"/>
                      <w:kern w:val="2"/>
                      <w:sz w:val="21"/>
                      <w:szCs w:val="21"/>
                    </w:rPr>
                  </w:pPr>
                  <w:r>
                    <w:rPr>
                      <w:rFonts w:hint="eastAsia" w:ascii="Times New Roman" w:hAnsi="Times New Roman"/>
                      <w:color w:val="0000FF"/>
                      <w:kern w:val="2"/>
                      <w:sz w:val="21"/>
                      <w:szCs w:val="21"/>
                    </w:rPr>
                    <w:t>7.33</w:t>
                  </w:r>
                </w:p>
              </w:tc>
              <w:tc>
                <w:tcPr>
                  <w:tcW w:w="551"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color w:val="0000FF"/>
                      <w:kern w:val="2"/>
                      <w:sz w:val="21"/>
                      <w:szCs w:val="21"/>
                    </w:rPr>
                  </w:pPr>
                  <w:r>
                    <w:rPr>
                      <w:rFonts w:hint="eastAsia" w:ascii="Times New Roman" w:hAnsi="Times New Roman"/>
                      <w:color w:val="0000FF"/>
                      <w:kern w:val="2"/>
                      <w:sz w:val="21"/>
                      <w:szCs w:val="21"/>
                    </w:rPr>
                    <w:t>52.81</w:t>
                  </w:r>
                </w:p>
              </w:tc>
              <w:tc>
                <w:tcPr>
                  <w:tcW w:w="596"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60</w:t>
                  </w:r>
                </w:p>
              </w:tc>
              <w:tc>
                <w:tcPr>
                  <w:tcW w:w="486"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1</w:t>
                  </w:r>
                </w:p>
              </w:tc>
              <w:tc>
                <w:tcPr>
                  <w:tcW w:w="338"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立即停产</w:t>
                  </w:r>
                </w:p>
              </w:tc>
            </w:tr>
          </w:tbl>
          <w:p>
            <w:pPr>
              <w:spacing w:line="360" w:lineRule="auto"/>
              <w:ind w:firstLine="420" w:firstLineChars="200"/>
            </w:pPr>
            <w:r>
              <w:t>由上表可见，在环保设施发生故障情况下，DA001排气筒</w:t>
            </w:r>
            <w:r>
              <w:rPr>
                <w:lang w:val="de-DE"/>
              </w:rPr>
              <w:t>颗粒物</w:t>
            </w:r>
            <w:r>
              <w:t>不能达标排放，项目建成后应做好设备的维护和检修，避免出现非正常工况，由于发生非正常工况排放次数较少，且持续时间较短，不会对周围大气环境造成长期影响。</w:t>
            </w:r>
          </w:p>
          <w:p>
            <w:pPr>
              <w:spacing w:line="360" w:lineRule="auto"/>
              <w:ind w:firstLine="420" w:firstLineChars="200"/>
            </w:pPr>
            <w:r>
              <w:t>4、废气监测要求</w:t>
            </w:r>
          </w:p>
          <w:p>
            <w:pPr>
              <w:spacing w:line="360" w:lineRule="auto"/>
              <w:ind w:firstLine="420" w:firstLineChars="200"/>
            </w:pPr>
            <w:r>
              <w:t>根据《排污单位自行监测技术指南 总则》（HJ 819-2017）及本项目实际情况，本项目废气自行监测计划见表4-</w:t>
            </w:r>
            <w:r>
              <w:rPr>
                <w:rFonts w:hint="eastAsia"/>
              </w:rPr>
              <w:t>5</w:t>
            </w:r>
            <w:r>
              <w:t>。</w:t>
            </w:r>
          </w:p>
          <w:p>
            <w:pPr>
              <w:jc w:val="center"/>
              <w:rPr>
                <w:b/>
                <w:bCs/>
                <w:szCs w:val="21"/>
              </w:rPr>
            </w:pPr>
            <w:r>
              <w:rPr>
                <w:b/>
                <w:bCs/>
                <w:szCs w:val="21"/>
              </w:rPr>
              <w:t>表4-</w:t>
            </w:r>
            <w:r>
              <w:rPr>
                <w:rFonts w:hint="eastAsia"/>
                <w:b/>
                <w:bCs/>
                <w:szCs w:val="21"/>
              </w:rPr>
              <w:t>5</w:t>
            </w:r>
            <w:r>
              <w:rPr>
                <w:b/>
                <w:bCs/>
                <w:szCs w:val="21"/>
              </w:rPr>
              <w:t xml:space="preserve">  废气自行监测计划信息表</w:t>
            </w:r>
          </w:p>
          <w:tbl>
            <w:tblPr>
              <w:tblStyle w:val="4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85"/>
              <w:gridCol w:w="1411"/>
              <w:gridCol w:w="1608"/>
              <w:gridCol w:w="753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91" w:type="pct"/>
                  <w:tcBorders>
                    <w:tl2br w:val="nil"/>
                    <w:tr2bl w:val="nil"/>
                  </w:tcBorders>
                  <w:vAlign w:val="center"/>
                </w:tcPr>
                <w:p>
                  <w:pPr>
                    <w:jc w:val="center"/>
                    <w:rPr>
                      <w:b/>
                      <w:bCs/>
                      <w:szCs w:val="21"/>
                    </w:rPr>
                  </w:pPr>
                  <w:r>
                    <w:rPr>
                      <w:b/>
                      <w:bCs/>
                      <w:szCs w:val="21"/>
                    </w:rPr>
                    <w:t>监测点位</w:t>
                  </w:r>
                </w:p>
              </w:tc>
              <w:tc>
                <w:tcPr>
                  <w:tcW w:w="562" w:type="pct"/>
                  <w:tcBorders>
                    <w:tl2br w:val="nil"/>
                    <w:tr2bl w:val="nil"/>
                  </w:tcBorders>
                  <w:vAlign w:val="center"/>
                </w:tcPr>
                <w:p>
                  <w:pPr>
                    <w:jc w:val="center"/>
                    <w:rPr>
                      <w:b/>
                      <w:bCs/>
                      <w:szCs w:val="21"/>
                    </w:rPr>
                  </w:pPr>
                  <w:r>
                    <w:rPr>
                      <w:b/>
                      <w:bCs/>
                      <w:szCs w:val="21"/>
                    </w:rPr>
                    <w:t>监测因子</w:t>
                  </w:r>
                </w:p>
              </w:tc>
              <w:tc>
                <w:tcPr>
                  <w:tcW w:w="641" w:type="pct"/>
                  <w:tcBorders>
                    <w:tl2br w:val="nil"/>
                    <w:tr2bl w:val="nil"/>
                  </w:tcBorders>
                  <w:vAlign w:val="center"/>
                </w:tcPr>
                <w:p>
                  <w:pPr>
                    <w:jc w:val="center"/>
                    <w:rPr>
                      <w:b/>
                      <w:bCs/>
                      <w:szCs w:val="21"/>
                    </w:rPr>
                  </w:pPr>
                  <w:r>
                    <w:rPr>
                      <w:b/>
                      <w:bCs/>
                      <w:szCs w:val="21"/>
                    </w:rPr>
                    <w:t>监测频次</w:t>
                  </w:r>
                </w:p>
              </w:tc>
              <w:tc>
                <w:tcPr>
                  <w:tcW w:w="3004" w:type="pct"/>
                  <w:tcBorders>
                    <w:tl2br w:val="nil"/>
                    <w:tr2bl w:val="nil"/>
                  </w:tcBorders>
                  <w:vAlign w:val="center"/>
                </w:tcPr>
                <w:p>
                  <w:pPr>
                    <w:jc w:val="center"/>
                    <w:rPr>
                      <w:b/>
                      <w:bCs/>
                      <w:szCs w:val="21"/>
                    </w:rPr>
                  </w:pPr>
                  <w:r>
                    <w:rPr>
                      <w:b/>
                      <w:bCs/>
                      <w:szCs w:val="21"/>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791"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DA001</w:t>
                  </w:r>
                </w:p>
              </w:tc>
              <w:tc>
                <w:tcPr>
                  <w:tcW w:w="562"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颗粒物</w:t>
                  </w:r>
                </w:p>
              </w:tc>
              <w:tc>
                <w:tcPr>
                  <w:tcW w:w="641"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1次/年</w:t>
                  </w:r>
                </w:p>
              </w:tc>
              <w:tc>
                <w:tcPr>
                  <w:tcW w:w="3004"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《区域性大气污染物综合排放标准》（DB37/2376-2019）表1重点控制区排放限值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791"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厂界上方向点位1个，下风向3个</w:t>
                  </w:r>
                </w:p>
              </w:tc>
              <w:tc>
                <w:tcPr>
                  <w:tcW w:w="562"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lang w:val="de-DE"/>
                    </w:rPr>
                  </w:pPr>
                  <w:r>
                    <w:rPr>
                      <w:rFonts w:ascii="Times New Roman" w:hAnsi="Times New Roman"/>
                      <w:kern w:val="2"/>
                      <w:sz w:val="21"/>
                      <w:szCs w:val="21"/>
                    </w:rPr>
                    <w:t>颗粒物</w:t>
                  </w:r>
                </w:p>
              </w:tc>
              <w:tc>
                <w:tcPr>
                  <w:tcW w:w="641"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1次/年</w:t>
                  </w:r>
                </w:p>
              </w:tc>
              <w:tc>
                <w:tcPr>
                  <w:tcW w:w="3004"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《大气污染物综合排放标准》（GB16297-1996）表2无组织排放监控浓度限值</w:t>
                  </w:r>
                </w:p>
              </w:tc>
            </w:tr>
          </w:tbl>
          <w:p>
            <w:pPr>
              <w:spacing w:line="360" w:lineRule="auto"/>
              <w:ind w:firstLine="420" w:firstLineChars="200"/>
            </w:pPr>
            <w:r>
              <w:t>5、达标及影响分析</w:t>
            </w:r>
          </w:p>
          <w:p>
            <w:pPr>
              <w:spacing w:line="360" w:lineRule="auto"/>
              <w:ind w:firstLine="420" w:firstLineChars="200"/>
            </w:pPr>
            <w:r>
              <w:t>根据表4-1可知，本项目废气排放情况如下。</w:t>
            </w:r>
          </w:p>
          <w:p>
            <w:pPr>
              <w:spacing w:line="360" w:lineRule="auto"/>
              <w:ind w:firstLine="420" w:firstLineChars="200"/>
              <w:rPr>
                <w:szCs w:val="21"/>
              </w:rPr>
            </w:pPr>
            <w:r>
              <w:t>①有组织废气：本项目粉碎、混合搅拌釜上料</w:t>
            </w:r>
            <w:r>
              <w:rPr>
                <w:rFonts w:hint="eastAsia"/>
              </w:rPr>
              <w:t>口</w:t>
            </w:r>
            <w:r>
              <w:t>、包装工序产生的颗粒物采用“集气罩+布袋除尘器”处理，处理后通过1根15m排气筒（DA001）排放，</w:t>
            </w:r>
            <w:r>
              <w:rPr>
                <w:szCs w:val="21"/>
              </w:rPr>
              <w:t>污染物可达标排放。</w:t>
            </w:r>
            <w:r>
              <w:t>外排废气中颗粒物排放浓度满足《区域性大气污染物综合排放标准》（DB37/2376-2019）表1重点控制区排放限值要求（10mg/m</w:t>
            </w:r>
            <w:r>
              <w:rPr>
                <w:vertAlign w:val="superscript"/>
              </w:rPr>
              <w:t>3</w:t>
            </w:r>
            <w:r>
              <w:t>）。</w:t>
            </w:r>
          </w:p>
          <w:p>
            <w:pPr>
              <w:spacing w:line="360" w:lineRule="auto"/>
              <w:ind w:firstLine="420" w:firstLineChars="200"/>
            </w:pPr>
            <w:r>
              <w:t>②无组织废气：粉碎、混合搅拌釜上料</w:t>
            </w:r>
            <w:r>
              <w:rPr>
                <w:rFonts w:hint="eastAsia"/>
              </w:rPr>
              <w:t>口</w:t>
            </w:r>
            <w:r>
              <w:t>、包装工序产生的未收集废气无组织排放</w:t>
            </w:r>
            <w:r>
              <w:rPr>
                <w:rFonts w:hint="eastAsia"/>
              </w:rPr>
              <w:t>、</w:t>
            </w:r>
            <w:r>
              <w:rPr>
                <w:szCs w:val="21"/>
              </w:rPr>
              <w:t>料仓产生的粉尘经收集</w:t>
            </w:r>
            <w:r>
              <w:rPr>
                <w:rFonts w:hint="eastAsia"/>
                <w:szCs w:val="21"/>
              </w:rPr>
              <w:t>后</w:t>
            </w:r>
            <w:r>
              <w:rPr>
                <w:szCs w:val="21"/>
              </w:rPr>
              <w:t>通过仓顶</w:t>
            </w:r>
            <w:r>
              <w:rPr>
                <w:rFonts w:hint="eastAsia"/>
                <w:szCs w:val="21"/>
              </w:rPr>
              <w:t>的</w:t>
            </w:r>
            <w:r>
              <w:rPr>
                <w:szCs w:val="21"/>
              </w:rPr>
              <w:t>布袋除尘器</w:t>
            </w:r>
            <w:r>
              <w:rPr>
                <w:rFonts w:hint="eastAsia"/>
                <w:szCs w:val="21"/>
              </w:rPr>
              <w:t>进行处理后</w:t>
            </w:r>
            <w:r>
              <w:rPr>
                <w:szCs w:val="21"/>
              </w:rPr>
              <w:t>无组织排放</w:t>
            </w:r>
            <w:r>
              <w:rPr>
                <w:rFonts w:hint="eastAsia"/>
                <w:szCs w:val="21"/>
              </w:rPr>
              <w:t>。</w:t>
            </w:r>
            <w:r>
              <w:t>通过密闭车间、提高车间管理等措施，降低对周围环境的影响，颗粒物厂界能够满足《大气污染物综合排放标准》（GB16297-1996）表2无组织排放监控浓度限值要求（1.0mg/m</w:t>
            </w:r>
            <w:r>
              <w:rPr>
                <w:vertAlign w:val="superscript"/>
              </w:rPr>
              <w:t>3</w:t>
            </w:r>
            <w:r>
              <w:t>），对周围空气环境质量影响较小。</w:t>
            </w:r>
          </w:p>
          <w:p>
            <w:pPr>
              <w:spacing w:line="360" w:lineRule="auto"/>
              <w:ind w:firstLine="420" w:firstLineChars="200"/>
            </w:pPr>
            <w:r>
              <w:t>6、环境影响分析</w:t>
            </w:r>
          </w:p>
          <w:p>
            <w:pPr>
              <w:adjustRightInd w:val="0"/>
              <w:snapToGrid w:val="0"/>
              <w:spacing w:line="360" w:lineRule="auto"/>
              <w:ind w:firstLine="420" w:firstLineChars="200"/>
            </w:pPr>
            <w:r>
              <w:t>本项目位于环境空气不达标区，根据淄博市生态环境局202</w:t>
            </w:r>
            <w:r>
              <w:rPr>
                <w:rFonts w:hint="eastAsia"/>
              </w:rPr>
              <w:t>4</w:t>
            </w:r>
            <w:r>
              <w:t>年2月7日公布的《</w:t>
            </w:r>
            <w:r>
              <w:rPr>
                <w:rFonts w:hint="eastAsia"/>
              </w:rPr>
              <w:t xml:space="preserve">2023年12月份及全年环境空气质量情况通报 </w:t>
            </w:r>
            <w:r>
              <w:t>》，</w:t>
            </w:r>
            <w:r>
              <w:rPr>
                <w:rFonts w:hint="eastAsia"/>
              </w:rPr>
              <w:t>2023年12月份，全市良好天数20天（国控），同比增加1天。其中，二氧化硫（SO</w:t>
            </w:r>
            <w:r>
              <w:rPr>
                <w:rFonts w:hint="eastAsia"/>
                <w:vertAlign w:val="subscript"/>
              </w:rPr>
              <w:t>2</w:t>
            </w:r>
            <w:r>
              <w:rPr>
                <w:rFonts w:hint="eastAsia"/>
              </w:rPr>
              <w:t>）12微克/立方米，同比改善40.0%；二氧化氮（NO</w:t>
            </w:r>
            <w:r>
              <w:rPr>
                <w:rFonts w:hint="eastAsia"/>
                <w:vertAlign w:val="subscript"/>
              </w:rPr>
              <w:t>2</w:t>
            </w:r>
            <w:r>
              <w:rPr>
                <w:rFonts w:hint="eastAsia"/>
              </w:rPr>
              <w:t>）44微克/立方米，同比改善8.3%；可吸入颗粒物（PM</w:t>
            </w:r>
            <w:r>
              <w:rPr>
                <w:rFonts w:hint="eastAsia"/>
                <w:vertAlign w:val="subscript"/>
              </w:rPr>
              <w:t>10</w:t>
            </w:r>
            <w:r>
              <w:rPr>
                <w:rFonts w:hint="eastAsia"/>
              </w:rPr>
              <w:t>）99微克/立方米，同比改善10.8%；细颗粒物（PM</w:t>
            </w:r>
            <w:r>
              <w:rPr>
                <w:rFonts w:hint="eastAsia"/>
                <w:vertAlign w:val="subscript"/>
              </w:rPr>
              <w:t>2.5</w:t>
            </w:r>
            <w:r>
              <w:rPr>
                <w:rFonts w:hint="eastAsia"/>
              </w:rPr>
              <w:t>）69微克/立方米，同比恶化6.2%；一氧化碳（CO）1.9毫克/立方米，同比恶化26.7%；臭氧（O</w:t>
            </w:r>
            <w:r>
              <w:rPr>
                <w:rFonts w:hint="eastAsia"/>
                <w:vertAlign w:val="subscript"/>
              </w:rPr>
              <w:t>3</w:t>
            </w:r>
            <w:r>
              <w:rPr>
                <w:rFonts w:hint="eastAsia"/>
              </w:rPr>
              <w:t>）73微克/立方米，同比恶化23.7%。全市综合指数为5.62，同比改善1.9%。</w:t>
            </w:r>
          </w:p>
          <w:p>
            <w:pPr>
              <w:adjustRightInd w:val="0"/>
              <w:snapToGrid w:val="0"/>
              <w:spacing w:line="360" w:lineRule="auto"/>
              <w:ind w:firstLine="420" w:firstLineChars="200"/>
              <w:rPr>
                <w:szCs w:val="21"/>
              </w:rPr>
            </w:pPr>
            <w:r>
              <w:rPr>
                <w:rFonts w:hint="eastAsia"/>
              </w:rPr>
              <w:t>2023年，全市良好天数219天（国控），同比减少17天。重污染天数8天，同比增加2天。其中，二氧化硫（SO</w:t>
            </w:r>
            <w:r>
              <w:rPr>
                <w:rFonts w:hint="eastAsia"/>
                <w:vertAlign w:val="subscript"/>
              </w:rPr>
              <w:t>2</w:t>
            </w:r>
            <w:r>
              <w:rPr>
                <w:rFonts w:hint="eastAsia"/>
              </w:rPr>
              <w:t>）12微克/立方米，同比改善14.3%；二氧化氮（NO</w:t>
            </w:r>
            <w:r>
              <w:rPr>
                <w:rFonts w:hint="eastAsia"/>
                <w:vertAlign w:val="subscript"/>
              </w:rPr>
              <w:t>2</w:t>
            </w:r>
            <w:r>
              <w:rPr>
                <w:rFonts w:hint="eastAsia"/>
              </w:rPr>
              <w:t>）34微克/立方米，同比恶化3.0%；可吸入颗粒物（PM</w:t>
            </w:r>
            <w:r>
              <w:rPr>
                <w:rFonts w:hint="eastAsia"/>
                <w:vertAlign w:val="subscript"/>
              </w:rPr>
              <w:t>10</w:t>
            </w:r>
            <w:r>
              <w:rPr>
                <w:rFonts w:hint="eastAsia"/>
              </w:rPr>
              <w:t>）75微克/立方米，同比持平；细颗粒物（PM</w:t>
            </w:r>
            <w:r>
              <w:rPr>
                <w:rFonts w:hint="eastAsia"/>
                <w:vertAlign w:val="subscript"/>
              </w:rPr>
              <w:t>2.5</w:t>
            </w:r>
            <w:r>
              <w:rPr>
                <w:rFonts w:hint="eastAsia"/>
              </w:rPr>
              <w:t>）41微克/立方米，同比改善4.7%；一氧化碳（CO）1.1毫克/立方米，同比改善15.4%；臭氧（O</w:t>
            </w:r>
            <w:r>
              <w:rPr>
                <w:rFonts w:hint="eastAsia"/>
                <w:vertAlign w:val="subscript"/>
              </w:rPr>
              <w:t>3</w:t>
            </w:r>
            <w:r>
              <w:rPr>
                <w:rFonts w:hint="eastAsia"/>
              </w:rPr>
              <w:t>）198微克/立方米，同比恶化3.1%。全市综合指数为4.81，同比改善1.2%。</w:t>
            </w:r>
          </w:p>
          <w:p>
            <w:pPr>
              <w:spacing w:line="360" w:lineRule="auto"/>
              <w:ind w:firstLine="420" w:firstLineChars="200"/>
            </w:pPr>
            <w:r>
              <w:t>本项目位于山东省淄博市经济开发区南定镇昌盛路9-7号，本项目粉碎、混合搅拌釜上料</w:t>
            </w:r>
            <w:r>
              <w:rPr>
                <w:rFonts w:hint="eastAsia"/>
              </w:rPr>
              <w:t>口</w:t>
            </w:r>
            <w:r>
              <w:t>、包装工序产生的颗粒物采用“集气罩+布袋除尘器”处理，处理后通过1根15m排气筒（DA001）排放，</w:t>
            </w:r>
            <w:r>
              <w:rPr>
                <w:szCs w:val="21"/>
              </w:rPr>
              <w:t>污染物可达标排放。</w:t>
            </w:r>
            <w:r>
              <w:t>粉碎、混合搅拌釜上料</w:t>
            </w:r>
            <w:r>
              <w:rPr>
                <w:rFonts w:hint="eastAsia"/>
              </w:rPr>
              <w:t>口</w:t>
            </w:r>
            <w:r>
              <w:t>、包装工序产生的未收集废气无组织排放</w:t>
            </w:r>
            <w:r>
              <w:rPr>
                <w:rFonts w:hint="eastAsia"/>
              </w:rPr>
              <w:t>、</w:t>
            </w:r>
            <w:r>
              <w:rPr>
                <w:szCs w:val="21"/>
              </w:rPr>
              <w:t>料仓产生的粉尘经收集</w:t>
            </w:r>
            <w:r>
              <w:rPr>
                <w:rFonts w:hint="eastAsia"/>
                <w:szCs w:val="21"/>
              </w:rPr>
              <w:t>后</w:t>
            </w:r>
            <w:r>
              <w:rPr>
                <w:szCs w:val="21"/>
              </w:rPr>
              <w:t>通过仓顶</w:t>
            </w:r>
            <w:r>
              <w:rPr>
                <w:rFonts w:hint="eastAsia"/>
                <w:szCs w:val="21"/>
              </w:rPr>
              <w:t>的</w:t>
            </w:r>
            <w:r>
              <w:rPr>
                <w:szCs w:val="21"/>
              </w:rPr>
              <w:t>布袋除尘器</w:t>
            </w:r>
            <w:r>
              <w:rPr>
                <w:rFonts w:hint="eastAsia"/>
                <w:szCs w:val="21"/>
              </w:rPr>
              <w:t>进行处理后</w:t>
            </w:r>
            <w:r>
              <w:rPr>
                <w:szCs w:val="21"/>
              </w:rPr>
              <w:t>无组织排放</w:t>
            </w:r>
            <w:r>
              <w:t>，对环境影响较小。</w:t>
            </w:r>
          </w:p>
          <w:p>
            <w:pPr>
              <w:spacing w:line="360" w:lineRule="auto"/>
              <w:ind w:firstLine="422" w:firstLineChars="200"/>
              <w:rPr>
                <w:b/>
                <w:bCs/>
                <w:szCs w:val="21"/>
              </w:rPr>
            </w:pPr>
            <w:r>
              <w:rPr>
                <w:b/>
                <w:bCs/>
                <w:szCs w:val="21"/>
              </w:rPr>
              <w:t>二、运营期废水环境影响和保护措施</w:t>
            </w:r>
          </w:p>
          <w:p>
            <w:pPr>
              <w:spacing w:line="360" w:lineRule="auto"/>
              <w:ind w:firstLine="420" w:firstLineChars="200"/>
              <w:rPr>
                <w:b/>
                <w:bCs/>
                <w:szCs w:val="21"/>
              </w:rPr>
            </w:pPr>
            <w:r>
              <w:rPr>
                <w:szCs w:val="21"/>
              </w:rPr>
              <w:t>本项目液体硫酸铝加热蒸发产生的蒸汽冷凝水作为循环冷却水补充回用，无生产废水。</w:t>
            </w:r>
            <w:r>
              <w:t>生活污水经化粪池处理后，由环卫部门定期清运，不外排。产生情况见表4-</w:t>
            </w:r>
            <w:r>
              <w:rPr>
                <w:rFonts w:hint="eastAsia"/>
              </w:rPr>
              <w:t>6</w:t>
            </w:r>
            <w:r>
              <w:t>。</w:t>
            </w:r>
          </w:p>
          <w:p>
            <w:pPr>
              <w:jc w:val="center"/>
            </w:pPr>
            <w:r>
              <w:rPr>
                <w:b/>
                <w:bCs/>
                <w:szCs w:val="21"/>
              </w:rPr>
              <w:t>表4-</w:t>
            </w:r>
            <w:r>
              <w:rPr>
                <w:rFonts w:hint="eastAsia"/>
                <w:b/>
                <w:bCs/>
                <w:szCs w:val="21"/>
              </w:rPr>
              <w:t>6</w:t>
            </w:r>
            <w:r>
              <w:rPr>
                <w:b/>
                <w:bCs/>
                <w:szCs w:val="21"/>
              </w:rPr>
              <w:t xml:space="preserve">  本项目废水产生情况</w:t>
            </w:r>
          </w:p>
          <w:p>
            <w:pPr>
              <w:jc w:val="center"/>
            </w:pPr>
          </w:p>
          <w:tbl>
            <w:tblPr>
              <w:tblStyle w:val="4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81"/>
              <w:gridCol w:w="2508"/>
              <w:gridCol w:w="2300"/>
              <w:gridCol w:w="605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670" w:type="pct"/>
                  <w:tcBorders>
                    <w:tl2br w:val="nil"/>
                    <w:tr2bl w:val="nil"/>
                  </w:tcBorders>
                  <w:vAlign w:val="center"/>
                </w:tcPr>
                <w:p>
                  <w:pPr>
                    <w:jc w:val="center"/>
                    <w:rPr>
                      <w:b/>
                      <w:bCs/>
                      <w:szCs w:val="21"/>
                    </w:rPr>
                  </w:pPr>
                  <w:r>
                    <w:rPr>
                      <w:b/>
                      <w:bCs/>
                      <w:szCs w:val="21"/>
                    </w:rPr>
                    <w:t>产污环节</w:t>
                  </w:r>
                </w:p>
              </w:tc>
              <w:tc>
                <w:tcPr>
                  <w:tcW w:w="1000" w:type="pct"/>
                  <w:tcBorders>
                    <w:tl2br w:val="nil"/>
                    <w:tr2bl w:val="nil"/>
                  </w:tcBorders>
                  <w:vAlign w:val="center"/>
                </w:tcPr>
                <w:p>
                  <w:pPr>
                    <w:jc w:val="center"/>
                    <w:rPr>
                      <w:b/>
                      <w:bCs/>
                      <w:szCs w:val="21"/>
                    </w:rPr>
                  </w:pPr>
                  <w:r>
                    <w:rPr>
                      <w:b/>
                      <w:bCs/>
                      <w:szCs w:val="21"/>
                    </w:rPr>
                    <w:t>污染因子</w:t>
                  </w:r>
                </w:p>
              </w:tc>
              <w:tc>
                <w:tcPr>
                  <w:tcW w:w="917" w:type="pct"/>
                  <w:tcBorders>
                    <w:tl2br w:val="nil"/>
                    <w:tr2bl w:val="nil"/>
                  </w:tcBorders>
                  <w:vAlign w:val="center"/>
                </w:tcPr>
                <w:p>
                  <w:pPr>
                    <w:jc w:val="center"/>
                    <w:rPr>
                      <w:b/>
                      <w:bCs/>
                      <w:szCs w:val="21"/>
                    </w:rPr>
                  </w:pPr>
                  <w:r>
                    <w:rPr>
                      <w:b/>
                      <w:bCs/>
                      <w:szCs w:val="21"/>
                    </w:rPr>
                    <w:t>产生浓度</w:t>
                  </w:r>
                </w:p>
                <w:p>
                  <w:pPr>
                    <w:jc w:val="center"/>
                    <w:rPr>
                      <w:b/>
                      <w:bCs/>
                      <w:szCs w:val="21"/>
                    </w:rPr>
                  </w:pPr>
                  <w:r>
                    <w:rPr>
                      <w:b/>
                      <w:bCs/>
                      <w:szCs w:val="21"/>
                    </w:rPr>
                    <w:t>（mg/L）</w:t>
                  </w:r>
                </w:p>
              </w:tc>
              <w:tc>
                <w:tcPr>
                  <w:tcW w:w="2414" w:type="pct"/>
                  <w:tcBorders>
                    <w:tl2br w:val="nil"/>
                    <w:tr2bl w:val="nil"/>
                  </w:tcBorders>
                  <w:vAlign w:val="center"/>
                </w:tcPr>
                <w:p>
                  <w:pPr>
                    <w:jc w:val="center"/>
                    <w:rPr>
                      <w:b/>
                      <w:bCs/>
                      <w:szCs w:val="21"/>
                    </w:rPr>
                  </w:pPr>
                  <w:r>
                    <w:rPr>
                      <w:b/>
                      <w:bCs/>
                      <w:szCs w:val="21"/>
                    </w:rPr>
                    <w:t>处理方式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670"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办公生活</w:t>
                  </w:r>
                </w:p>
              </w:tc>
              <w:tc>
                <w:tcPr>
                  <w:tcW w:w="1000"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COD</w:t>
                  </w:r>
                </w:p>
              </w:tc>
              <w:tc>
                <w:tcPr>
                  <w:tcW w:w="917"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200~350</w:t>
                  </w:r>
                </w:p>
              </w:tc>
              <w:tc>
                <w:tcPr>
                  <w:tcW w:w="2414" w:type="pct"/>
                  <w:vMerge w:val="restart"/>
                  <w:tcBorders>
                    <w:tl2br w:val="nil"/>
                    <w:tr2bl w:val="nil"/>
                  </w:tcBorders>
                  <w:vAlign w:val="center"/>
                </w:tcPr>
                <w:p>
                  <w:pPr>
                    <w:widowControl/>
                    <w:adjustRightInd w:val="0"/>
                    <w:snapToGrid w:val="0"/>
                    <w:spacing w:line="0" w:lineRule="atLeast"/>
                    <w:ind w:firstLine="422"/>
                    <w:jc w:val="center"/>
                  </w:pPr>
                  <w:r>
                    <w:t>经化粪池处理后由环卫部门定期清运，不外排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70"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1000"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氨氮</w:t>
                  </w:r>
                </w:p>
              </w:tc>
              <w:tc>
                <w:tcPr>
                  <w:tcW w:w="917"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20~35</w:t>
                  </w:r>
                </w:p>
              </w:tc>
              <w:tc>
                <w:tcPr>
                  <w:tcW w:w="2414" w:type="pct"/>
                  <w:vMerge w:val="continue"/>
                  <w:tcBorders>
                    <w:tl2br w:val="nil"/>
                    <w:tr2bl w:val="nil"/>
                  </w:tcBorders>
                  <w:vAlign w:val="center"/>
                </w:tcPr>
                <w:p>
                  <w:pPr>
                    <w:widowControl/>
                    <w:adjustRightInd w:val="0"/>
                    <w:snapToGrid w:val="0"/>
                    <w:spacing w:line="0" w:lineRule="atLeast"/>
                    <w:ind w:firstLine="422"/>
                    <w:jc w:val="center"/>
                  </w:pPr>
                </w:p>
              </w:tc>
            </w:tr>
          </w:tbl>
          <w:p>
            <w:pPr>
              <w:spacing w:line="360" w:lineRule="auto"/>
              <w:ind w:firstLine="420" w:firstLineChars="200"/>
            </w:pPr>
            <w:r>
              <w:t>项目生活污水经化粪池处理后由环卫部门定期清运，不外排，对周围地表水环境影响较小。本项目不设废水排放口，无需进行废水监测。</w:t>
            </w:r>
          </w:p>
          <w:p>
            <w:pPr>
              <w:spacing w:line="360" w:lineRule="auto"/>
              <w:ind w:firstLine="422" w:firstLineChars="200"/>
              <w:rPr>
                <w:b/>
                <w:bCs/>
                <w:szCs w:val="21"/>
              </w:rPr>
            </w:pPr>
            <w:r>
              <w:rPr>
                <w:b/>
                <w:bCs/>
                <w:szCs w:val="21"/>
              </w:rPr>
              <w:t>三、运营期噪声环境影响和保护措施</w:t>
            </w:r>
          </w:p>
          <w:p>
            <w:pPr>
              <w:widowControl/>
              <w:spacing w:line="360" w:lineRule="auto"/>
              <w:ind w:firstLine="420" w:firstLineChars="200"/>
            </w:pPr>
            <w:r>
              <w:t>1、噪声源强及降噪措施</w:t>
            </w:r>
          </w:p>
          <w:p>
            <w:pPr>
              <w:spacing w:line="360" w:lineRule="auto"/>
              <w:ind w:firstLine="420" w:firstLineChars="200"/>
            </w:pPr>
            <w:r>
              <w:t>本项目主要噪声源为粉碎机、提升机、包装机、环保设备风机等设备，其单个设备的噪声值为70～</w:t>
            </w:r>
            <w:r>
              <w:rPr>
                <w:rFonts w:hint="eastAsia"/>
              </w:rPr>
              <w:t>85</w:t>
            </w:r>
            <w:r>
              <w:t>dB(A)，本项目设备均置于密闭车间内，采取基础减振等降噪措施。</w:t>
            </w:r>
          </w:p>
          <w:p>
            <w:pPr>
              <w:spacing w:line="360" w:lineRule="auto"/>
              <w:ind w:firstLine="420" w:firstLineChars="200"/>
            </w:pPr>
            <w:r>
              <w:t>采取的噪声治理措施为：</w:t>
            </w:r>
          </w:p>
          <w:p>
            <w:pPr>
              <w:pStyle w:val="294"/>
              <w:spacing w:line="360" w:lineRule="auto"/>
              <w:ind w:firstLine="420"/>
              <w:rPr>
                <w:rFonts w:hint="default"/>
              </w:rPr>
            </w:pPr>
            <w:r>
              <w:rPr>
                <w:rFonts w:hint="default"/>
              </w:rPr>
              <w:t>①设备选型上优先选用噪声低、能耗低的设备，以减小噪声源的声级。</w:t>
            </w:r>
          </w:p>
          <w:p>
            <w:pPr>
              <w:pStyle w:val="294"/>
              <w:spacing w:line="360" w:lineRule="auto"/>
              <w:ind w:firstLine="420"/>
              <w:rPr>
                <w:rFonts w:hint="default"/>
              </w:rPr>
            </w:pPr>
            <w:r>
              <w:rPr>
                <w:rFonts w:hint="default"/>
              </w:rPr>
              <w:t>②合理布局，将噪声较高设备布设在生产车间中部，或将高噪音设备安装在封闭的单独房间内，墙面做吸声隔音处理，使噪声降到规定允许范围内。</w:t>
            </w:r>
          </w:p>
          <w:p>
            <w:pPr>
              <w:pStyle w:val="294"/>
              <w:spacing w:line="360" w:lineRule="auto"/>
              <w:ind w:firstLine="420"/>
              <w:rPr>
                <w:rFonts w:hint="default"/>
              </w:rPr>
            </w:pPr>
            <w:r>
              <w:rPr>
                <w:rFonts w:hint="default"/>
              </w:rPr>
              <w:t>③厂界建设围墙，以便起到隔声和衰减噪声的作用。</w:t>
            </w:r>
          </w:p>
          <w:p>
            <w:pPr>
              <w:spacing w:line="360" w:lineRule="auto"/>
              <w:ind w:firstLine="420" w:firstLineChars="200"/>
            </w:pPr>
            <w:r>
              <w:t>④加强管理、调整设备运营时间，间歇生产，尽量减少高噪声设备同时运转，防止发生噪声叠加。</w:t>
            </w:r>
          </w:p>
          <w:p>
            <w:pPr>
              <w:spacing w:line="360" w:lineRule="auto"/>
              <w:ind w:firstLine="420" w:firstLineChars="200"/>
            </w:pPr>
            <w:r>
              <w:t>本项目无室外噪声源强，室内噪声采用设备基础的减振、厂房隔声可减少35dB(A)的噪声级，该项目室内主要设备噪声情况见下表。</w:t>
            </w:r>
          </w:p>
          <w:p>
            <w:pPr>
              <w:jc w:val="center"/>
              <w:rPr>
                <w:b/>
                <w:bCs/>
                <w:color w:val="0000FF"/>
                <w:szCs w:val="21"/>
                <w:lang w:val="zh-CN"/>
              </w:rPr>
            </w:pPr>
            <w:r>
              <w:rPr>
                <w:b/>
                <w:bCs/>
                <w:color w:val="0000FF"/>
                <w:szCs w:val="21"/>
                <w:lang w:val="zh-CN"/>
              </w:rPr>
              <w:t>表</w:t>
            </w:r>
            <w:r>
              <w:rPr>
                <w:b/>
                <w:bCs/>
                <w:color w:val="0000FF"/>
                <w:szCs w:val="21"/>
              </w:rPr>
              <w:t>4-</w:t>
            </w:r>
            <w:r>
              <w:rPr>
                <w:rFonts w:hint="eastAsia"/>
                <w:b/>
                <w:bCs/>
                <w:color w:val="0000FF"/>
                <w:szCs w:val="21"/>
              </w:rPr>
              <w:t>7</w:t>
            </w:r>
            <w:r>
              <w:rPr>
                <w:b/>
                <w:bCs/>
                <w:color w:val="0000FF"/>
                <w:szCs w:val="21"/>
                <w:lang w:val="zh-CN"/>
              </w:rPr>
              <w:t>拟建项目新增设备主要噪声源强调查清单（室</w:t>
            </w:r>
            <w:r>
              <w:rPr>
                <w:rFonts w:hint="eastAsia"/>
                <w:b/>
                <w:bCs/>
                <w:color w:val="0000FF"/>
                <w:szCs w:val="21"/>
                <w:lang w:val="zh-CN"/>
              </w:rPr>
              <w:t>外</w:t>
            </w:r>
            <w:r>
              <w:rPr>
                <w:b/>
                <w:bCs/>
                <w:color w:val="0000FF"/>
                <w:szCs w:val="21"/>
                <w:lang w:val="zh-CN"/>
              </w:rPr>
              <w:t>声源）</w:t>
            </w:r>
          </w:p>
          <w:p>
            <w:pPr>
              <w:pStyle w:val="2"/>
            </w:pPr>
          </w:p>
          <w:tbl>
            <w:tblPr>
              <w:tblStyle w:val="41"/>
              <w:tblW w:w="125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3"/>
              <w:gridCol w:w="2250"/>
              <w:gridCol w:w="1397"/>
              <w:gridCol w:w="1397"/>
              <w:gridCol w:w="1397"/>
              <w:gridCol w:w="1397"/>
              <w:gridCol w:w="1397"/>
              <w:gridCol w:w="1397"/>
              <w:gridCol w:w="13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vMerge w:val="restart"/>
                  <w:vAlign w:val="center"/>
                </w:tcPr>
                <w:p>
                  <w:pPr>
                    <w:pStyle w:val="2"/>
                    <w:ind w:firstLine="0" w:firstLineChars="0"/>
                    <w:jc w:val="center"/>
                  </w:pPr>
                  <w:r>
                    <w:rPr>
                      <w:rFonts w:hint="eastAsia"/>
                    </w:rPr>
                    <w:t>序号</w:t>
                  </w:r>
                </w:p>
              </w:tc>
              <w:tc>
                <w:tcPr>
                  <w:tcW w:w="2250" w:type="dxa"/>
                  <w:vMerge w:val="restart"/>
                  <w:vAlign w:val="center"/>
                </w:tcPr>
                <w:p>
                  <w:pPr>
                    <w:pStyle w:val="2"/>
                    <w:ind w:firstLine="0" w:firstLineChars="0"/>
                    <w:jc w:val="center"/>
                  </w:pPr>
                  <w:r>
                    <w:rPr>
                      <w:rFonts w:hint="eastAsia"/>
                    </w:rPr>
                    <w:t>声源名称</w:t>
                  </w:r>
                </w:p>
              </w:tc>
              <w:tc>
                <w:tcPr>
                  <w:tcW w:w="1397" w:type="dxa"/>
                  <w:vMerge w:val="restart"/>
                  <w:vAlign w:val="center"/>
                </w:tcPr>
                <w:p>
                  <w:pPr>
                    <w:pStyle w:val="2"/>
                    <w:ind w:firstLine="0" w:firstLineChars="0"/>
                    <w:jc w:val="center"/>
                  </w:pPr>
                  <w:r>
                    <w:rPr>
                      <w:rFonts w:hint="eastAsia"/>
                    </w:rPr>
                    <w:t>声源源强/dB（A）</w:t>
                  </w:r>
                </w:p>
              </w:tc>
              <w:tc>
                <w:tcPr>
                  <w:tcW w:w="4191" w:type="dxa"/>
                  <w:gridSpan w:val="3"/>
                  <w:vAlign w:val="center"/>
                </w:tcPr>
                <w:p>
                  <w:pPr>
                    <w:pStyle w:val="2"/>
                    <w:ind w:firstLine="0" w:firstLineChars="0"/>
                    <w:jc w:val="center"/>
                  </w:pPr>
                  <w:r>
                    <w:rPr>
                      <w:b/>
                      <w:bCs/>
                      <w:szCs w:val="21"/>
                    </w:rPr>
                    <w:t>空间相对位置/m</w:t>
                  </w:r>
                </w:p>
              </w:tc>
              <w:tc>
                <w:tcPr>
                  <w:tcW w:w="1397" w:type="dxa"/>
                  <w:vMerge w:val="restart"/>
                  <w:vAlign w:val="center"/>
                </w:tcPr>
                <w:p>
                  <w:pPr>
                    <w:pStyle w:val="2"/>
                    <w:ind w:firstLine="0" w:firstLineChars="0"/>
                    <w:jc w:val="center"/>
                  </w:pPr>
                  <w:r>
                    <w:rPr>
                      <w:rFonts w:hint="eastAsia"/>
                    </w:rPr>
                    <w:t>降噪措施</w:t>
                  </w:r>
                </w:p>
              </w:tc>
              <w:tc>
                <w:tcPr>
                  <w:tcW w:w="1397" w:type="dxa"/>
                  <w:vMerge w:val="restart"/>
                  <w:vAlign w:val="center"/>
                </w:tcPr>
                <w:p>
                  <w:pPr>
                    <w:pStyle w:val="2"/>
                    <w:ind w:firstLine="0" w:firstLineChars="0"/>
                    <w:jc w:val="center"/>
                  </w:pPr>
                  <w:r>
                    <w:rPr>
                      <w:rFonts w:hint="eastAsia"/>
                    </w:rPr>
                    <w:t>排放强度/dB（A）</w:t>
                  </w:r>
                </w:p>
              </w:tc>
              <w:tc>
                <w:tcPr>
                  <w:tcW w:w="1397" w:type="dxa"/>
                  <w:vMerge w:val="restart"/>
                  <w:vAlign w:val="center"/>
                </w:tcPr>
                <w:p>
                  <w:pPr>
                    <w:pStyle w:val="2"/>
                    <w:ind w:firstLine="0" w:firstLineChars="0"/>
                    <w:jc w:val="center"/>
                  </w:pPr>
                  <w:r>
                    <w:rPr>
                      <w:rFonts w:hint="eastAsia"/>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vMerge w:val="continue"/>
                  <w:vAlign w:val="center"/>
                </w:tcPr>
                <w:p>
                  <w:pPr>
                    <w:pStyle w:val="2"/>
                    <w:jc w:val="center"/>
                  </w:pPr>
                </w:p>
              </w:tc>
              <w:tc>
                <w:tcPr>
                  <w:tcW w:w="2250" w:type="dxa"/>
                  <w:vMerge w:val="continue"/>
                  <w:vAlign w:val="center"/>
                </w:tcPr>
                <w:p>
                  <w:pPr>
                    <w:pStyle w:val="2"/>
                    <w:ind w:firstLine="0" w:firstLineChars="0"/>
                    <w:jc w:val="center"/>
                  </w:pPr>
                </w:p>
              </w:tc>
              <w:tc>
                <w:tcPr>
                  <w:tcW w:w="1397" w:type="dxa"/>
                  <w:vMerge w:val="continue"/>
                  <w:vAlign w:val="center"/>
                </w:tcPr>
                <w:p>
                  <w:pPr>
                    <w:pStyle w:val="2"/>
                    <w:jc w:val="center"/>
                  </w:pPr>
                </w:p>
              </w:tc>
              <w:tc>
                <w:tcPr>
                  <w:tcW w:w="1397" w:type="dxa"/>
                  <w:vAlign w:val="center"/>
                </w:tcPr>
                <w:p>
                  <w:pPr>
                    <w:pStyle w:val="2"/>
                    <w:ind w:firstLine="0" w:firstLineChars="0"/>
                    <w:jc w:val="center"/>
                  </w:pPr>
                  <w:r>
                    <w:rPr>
                      <w:rFonts w:hint="eastAsia"/>
                    </w:rPr>
                    <w:t>X</w:t>
                  </w:r>
                </w:p>
              </w:tc>
              <w:tc>
                <w:tcPr>
                  <w:tcW w:w="1397" w:type="dxa"/>
                  <w:vAlign w:val="center"/>
                </w:tcPr>
                <w:p>
                  <w:pPr>
                    <w:pStyle w:val="2"/>
                    <w:ind w:firstLine="0" w:firstLineChars="0"/>
                    <w:jc w:val="center"/>
                  </w:pPr>
                  <w:r>
                    <w:rPr>
                      <w:rFonts w:hint="eastAsia"/>
                    </w:rPr>
                    <w:t>Y</w:t>
                  </w:r>
                </w:p>
              </w:tc>
              <w:tc>
                <w:tcPr>
                  <w:tcW w:w="1397" w:type="dxa"/>
                  <w:vAlign w:val="center"/>
                </w:tcPr>
                <w:p>
                  <w:pPr>
                    <w:pStyle w:val="2"/>
                    <w:ind w:firstLine="0" w:firstLineChars="0"/>
                    <w:jc w:val="center"/>
                  </w:pPr>
                  <w:r>
                    <w:rPr>
                      <w:rFonts w:hint="eastAsia"/>
                    </w:rPr>
                    <w:t>Z</w:t>
                  </w:r>
                </w:p>
              </w:tc>
              <w:tc>
                <w:tcPr>
                  <w:tcW w:w="1397" w:type="dxa"/>
                  <w:vMerge w:val="continue"/>
                  <w:vAlign w:val="center"/>
                </w:tcPr>
                <w:p>
                  <w:pPr>
                    <w:pStyle w:val="2"/>
                    <w:jc w:val="center"/>
                  </w:pPr>
                </w:p>
              </w:tc>
              <w:tc>
                <w:tcPr>
                  <w:tcW w:w="1397" w:type="dxa"/>
                  <w:vMerge w:val="continue"/>
                  <w:vAlign w:val="center"/>
                </w:tcPr>
                <w:p>
                  <w:pPr>
                    <w:pStyle w:val="2"/>
                    <w:jc w:val="center"/>
                  </w:pPr>
                </w:p>
              </w:tc>
              <w:tc>
                <w:tcPr>
                  <w:tcW w:w="1397" w:type="dxa"/>
                  <w:vMerge w:val="continue"/>
                  <w:vAlign w:val="center"/>
                </w:tcPr>
                <w:p>
                  <w:pPr>
                    <w:pStyle w:val="2"/>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vAlign w:val="center"/>
                </w:tcPr>
                <w:p>
                  <w:pPr>
                    <w:pStyle w:val="2"/>
                    <w:ind w:firstLine="0" w:firstLineChars="0"/>
                    <w:jc w:val="center"/>
                  </w:pPr>
                  <w:r>
                    <w:rPr>
                      <w:rFonts w:hint="eastAsia"/>
                    </w:rPr>
                    <w:t>1</w:t>
                  </w:r>
                </w:p>
              </w:tc>
              <w:tc>
                <w:tcPr>
                  <w:tcW w:w="2250" w:type="dxa"/>
                  <w:vAlign w:val="center"/>
                </w:tcPr>
                <w:p>
                  <w:pPr>
                    <w:pStyle w:val="2"/>
                    <w:ind w:firstLine="0" w:firstLineChars="0"/>
                    <w:jc w:val="center"/>
                  </w:pPr>
                  <w:r>
                    <w:rPr>
                      <w:rFonts w:hint="eastAsia"/>
                    </w:rPr>
                    <w:t>布袋除尘器及风机*1</w:t>
                  </w:r>
                </w:p>
              </w:tc>
              <w:tc>
                <w:tcPr>
                  <w:tcW w:w="1397" w:type="dxa"/>
                  <w:vAlign w:val="center"/>
                </w:tcPr>
                <w:p>
                  <w:pPr>
                    <w:pStyle w:val="2"/>
                    <w:ind w:firstLine="0" w:firstLineChars="0"/>
                    <w:jc w:val="center"/>
                  </w:pPr>
                  <w:r>
                    <w:rPr>
                      <w:rFonts w:hint="eastAsia"/>
                    </w:rPr>
                    <w:t>75</w:t>
                  </w:r>
                </w:p>
              </w:tc>
              <w:tc>
                <w:tcPr>
                  <w:tcW w:w="1397" w:type="dxa"/>
                  <w:vAlign w:val="center"/>
                </w:tcPr>
                <w:p>
                  <w:pPr>
                    <w:pStyle w:val="2"/>
                    <w:ind w:firstLine="0" w:firstLineChars="0"/>
                    <w:jc w:val="center"/>
                  </w:pPr>
                  <w:r>
                    <w:rPr>
                      <w:rFonts w:hint="eastAsia"/>
                      <w:szCs w:val="21"/>
                    </w:rPr>
                    <w:t>32.6</w:t>
                  </w:r>
                </w:p>
              </w:tc>
              <w:tc>
                <w:tcPr>
                  <w:tcW w:w="1397" w:type="dxa"/>
                  <w:vAlign w:val="center"/>
                </w:tcPr>
                <w:p>
                  <w:pPr>
                    <w:pStyle w:val="2"/>
                    <w:ind w:firstLine="0" w:firstLineChars="0"/>
                    <w:jc w:val="center"/>
                  </w:pPr>
                  <w:r>
                    <w:rPr>
                      <w:rFonts w:hint="eastAsia"/>
                    </w:rPr>
                    <w:t>63.2</w:t>
                  </w:r>
                </w:p>
              </w:tc>
              <w:tc>
                <w:tcPr>
                  <w:tcW w:w="1397" w:type="dxa"/>
                  <w:vAlign w:val="center"/>
                </w:tcPr>
                <w:p>
                  <w:pPr>
                    <w:pStyle w:val="2"/>
                    <w:ind w:firstLine="0" w:firstLineChars="0"/>
                    <w:jc w:val="center"/>
                  </w:pPr>
                  <w:r>
                    <w:rPr>
                      <w:rFonts w:hint="eastAsia"/>
                    </w:rPr>
                    <w:t>69</w:t>
                  </w:r>
                </w:p>
              </w:tc>
              <w:tc>
                <w:tcPr>
                  <w:tcW w:w="1397" w:type="dxa"/>
                  <w:vAlign w:val="center"/>
                </w:tcPr>
                <w:p>
                  <w:pPr>
                    <w:pStyle w:val="2"/>
                    <w:ind w:firstLine="0" w:firstLineChars="0"/>
                    <w:jc w:val="center"/>
                  </w:pPr>
                  <w:r>
                    <w:rPr>
                      <w:rFonts w:hint="eastAsia"/>
                    </w:rPr>
                    <w:t>减振、隔声</w:t>
                  </w:r>
                </w:p>
              </w:tc>
              <w:tc>
                <w:tcPr>
                  <w:tcW w:w="1397" w:type="dxa"/>
                  <w:vAlign w:val="center"/>
                </w:tcPr>
                <w:p>
                  <w:pPr>
                    <w:pStyle w:val="2"/>
                    <w:ind w:firstLine="0" w:firstLineChars="0"/>
                    <w:jc w:val="center"/>
                  </w:pPr>
                  <w:r>
                    <w:rPr>
                      <w:rFonts w:hint="eastAsia"/>
                    </w:rPr>
                    <w:t>50</w:t>
                  </w:r>
                </w:p>
              </w:tc>
              <w:tc>
                <w:tcPr>
                  <w:tcW w:w="1397" w:type="dxa"/>
                  <w:vAlign w:val="center"/>
                </w:tcPr>
                <w:p>
                  <w:pPr>
                    <w:pStyle w:val="2"/>
                    <w:ind w:firstLine="0" w:firstLineChars="0"/>
                    <w:jc w:val="center"/>
                  </w:pPr>
                  <w:r>
                    <w:rPr>
                      <w:rFonts w:hint="eastAsia"/>
                    </w:rPr>
                    <w:t>全天</w:t>
                  </w:r>
                </w:p>
              </w:tc>
            </w:tr>
          </w:tbl>
          <w:p>
            <w:pPr>
              <w:pStyle w:val="2"/>
            </w:pPr>
          </w:p>
          <w:p>
            <w:pPr>
              <w:jc w:val="center"/>
              <w:rPr>
                <w:b/>
                <w:bCs/>
                <w:szCs w:val="21"/>
                <w:lang w:val="zh-CN"/>
              </w:rPr>
            </w:pPr>
          </w:p>
          <w:p>
            <w:pPr>
              <w:jc w:val="center"/>
              <w:rPr>
                <w:b/>
                <w:bCs/>
                <w:szCs w:val="21"/>
                <w:lang w:val="zh-CN"/>
              </w:rPr>
            </w:pPr>
          </w:p>
          <w:p>
            <w:pPr>
              <w:jc w:val="center"/>
              <w:rPr>
                <w:b/>
                <w:bCs/>
                <w:szCs w:val="21"/>
                <w:lang w:val="zh-CN"/>
              </w:rPr>
            </w:pPr>
          </w:p>
          <w:p>
            <w:pPr>
              <w:jc w:val="center"/>
              <w:rPr>
                <w:b/>
                <w:bCs/>
                <w:color w:val="0000FF"/>
                <w:szCs w:val="21"/>
              </w:rPr>
            </w:pPr>
            <w:r>
              <w:rPr>
                <w:b/>
                <w:bCs/>
                <w:color w:val="0000FF"/>
                <w:szCs w:val="21"/>
                <w:lang w:val="zh-CN"/>
              </w:rPr>
              <w:t>表</w:t>
            </w:r>
            <w:r>
              <w:rPr>
                <w:b/>
                <w:bCs/>
                <w:color w:val="0000FF"/>
                <w:szCs w:val="21"/>
              </w:rPr>
              <w:t>4-</w:t>
            </w:r>
            <w:r>
              <w:rPr>
                <w:rFonts w:hint="eastAsia"/>
                <w:b/>
                <w:bCs/>
                <w:color w:val="0000FF"/>
                <w:szCs w:val="21"/>
              </w:rPr>
              <w:t>8</w:t>
            </w:r>
            <w:r>
              <w:rPr>
                <w:b/>
                <w:bCs/>
                <w:color w:val="0000FF"/>
                <w:szCs w:val="21"/>
                <w:lang w:val="zh-CN"/>
              </w:rPr>
              <w:t>拟建项目新增设备主要噪声源强调查清单（室内声源）</w:t>
            </w:r>
          </w:p>
          <w:tbl>
            <w:tblPr>
              <w:tblStyle w:val="40"/>
              <w:tblpPr w:leftFromText="180" w:rightFromText="180" w:vertAnchor="text" w:horzAnchor="page" w:tblpX="81" w:tblpY="323"/>
              <w:tblOverlap w:val="never"/>
              <w:tblW w:w="4995"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19"/>
              <w:gridCol w:w="419"/>
              <w:gridCol w:w="687"/>
              <w:gridCol w:w="633"/>
              <w:gridCol w:w="607"/>
              <w:gridCol w:w="419"/>
              <w:gridCol w:w="372"/>
              <w:gridCol w:w="394"/>
              <w:gridCol w:w="586"/>
              <w:gridCol w:w="370"/>
              <w:gridCol w:w="370"/>
              <w:gridCol w:w="370"/>
              <w:gridCol w:w="501"/>
              <w:gridCol w:w="474"/>
              <w:gridCol w:w="474"/>
              <w:gridCol w:w="474"/>
              <w:gridCol w:w="586"/>
              <w:gridCol w:w="370"/>
              <w:gridCol w:w="1144"/>
              <w:gridCol w:w="673"/>
              <w:gridCol w:w="528"/>
              <w:gridCol w:w="514"/>
              <w:gridCol w:w="519"/>
              <w:gridCol w:w="62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17" w:hRule="exact"/>
              </w:trPr>
              <w:tc>
                <w:tcPr>
                  <w:tcW w:w="167" w:type="pct"/>
                  <w:vMerge w:val="restart"/>
                  <w:tcBorders>
                    <w:tl2br w:val="nil"/>
                    <w:tr2bl w:val="nil"/>
                  </w:tcBorders>
                  <w:shd w:val="clear" w:color="auto" w:fill="auto"/>
                  <w:vAlign w:val="center"/>
                </w:tcPr>
                <w:p>
                  <w:pPr>
                    <w:jc w:val="center"/>
                    <w:rPr>
                      <w:b/>
                      <w:bCs/>
                      <w:szCs w:val="21"/>
                    </w:rPr>
                  </w:pPr>
                  <w:r>
                    <w:rPr>
                      <w:b/>
                      <w:bCs/>
                      <w:szCs w:val="21"/>
                    </w:rPr>
                    <w:t>序号</w:t>
                  </w:r>
                </w:p>
              </w:tc>
              <w:tc>
                <w:tcPr>
                  <w:tcW w:w="167" w:type="pct"/>
                  <w:vMerge w:val="restart"/>
                  <w:tcBorders>
                    <w:tl2br w:val="nil"/>
                    <w:tr2bl w:val="nil"/>
                  </w:tcBorders>
                  <w:shd w:val="clear" w:color="auto" w:fill="auto"/>
                  <w:vAlign w:val="center"/>
                </w:tcPr>
                <w:p>
                  <w:pPr>
                    <w:jc w:val="center"/>
                    <w:rPr>
                      <w:b/>
                      <w:bCs/>
                      <w:szCs w:val="21"/>
                    </w:rPr>
                  </w:pPr>
                  <w:r>
                    <w:rPr>
                      <w:b/>
                      <w:bCs/>
                      <w:szCs w:val="21"/>
                    </w:rPr>
                    <w:t>建筑物名称</w:t>
                  </w:r>
                </w:p>
              </w:tc>
              <w:tc>
                <w:tcPr>
                  <w:tcW w:w="274" w:type="pct"/>
                  <w:vMerge w:val="restart"/>
                  <w:tcBorders>
                    <w:tl2br w:val="nil"/>
                    <w:tr2bl w:val="nil"/>
                  </w:tcBorders>
                  <w:shd w:val="clear" w:color="auto" w:fill="auto"/>
                  <w:vAlign w:val="center"/>
                </w:tcPr>
                <w:p>
                  <w:pPr>
                    <w:jc w:val="center"/>
                    <w:rPr>
                      <w:b/>
                      <w:bCs/>
                      <w:szCs w:val="21"/>
                    </w:rPr>
                  </w:pPr>
                  <w:r>
                    <w:rPr>
                      <w:b/>
                      <w:bCs/>
                      <w:szCs w:val="21"/>
                    </w:rPr>
                    <w:t>声源名称</w:t>
                  </w:r>
                </w:p>
              </w:tc>
              <w:tc>
                <w:tcPr>
                  <w:tcW w:w="252" w:type="pct"/>
                  <w:vMerge w:val="restart"/>
                  <w:tcBorders>
                    <w:tl2br w:val="nil"/>
                    <w:tr2bl w:val="nil"/>
                  </w:tcBorders>
                  <w:shd w:val="clear" w:color="auto" w:fill="auto"/>
                  <w:vAlign w:val="center"/>
                </w:tcPr>
                <w:p>
                  <w:pPr>
                    <w:jc w:val="center"/>
                    <w:rPr>
                      <w:b/>
                      <w:bCs/>
                      <w:szCs w:val="21"/>
                    </w:rPr>
                  </w:pPr>
                  <w:r>
                    <w:rPr>
                      <w:b/>
                      <w:bCs/>
                      <w:szCs w:val="21"/>
                    </w:rPr>
                    <w:t>数量（单位）</w:t>
                  </w:r>
                </w:p>
              </w:tc>
              <w:tc>
                <w:tcPr>
                  <w:tcW w:w="242" w:type="pct"/>
                  <w:tcBorders>
                    <w:tl2br w:val="nil"/>
                    <w:tr2bl w:val="nil"/>
                  </w:tcBorders>
                  <w:shd w:val="clear" w:color="auto" w:fill="auto"/>
                  <w:vAlign w:val="center"/>
                </w:tcPr>
                <w:p>
                  <w:pPr>
                    <w:jc w:val="center"/>
                    <w:rPr>
                      <w:b/>
                      <w:bCs/>
                      <w:szCs w:val="21"/>
                    </w:rPr>
                  </w:pPr>
                  <w:r>
                    <w:rPr>
                      <w:b/>
                      <w:bCs/>
                      <w:szCs w:val="21"/>
                    </w:rPr>
                    <w:t>声源源强</w:t>
                  </w:r>
                </w:p>
              </w:tc>
              <w:tc>
                <w:tcPr>
                  <w:tcW w:w="167" w:type="pct"/>
                  <w:vMerge w:val="restart"/>
                  <w:tcBorders>
                    <w:tl2br w:val="nil"/>
                    <w:tr2bl w:val="nil"/>
                  </w:tcBorders>
                  <w:shd w:val="clear" w:color="auto" w:fill="auto"/>
                  <w:vAlign w:val="center"/>
                </w:tcPr>
                <w:p>
                  <w:pPr>
                    <w:jc w:val="center"/>
                    <w:rPr>
                      <w:b/>
                      <w:bCs/>
                      <w:szCs w:val="21"/>
                    </w:rPr>
                  </w:pPr>
                  <w:r>
                    <w:rPr>
                      <w:b/>
                      <w:bCs/>
                      <w:szCs w:val="21"/>
                    </w:rPr>
                    <w:t>声源控制措施</w:t>
                  </w:r>
                </w:p>
              </w:tc>
              <w:tc>
                <w:tcPr>
                  <w:tcW w:w="539" w:type="pct"/>
                  <w:gridSpan w:val="3"/>
                  <w:tcBorders>
                    <w:tl2br w:val="nil"/>
                    <w:tr2bl w:val="nil"/>
                  </w:tcBorders>
                  <w:shd w:val="clear" w:color="auto" w:fill="auto"/>
                  <w:vAlign w:val="center"/>
                </w:tcPr>
                <w:p>
                  <w:pPr>
                    <w:jc w:val="center"/>
                    <w:rPr>
                      <w:b/>
                      <w:bCs/>
                      <w:szCs w:val="21"/>
                    </w:rPr>
                  </w:pPr>
                  <w:r>
                    <w:rPr>
                      <w:b/>
                      <w:bCs/>
                      <w:szCs w:val="21"/>
                    </w:rPr>
                    <w:t>空间相对位置/m</w:t>
                  </w:r>
                </w:p>
              </w:tc>
              <w:tc>
                <w:tcPr>
                  <w:tcW w:w="642" w:type="pct"/>
                  <w:gridSpan w:val="4"/>
                  <w:tcBorders>
                    <w:tl2br w:val="nil"/>
                    <w:tr2bl w:val="nil"/>
                  </w:tcBorders>
                  <w:shd w:val="clear" w:color="auto" w:fill="auto"/>
                  <w:vAlign w:val="center"/>
                </w:tcPr>
                <w:p>
                  <w:pPr>
                    <w:jc w:val="center"/>
                    <w:rPr>
                      <w:b/>
                      <w:bCs/>
                      <w:szCs w:val="21"/>
                    </w:rPr>
                  </w:pPr>
                  <w:r>
                    <w:rPr>
                      <w:b/>
                      <w:bCs/>
                      <w:szCs w:val="21"/>
                    </w:rPr>
                    <w:t>距室内边界距离/m</w:t>
                  </w:r>
                </w:p>
              </w:tc>
              <w:tc>
                <w:tcPr>
                  <w:tcW w:w="801" w:type="pct"/>
                  <w:gridSpan w:val="4"/>
                  <w:tcBorders>
                    <w:tl2br w:val="nil"/>
                    <w:tr2bl w:val="nil"/>
                  </w:tcBorders>
                  <w:shd w:val="clear" w:color="auto" w:fill="auto"/>
                  <w:vAlign w:val="center"/>
                </w:tcPr>
                <w:p>
                  <w:pPr>
                    <w:jc w:val="center"/>
                    <w:rPr>
                      <w:b/>
                      <w:bCs/>
                      <w:szCs w:val="21"/>
                    </w:rPr>
                  </w:pPr>
                  <w:r>
                    <w:rPr>
                      <w:b/>
                      <w:bCs/>
                      <w:szCs w:val="21"/>
                    </w:rPr>
                    <w:t>室内边界声级/dB(A)</w:t>
                  </w:r>
                </w:p>
              </w:tc>
              <w:tc>
                <w:tcPr>
                  <w:tcW w:w="147" w:type="pct"/>
                  <w:vMerge w:val="restart"/>
                  <w:tcBorders>
                    <w:tl2br w:val="nil"/>
                    <w:tr2bl w:val="nil"/>
                  </w:tcBorders>
                  <w:shd w:val="clear" w:color="auto" w:fill="auto"/>
                  <w:vAlign w:val="center"/>
                </w:tcPr>
                <w:p>
                  <w:pPr>
                    <w:jc w:val="center"/>
                    <w:rPr>
                      <w:b/>
                      <w:bCs/>
                      <w:szCs w:val="21"/>
                    </w:rPr>
                  </w:pPr>
                  <w:r>
                    <w:rPr>
                      <w:b/>
                      <w:bCs/>
                      <w:szCs w:val="21"/>
                    </w:rPr>
                    <w:t>运行时段</w:t>
                  </w:r>
                </w:p>
              </w:tc>
              <w:tc>
                <w:tcPr>
                  <w:tcW w:w="456" w:type="pct"/>
                  <w:vMerge w:val="restart"/>
                  <w:tcBorders>
                    <w:tl2br w:val="nil"/>
                    <w:tr2bl w:val="nil"/>
                  </w:tcBorders>
                  <w:shd w:val="clear" w:color="auto" w:fill="auto"/>
                  <w:vAlign w:val="center"/>
                </w:tcPr>
                <w:p>
                  <w:pPr>
                    <w:jc w:val="center"/>
                    <w:rPr>
                      <w:b/>
                      <w:bCs/>
                      <w:szCs w:val="21"/>
                    </w:rPr>
                  </w:pPr>
                  <w:r>
                    <w:rPr>
                      <w:b/>
                      <w:bCs/>
                      <w:szCs w:val="21"/>
                    </w:rPr>
                    <w:t>建筑物插入损失 / dB(A)</w:t>
                  </w:r>
                </w:p>
              </w:tc>
              <w:tc>
                <w:tcPr>
                  <w:tcW w:w="1141" w:type="pct"/>
                  <w:gridSpan w:val="5"/>
                  <w:tcBorders>
                    <w:tl2br w:val="nil"/>
                    <w:tr2bl w:val="nil"/>
                  </w:tcBorders>
                  <w:shd w:val="clear" w:color="auto" w:fill="auto"/>
                  <w:vAlign w:val="center"/>
                </w:tcPr>
                <w:p>
                  <w:pPr>
                    <w:jc w:val="center"/>
                    <w:rPr>
                      <w:b/>
                      <w:bCs/>
                      <w:szCs w:val="21"/>
                    </w:rPr>
                  </w:pPr>
                  <w:r>
                    <w:rPr>
                      <w:b/>
                      <w:bCs/>
                      <w:szCs w:val="21"/>
                    </w:rPr>
                    <w:t>建筑物外噪声声压级/dB(A)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c>
                <w:tcPr>
                  <w:tcW w:w="167" w:type="pct"/>
                  <w:vMerge w:val="continue"/>
                  <w:tcBorders>
                    <w:tl2br w:val="nil"/>
                    <w:tr2bl w:val="nil"/>
                  </w:tcBorders>
                  <w:shd w:val="clear" w:color="auto" w:fill="auto"/>
                  <w:tcMar>
                    <w:top w:w="0" w:type="dxa"/>
                    <w:left w:w="0" w:type="dxa"/>
                    <w:bottom w:w="0" w:type="dxa"/>
                    <w:right w:w="0" w:type="dxa"/>
                  </w:tcMar>
                  <w:vAlign w:val="center"/>
                </w:tcPr>
                <w:p>
                  <w:pPr>
                    <w:ind w:firstLine="420"/>
                    <w:jc w:val="center"/>
                    <w:rPr>
                      <w:b/>
                      <w:bCs/>
                      <w:szCs w:val="21"/>
                    </w:rPr>
                  </w:pPr>
                </w:p>
              </w:tc>
              <w:tc>
                <w:tcPr>
                  <w:tcW w:w="167" w:type="pct"/>
                  <w:vMerge w:val="continue"/>
                  <w:tcBorders>
                    <w:tl2br w:val="nil"/>
                    <w:tr2bl w:val="nil"/>
                  </w:tcBorders>
                  <w:shd w:val="clear" w:color="auto" w:fill="auto"/>
                  <w:tcMar>
                    <w:top w:w="0" w:type="dxa"/>
                    <w:left w:w="0" w:type="dxa"/>
                    <w:bottom w:w="0" w:type="dxa"/>
                    <w:right w:w="0" w:type="dxa"/>
                  </w:tcMar>
                  <w:vAlign w:val="center"/>
                </w:tcPr>
                <w:p>
                  <w:pPr>
                    <w:ind w:firstLine="420"/>
                    <w:jc w:val="center"/>
                    <w:rPr>
                      <w:b/>
                      <w:bCs/>
                      <w:szCs w:val="21"/>
                    </w:rPr>
                  </w:pPr>
                </w:p>
              </w:tc>
              <w:tc>
                <w:tcPr>
                  <w:tcW w:w="274" w:type="pct"/>
                  <w:vMerge w:val="continue"/>
                  <w:tcBorders>
                    <w:tl2br w:val="nil"/>
                    <w:tr2bl w:val="nil"/>
                  </w:tcBorders>
                  <w:shd w:val="clear" w:color="auto" w:fill="auto"/>
                  <w:tcMar>
                    <w:top w:w="0" w:type="dxa"/>
                    <w:left w:w="0" w:type="dxa"/>
                    <w:bottom w:w="0" w:type="dxa"/>
                    <w:right w:w="0" w:type="dxa"/>
                  </w:tcMar>
                  <w:vAlign w:val="center"/>
                </w:tcPr>
                <w:p>
                  <w:pPr>
                    <w:ind w:firstLine="420"/>
                    <w:jc w:val="center"/>
                    <w:rPr>
                      <w:b/>
                      <w:bCs/>
                      <w:szCs w:val="21"/>
                    </w:rPr>
                  </w:pPr>
                </w:p>
              </w:tc>
              <w:tc>
                <w:tcPr>
                  <w:tcW w:w="252" w:type="pct"/>
                  <w:vMerge w:val="continue"/>
                  <w:tcBorders>
                    <w:tl2br w:val="nil"/>
                    <w:tr2bl w:val="nil"/>
                  </w:tcBorders>
                  <w:shd w:val="clear" w:color="auto" w:fill="auto"/>
                  <w:tcMar>
                    <w:top w:w="0" w:type="dxa"/>
                    <w:left w:w="0" w:type="dxa"/>
                    <w:bottom w:w="0" w:type="dxa"/>
                    <w:right w:w="0" w:type="dxa"/>
                  </w:tcMar>
                  <w:vAlign w:val="center"/>
                </w:tcPr>
                <w:p>
                  <w:pPr>
                    <w:ind w:firstLine="420"/>
                    <w:jc w:val="center"/>
                    <w:rPr>
                      <w:b/>
                      <w:bCs/>
                      <w:szCs w:val="21"/>
                    </w:rPr>
                  </w:pPr>
                </w:p>
              </w:tc>
              <w:tc>
                <w:tcPr>
                  <w:tcW w:w="242" w:type="pct"/>
                  <w:tcBorders>
                    <w:tl2br w:val="nil"/>
                    <w:tr2bl w:val="nil"/>
                  </w:tcBorders>
                  <w:shd w:val="clear" w:color="auto" w:fill="auto"/>
                  <w:tcMar>
                    <w:top w:w="0" w:type="dxa"/>
                    <w:left w:w="0" w:type="dxa"/>
                    <w:bottom w:w="0" w:type="dxa"/>
                    <w:right w:w="0" w:type="dxa"/>
                  </w:tcMar>
                  <w:vAlign w:val="center"/>
                </w:tcPr>
                <w:p>
                  <w:pPr>
                    <w:jc w:val="center"/>
                    <w:rPr>
                      <w:b/>
                      <w:bCs/>
                      <w:szCs w:val="21"/>
                    </w:rPr>
                  </w:pPr>
                  <w:r>
                    <w:rPr>
                      <w:b/>
                      <w:bCs/>
                      <w:szCs w:val="21"/>
                    </w:rPr>
                    <w:t>声功率级/dB(A)</w:t>
                  </w:r>
                </w:p>
              </w:tc>
              <w:tc>
                <w:tcPr>
                  <w:tcW w:w="167" w:type="pct"/>
                  <w:vMerge w:val="continue"/>
                  <w:tcBorders>
                    <w:tl2br w:val="nil"/>
                    <w:tr2bl w:val="nil"/>
                  </w:tcBorders>
                  <w:shd w:val="clear" w:color="auto" w:fill="auto"/>
                  <w:tcMar>
                    <w:top w:w="0" w:type="dxa"/>
                    <w:left w:w="0" w:type="dxa"/>
                    <w:bottom w:w="0" w:type="dxa"/>
                    <w:right w:w="0" w:type="dxa"/>
                  </w:tcMar>
                  <w:vAlign w:val="center"/>
                </w:tcPr>
                <w:p>
                  <w:pPr>
                    <w:ind w:firstLine="420"/>
                    <w:jc w:val="center"/>
                    <w:rPr>
                      <w:b/>
                      <w:bCs/>
                      <w:szCs w:val="21"/>
                    </w:rPr>
                  </w:pPr>
                </w:p>
              </w:tc>
              <w:tc>
                <w:tcPr>
                  <w:tcW w:w="148" w:type="pct"/>
                  <w:tcBorders>
                    <w:tl2br w:val="nil"/>
                    <w:tr2bl w:val="nil"/>
                  </w:tcBorders>
                  <w:shd w:val="clear" w:color="auto" w:fill="auto"/>
                  <w:tcMar>
                    <w:top w:w="0" w:type="dxa"/>
                    <w:left w:w="0" w:type="dxa"/>
                    <w:bottom w:w="0" w:type="dxa"/>
                    <w:right w:w="0" w:type="dxa"/>
                  </w:tcMar>
                  <w:vAlign w:val="center"/>
                </w:tcPr>
                <w:p>
                  <w:pPr>
                    <w:jc w:val="center"/>
                    <w:rPr>
                      <w:b/>
                      <w:bCs/>
                      <w:szCs w:val="21"/>
                    </w:rPr>
                  </w:pPr>
                  <w:r>
                    <w:rPr>
                      <w:b/>
                      <w:bCs/>
                      <w:szCs w:val="21"/>
                    </w:rPr>
                    <w:t>X</w:t>
                  </w:r>
                </w:p>
              </w:tc>
              <w:tc>
                <w:tcPr>
                  <w:tcW w:w="157" w:type="pct"/>
                  <w:tcBorders>
                    <w:tl2br w:val="nil"/>
                    <w:tr2bl w:val="nil"/>
                  </w:tcBorders>
                  <w:shd w:val="clear" w:color="auto" w:fill="auto"/>
                  <w:tcMar>
                    <w:top w:w="0" w:type="dxa"/>
                    <w:left w:w="0" w:type="dxa"/>
                    <w:bottom w:w="0" w:type="dxa"/>
                    <w:right w:w="0" w:type="dxa"/>
                  </w:tcMar>
                  <w:vAlign w:val="center"/>
                </w:tcPr>
                <w:p>
                  <w:pPr>
                    <w:jc w:val="center"/>
                    <w:rPr>
                      <w:b/>
                      <w:bCs/>
                      <w:szCs w:val="21"/>
                    </w:rPr>
                  </w:pPr>
                  <w:r>
                    <w:rPr>
                      <w:b/>
                      <w:bCs/>
                      <w:szCs w:val="21"/>
                    </w:rPr>
                    <w:t>Y</w:t>
                  </w:r>
                </w:p>
              </w:tc>
              <w:tc>
                <w:tcPr>
                  <w:tcW w:w="233" w:type="pct"/>
                  <w:tcBorders>
                    <w:tl2br w:val="nil"/>
                    <w:tr2bl w:val="nil"/>
                  </w:tcBorders>
                  <w:shd w:val="clear" w:color="auto" w:fill="auto"/>
                  <w:tcMar>
                    <w:top w:w="0" w:type="dxa"/>
                    <w:left w:w="0" w:type="dxa"/>
                    <w:bottom w:w="0" w:type="dxa"/>
                    <w:right w:w="0" w:type="dxa"/>
                  </w:tcMar>
                  <w:vAlign w:val="center"/>
                </w:tcPr>
                <w:p>
                  <w:pPr>
                    <w:jc w:val="center"/>
                    <w:rPr>
                      <w:b/>
                      <w:bCs/>
                      <w:szCs w:val="21"/>
                    </w:rPr>
                  </w:pPr>
                  <w:r>
                    <w:rPr>
                      <w:b/>
                      <w:bCs/>
                      <w:szCs w:val="21"/>
                    </w:rPr>
                    <w:t>Z</w:t>
                  </w:r>
                </w:p>
              </w:tc>
              <w:tc>
                <w:tcPr>
                  <w:tcW w:w="147" w:type="pct"/>
                  <w:tcBorders>
                    <w:tl2br w:val="nil"/>
                    <w:tr2bl w:val="nil"/>
                  </w:tcBorders>
                  <w:shd w:val="clear" w:color="auto" w:fill="auto"/>
                  <w:tcMar>
                    <w:top w:w="0" w:type="dxa"/>
                    <w:left w:w="0" w:type="dxa"/>
                    <w:bottom w:w="0" w:type="dxa"/>
                    <w:right w:w="0" w:type="dxa"/>
                  </w:tcMar>
                  <w:vAlign w:val="center"/>
                </w:tcPr>
                <w:p>
                  <w:pPr>
                    <w:jc w:val="center"/>
                    <w:rPr>
                      <w:b/>
                      <w:bCs/>
                      <w:szCs w:val="21"/>
                    </w:rPr>
                  </w:pPr>
                  <w:r>
                    <w:rPr>
                      <w:b/>
                      <w:bCs/>
                      <w:szCs w:val="21"/>
                    </w:rPr>
                    <w:t>东</w:t>
                  </w:r>
                </w:p>
              </w:tc>
              <w:tc>
                <w:tcPr>
                  <w:tcW w:w="147" w:type="pct"/>
                  <w:tcBorders>
                    <w:tl2br w:val="nil"/>
                    <w:tr2bl w:val="nil"/>
                  </w:tcBorders>
                  <w:shd w:val="clear" w:color="auto" w:fill="auto"/>
                  <w:tcMar>
                    <w:top w:w="0" w:type="dxa"/>
                    <w:left w:w="0" w:type="dxa"/>
                    <w:bottom w:w="0" w:type="dxa"/>
                    <w:right w:w="0" w:type="dxa"/>
                  </w:tcMar>
                  <w:vAlign w:val="center"/>
                </w:tcPr>
                <w:p>
                  <w:pPr>
                    <w:jc w:val="center"/>
                    <w:rPr>
                      <w:b/>
                      <w:bCs/>
                      <w:szCs w:val="21"/>
                    </w:rPr>
                  </w:pPr>
                  <w:r>
                    <w:rPr>
                      <w:b/>
                      <w:bCs/>
                      <w:szCs w:val="21"/>
                    </w:rPr>
                    <w:t>西</w:t>
                  </w:r>
                </w:p>
              </w:tc>
              <w:tc>
                <w:tcPr>
                  <w:tcW w:w="147" w:type="pct"/>
                  <w:tcBorders>
                    <w:tl2br w:val="nil"/>
                    <w:tr2bl w:val="nil"/>
                  </w:tcBorders>
                  <w:shd w:val="clear" w:color="auto" w:fill="auto"/>
                  <w:tcMar>
                    <w:top w:w="0" w:type="dxa"/>
                    <w:left w:w="0" w:type="dxa"/>
                    <w:bottom w:w="0" w:type="dxa"/>
                    <w:right w:w="0" w:type="dxa"/>
                  </w:tcMar>
                  <w:vAlign w:val="center"/>
                </w:tcPr>
                <w:p>
                  <w:pPr>
                    <w:jc w:val="center"/>
                    <w:rPr>
                      <w:b/>
                      <w:bCs/>
                      <w:szCs w:val="21"/>
                    </w:rPr>
                  </w:pPr>
                  <w:r>
                    <w:rPr>
                      <w:b/>
                      <w:bCs/>
                      <w:szCs w:val="21"/>
                    </w:rPr>
                    <w:t>南</w:t>
                  </w:r>
                </w:p>
              </w:tc>
              <w:tc>
                <w:tcPr>
                  <w:tcW w:w="199" w:type="pct"/>
                  <w:tcBorders>
                    <w:tl2br w:val="nil"/>
                    <w:tr2bl w:val="nil"/>
                  </w:tcBorders>
                  <w:shd w:val="clear" w:color="auto" w:fill="auto"/>
                  <w:tcMar>
                    <w:top w:w="0" w:type="dxa"/>
                    <w:left w:w="0" w:type="dxa"/>
                    <w:bottom w:w="0" w:type="dxa"/>
                    <w:right w:w="0" w:type="dxa"/>
                  </w:tcMar>
                  <w:vAlign w:val="center"/>
                </w:tcPr>
                <w:p>
                  <w:pPr>
                    <w:jc w:val="center"/>
                    <w:rPr>
                      <w:b/>
                      <w:bCs/>
                      <w:szCs w:val="21"/>
                    </w:rPr>
                  </w:pPr>
                  <w:r>
                    <w:rPr>
                      <w:b/>
                      <w:bCs/>
                      <w:szCs w:val="21"/>
                    </w:rPr>
                    <w:t>北</w:t>
                  </w:r>
                </w:p>
              </w:tc>
              <w:tc>
                <w:tcPr>
                  <w:tcW w:w="189" w:type="pct"/>
                  <w:tcBorders>
                    <w:tl2br w:val="nil"/>
                    <w:tr2bl w:val="nil"/>
                  </w:tcBorders>
                  <w:shd w:val="clear" w:color="auto" w:fill="auto"/>
                  <w:tcMar>
                    <w:top w:w="0" w:type="dxa"/>
                    <w:left w:w="0" w:type="dxa"/>
                    <w:bottom w:w="0" w:type="dxa"/>
                    <w:right w:w="0" w:type="dxa"/>
                  </w:tcMar>
                  <w:vAlign w:val="center"/>
                </w:tcPr>
                <w:p>
                  <w:pPr>
                    <w:jc w:val="center"/>
                    <w:rPr>
                      <w:b/>
                      <w:bCs/>
                      <w:szCs w:val="21"/>
                    </w:rPr>
                  </w:pPr>
                  <w:r>
                    <w:rPr>
                      <w:b/>
                      <w:bCs/>
                      <w:szCs w:val="21"/>
                    </w:rPr>
                    <w:t>东</w:t>
                  </w:r>
                </w:p>
              </w:tc>
              <w:tc>
                <w:tcPr>
                  <w:tcW w:w="189" w:type="pct"/>
                  <w:tcBorders>
                    <w:tl2br w:val="nil"/>
                    <w:tr2bl w:val="nil"/>
                  </w:tcBorders>
                  <w:shd w:val="clear" w:color="auto" w:fill="auto"/>
                  <w:tcMar>
                    <w:top w:w="0" w:type="dxa"/>
                    <w:left w:w="0" w:type="dxa"/>
                    <w:bottom w:w="0" w:type="dxa"/>
                    <w:right w:w="0" w:type="dxa"/>
                  </w:tcMar>
                  <w:vAlign w:val="center"/>
                </w:tcPr>
                <w:p>
                  <w:pPr>
                    <w:jc w:val="center"/>
                    <w:rPr>
                      <w:b/>
                      <w:bCs/>
                      <w:szCs w:val="21"/>
                    </w:rPr>
                  </w:pPr>
                  <w:r>
                    <w:rPr>
                      <w:b/>
                      <w:bCs/>
                      <w:szCs w:val="21"/>
                    </w:rPr>
                    <w:t>西</w:t>
                  </w:r>
                </w:p>
              </w:tc>
              <w:tc>
                <w:tcPr>
                  <w:tcW w:w="189" w:type="pct"/>
                  <w:tcBorders>
                    <w:tl2br w:val="nil"/>
                    <w:tr2bl w:val="nil"/>
                  </w:tcBorders>
                  <w:shd w:val="clear" w:color="auto" w:fill="auto"/>
                  <w:tcMar>
                    <w:top w:w="0" w:type="dxa"/>
                    <w:left w:w="0" w:type="dxa"/>
                    <w:bottom w:w="0" w:type="dxa"/>
                    <w:right w:w="0" w:type="dxa"/>
                  </w:tcMar>
                  <w:vAlign w:val="center"/>
                </w:tcPr>
                <w:p>
                  <w:pPr>
                    <w:jc w:val="center"/>
                    <w:rPr>
                      <w:b/>
                      <w:bCs/>
                      <w:szCs w:val="21"/>
                    </w:rPr>
                  </w:pPr>
                  <w:r>
                    <w:rPr>
                      <w:b/>
                      <w:bCs/>
                      <w:szCs w:val="21"/>
                    </w:rPr>
                    <w:t>南</w:t>
                  </w:r>
                </w:p>
              </w:tc>
              <w:tc>
                <w:tcPr>
                  <w:tcW w:w="233" w:type="pct"/>
                  <w:tcBorders>
                    <w:tl2br w:val="nil"/>
                    <w:tr2bl w:val="nil"/>
                  </w:tcBorders>
                  <w:shd w:val="clear" w:color="auto" w:fill="auto"/>
                  <w:tcMar>
                    <w:top w:w="0" w:type="dxa"/>
                    <w:left w:w="0" w:type="dxa"/>
                    <w:bottom w:w="0" w:type="dxa"/>
                    <w:right w:w="0" w:type="dxa"/>
                  </w:tcMar>
                  <w:vAlign w:val="center"/>
                </w:tcPr>
                <w:p>
                  <w:pPr>
                    <w:jc w:val="center"/>
                    <w:rPr>
                      <w:b/>
                      <w:bCs/>
                      <w:szCs w:val="21"/>
                    </w:rPr>
                  </w:pPr>
                  <w:r>
                    <w:rPr>
                      <w:b/>
                      <w:bCs/>
                      <w:szCs w:val="21"/>
                    </w:rPr>
                    <w:t>北</w:t>
                  </w:r>
                </w:p>
              </w:tc>
              <w:tc>
                <w:tcPr>
                  <w:tcW w:w="147" w:type="pct"/>
                  <w:vMerge w:val="continue"/>
                  <w:tcBorders>
                    <w:tl2br w:val="nil"/>
                    <w:tr2bl w:val="nil"/>
                  </w:tcBorders>
                  <w:shd w:val="clear" w:color="auto" w:fill="auto"/>
                  <w:tcMar>
                    <w:top w:w="0" w:type="dxa"/>
                    <w:left w:w="0" w:type="dxa"/>
                    <w:bottom w:w="0" w:type="dxa"/>
                    <w:right w:w="0" w:type="dxa"/>
                  </w:tcMar>
                  <w:vAlign w:val="center"/>
                </w:tcPr>
                <w:p>
                  <w:pPr>
                    <w:ind w:firstLine="420"/>
                    <w:jc w:val="center"/>
                    <w:rPr>
                      <w:b/>
                      <w:bCs/>
                      <w:szCs w:val="21"/>
                    </w:rPr>
                  </w:pPr>
                </w:p>
              </w:tc>
              <w:tc>
                <w:tcPr>
                  <w:tcW w:w="456" w:type="pct"/>
                  <w:vMerge w:val="continue"/>
                  <w:tcBorders>
                    <w:tl2br w:val="nil"/>
                    <w:tr2bl w:val="nil"/>
                  </w:tcBorders>
                  <w:shd w:val="clear" w:color="auto" w:fill="auto"/>
                  <w:tcMar>
                    <w:top w:w="0" w:type="dxa"/>
                    <w:left w:w="0" w:type="dxa"/>
                    <w:bottom w:w="0" w:type="dxa"/>
                    <w:right w:w="0" w:type="dxa"/>
                  </w:tcMar>
                  <w:vAlign w:val="center"/>
                </w:tcPr>
                <w:p>
                  <w:pPr>
                    <w:ind w:firstLine="420"/>
                    <w:jc w:val="center"/>
                    <w:rPr>
                      <w:b/>
                      <w:bCs/>
                      <w:szCs w:val="21"/>
                    </w:rPr>
                  </w:pPr>
                </w:p>
              </w:tc>
              <w:tc>
                <w:tcPr>
                  <w:tcW w:w="268" w:type="pct"/>
                  <w:tcBorders>
                    <w:tl2br w:val="nil"/>
                    <w:tr2bl w:val="nil"/>
                  </w:tcBorders>
                  <w:shd w:val="clear" w:color="auto" w:fill="auto"/>
                  <w:tcMar>
                    <w:top w:w="0" w:type="dxa"/>
                    <w:left w:w="0" w:type="dxa"/>
                    <w:bottom w:w="0" w:type="dxa"/>
                    <w:right w:w="0" w:type="dxa"/>
                  </w:tcMar>
                  <w:vAlign w:val="center"/>
                </w:tcPr>
                <w:p>
                  <w:pPr>
                    <w:jc w:val="center"/>
                    <w:rPr>
                      <w:b/>
                      <w:bCs/>
                      <w:szCs w:val="21"/>
                    </w:rPr>
                  </w:pPr>
                  <w:r>
                    <w:rPr>
                      <w:b/>
                      <w:bCs/>
                      <w:szCs w:val="21"/>
                    </w:rPr>
                    <w:t>东</w:t>
                  </w:r>
                </w:p>
              </w:tc>
              <w:tc>
                <w:tcPr>
                  <w:tcW w:w="210" w:type="pct"/>
                  <w:tcBorders>
                    <w:tl2br w:val="nil"/>
                    <w:tr2bl w:val="nil"/>
                  </w:tcBorders>
                  <w:shd w:val="clear" w:color="auto" w:fill="auto"/>
                  <w:tcMar>
                    <w:top w:w="0" w:type="dxa"/>
                    <w:left w:w="0" w:type="dxa"/>
                    <w:bottom w:w="0" w:type="dxa"/>
                    <w:right w:w="0" w:type="dxa"/>
                  </w:tcMar>
                  <w:vAlign w:val="center"/>
                </w:tcPr>
                <w:p>
                  <w:pPr>
                    <w:jc w:val="center"/>
                    <w:rPr>
                      <w:b/>
                      <w:bCs/>
                      <w:szCs w:val="21"/>
                    </w:rPr>
                  </w:pPr>
                  <w:r>
                    <w:rPr>
                      <w:b/>
                      <w:bCs/>
                      <w:szCs w:val="21"/>
                    </w:rPr>
                    <w:t>西</w:t>
                  </w:r>
                </w:p>
              </w:tc>
              <w:tc>
                <w:tcPr>
                  <w:tcW w:w="205" w:type="pct"/>
                  <w:tcBorders>
                    <w:tl2br w:val="nil"/>
                    <w:tr2bl w:val="nil"/>
                  </w:tcBorders>
                  <w:shd w:val="clear" w:color="auto" w:fill="auto"/>
                  <w:tcMar>
                    <w:top w:w="0" w:type="dxa"/>
                    <w:left w:w="0" w:type="dxa"/>
                    <w:bottom w:w="0" w:type="dxa"/>
                    <w:right w:w="0" w:type="dxa"/>
                  </w:tcMar>
                  <w:vAlign w:val="center"/>
                </w:tcPr>
                <w:p>
                  <w:pPr>
                    <w:jc w:val="center"/>
                    <w:rPr>
                      <w:b/>
                      <w:bCs/>
                      <w:szCs w:val="21"/>
                    </w:rPr>
                  </w:pPr>
                  <w:r>
                    <w:rPr>
                      <w:b/>
                      <w:bCs/>
                      <w:szCs w:val="21"/>
                    </w:rPr>
                    <w:t>南</w:t>
                  </w:r>
                </w:p>
              </w:tc>
              <w:tc>
                <w:tcPr>
                  <w:tcW w:w="207" w:type="pct"/>
                  <w:tcBorders>
                    <w:tl2br w:val="nil"/>
                    <w:tr2bl w:val="nil"/>
                  </w:tcBorders>
                  <w:shd w:val="clear" w:color="auto" w:fill="auto"/>
                  <w:tcMar>
                    <w:top w:w="0" w:type="dxa"/>
                    <w:left w:w="0" w:type="dxa"/>
                    <w:bottom w:w="0" w:type="dxa"/>
                    <w:right w:w="0" w:type="dxa"/>
                  </w:tcMar>
                  <w:vAlign w:val="center"/>
                </w:tcPr>
                <w:p>
                  <w:pPr>
                    <w:jc w:val="center"/>
                    <w:rPr>
                      <w:b/>
                      <w:bCs/>
                      <w:szCs w:val="21"/>
                    </w:rPr>
                  </w:pPr>
                  <w:r>
                    <w:rPr>
                      <w:b/>
                      <w:bCs/>
                      <w:szCs w:val="21"/>
                    </w:rPr>
                    <w:t>北</w:t>
                  </w:r>
                </w:p>
              </w:tc>
              <w:tc>
                <w:tcPr>
                  <w:tcW w:w="250" w:type="pct"/>
                  <w:tcBorders>
                    <w:tl2br w:val="nil"/>
                    <w:tr2bl w:val="nil"/>
                  </w:tcBorders>
                  <w:shd w:val="clear" w:color="auto" w:fill="auto"/>
                  <w:tcMar>
                    <w:top w:w="0" w:type="dxa"/>
                    <w:left w:w="0" w:type="dxa"/>
                    <w:bottom w:w="0" w:type="dxa"/>
                    <w:right w:w="0" w:type="dxa"/>
                  </w:tcMar>
                  <w:vAlign w:val="center"/>
                </w:tcPr>
                <w:p>
                  <w:pPr>
                    <w:jc w:val="center"/>
                    <w:rPr>
                      <w:b/>
                      <w:bCs/>
                      <w:szCs w:val="21"/>
                    </w:rPr>
                  </w:pPr>
                  <w:r>
                    <w:rPr>
                      <w:b/>
                      <w:bCs/>
                      <w:szCs w:val="21"/>
                    </w:rPr>
                    <w:t>建筑物外距离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c>
                <w:tcPr>
                  <w:tcW w:w="16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1</w:t>
                  </w:r>
                </w:p>
              </w:tc>
              <w:tc>
                <w:tcPr>
                  <w:tcW w:w="167" w:type="pct"/>
                  <w:vMerge w:val="restar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生产车间</w:t>
                  </w:r>
                </w:p>
              </w:tc>
              <w:tc>
                <w:tcPr>
                  <w:tcW w:w="274" w:type="pct"/>
                  <w:tcBorders>
                    <w:tl2br w:val="nil"/>
                    <w:tr2bl w:val="nil"/>
                  </w:tcBorders>
                  <w:shd w:val="clear" w:color="auto" w:fill="auto"/>
                  <w:tcMar>
                    <w:top w:w="0" w:type="dxa"/>
                    <w:left w:w="0" w:type="dxa"/>
                    <w:bottom w:w="0" w:type="dxa"/>
                    <w:right w:w="0" w:type="dxa"/>
                  </w:tcMa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电加热釜</w:t>
                  </w:r>
                </w:p>
              </w:tc>
              <w:tc>
                <w:tcPr>
                  <w:tcW w:w="252"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9台</w:t>
                  </w:r>
                </w:p>
              </w:tc>
              <w:tc>
                <w:tcPr>
                  <w:tcW w:w="242"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75</w:t>
                  </w:r>
                </w:p>
              </w:tc>
              <w:tc>
                <w:tcPr>
                  <w:tcW w:w="167" w:type="pct"/>
                  <w:vMerge w:val="restar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厂房隔声</w:t>
                  </w:r>
                </w:p>
              </w:tc>
              <w:tc>
                <w:tcPr>
                  <w:tcW w:w="148"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34</w:t>
                  </w:r>
                </w:p>
              </w:tc>
              <w:tc>
                <w:tcPr>
                  <w:tcW w:w="15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31</w:t>
                  </w:r>
                </w:p>
              </w:tc>
              <w:tc>
                <w:tcPr>
                  <w:tcW w:w="233"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69</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7</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31</w:t>
                  </w:r>
                </w:p>
              </w:tc>
              <w:tc>
                <w:tcPr>
                  <w:tcW w:w="19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33</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58.09</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59.43</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45.17</w:t>
                  </w:r>
                </w:p>
              </w:tc>
              <w:tc>
                <w:tcPr>
                  <w:tcW w:w="233"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44.62</w:t>
                  </w:r>
                </w:p>
              </w:tc>
              <w:tc>
                <w:tcPr>
                  <w:tcW w:w="147" w:type="pct"/>
                  <w:vMerge w:val="restar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全天</w:t>
                  </w:r>
                </w:p>
              </w:tc>
              <w:tc>
                <w:tcPr>
                  <w:tcW w:w="456" w:type="pct"/>
                  <w:vMerge w:val="restar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30</w:t>
                  </w:r>
                </w:p>
              </w:tc>
              <w:tc>
                <w:tcPr>
                  <w:tcW w:w="268"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28.09</w:t>
                  </w:r>
                </w:p>
              </w:tc>
              <w:tc>
                <w:tcPr>
                  <w:tcW w:w="210"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29.43</w:t>
                  </w:r>
                </w:p>
              </w:tc>
              <w:tc>
                <w:tcPr>
                  <w:tcW w:w="205"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15.17</w:t>
                  </w:r>
                </w:p>
              </w:tc>
              <w:tc>
                <w:tcPr>
                  <w:tcW w:w="20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14.62</w:t>
                  </w:r>
                </w:p>
              </w:tc>
              <w:tc>
                <w:tcPr>
                  <w:tcW w:w="250"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90" w:hRule="atLeast"/>
              </w:trPr>
              <w:tc>
                <w:tcPr>
                  <w:tcW w:w="16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2</w:t>
                  </w:r>
                </w:p>
              </w:tc>
              <w:tc>
                <w:tcPr>
                  <w:tcW w:w="167"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274" w:type="pct"/>
                  <w:tcBorders>
                    <w:tl2br w:val="nil"/>
                    <w:tr2bl w:val="nil"/>
                  </w:tcBorders>
                  <w:shd w:val="clear" w:color="auto" w:fill="auto"/>
                  <w:tcMar>
                    <w:top w:w="0" w:type="dxa"/>
                    <w:left w:w="0" w:type="dxa"/>
                    <w:bottom w:w="0" w:type="dxa"/>
                    <w:right w:w="0" w:type="dxa"/>
                  </w:tcMa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结晶机</w:t>
                  </w:r>
                </w:p>
              </w:tc>
              <w:tc>
                <w:tcPr>
                  <w:tcW w:w="252"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5台</w:t>
                  </w:r>
                </w:p>
              </w:tc>
              <w:tc>
                <w:tcPr>
                  <w:tcW w:w="242"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75</w:t>
                  </w:r>
                </w:p>
              </w:tc>
              <w:tc>
                <w:tcPr>
                  <w:tcW w:w="167"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148"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34</w:t>
                  </w:r>
                </w:p>
              </w:tc>
              <w:tc>
                <w:tcPr>
                  <w:tcW w:w="15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41</w:t>
                  </w:r>
                </w:p>
              </w:tc>
              <w:tc>
                <w:tcPr>
                  <w:tcW w:w="233"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69</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7</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41</w:t>
                  </w:r>
                </w:p>
              </w:tc>
              <w:tc>
                <w:tcPr>
                  <w:tcW w:w="19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23</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63.09</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64.4</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47.74</w:t>
                  </w:r>
                </w:p>
              </w:tc>
              <w:tc>
                <w:tcPr>
                  <w:tcW w:w="233"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52.76</w:t>
                  </w:r>
                </w:p>
              </w:tc>
              <w:tc>
                <w:tcPr>
                  <w:tcW w:w="147"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456"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268"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33.09</w:t>
                  </w:r>
                </w:p>
              </w:tc>
              <w:tc>
                <w:tcPr>
                  <w:tcW w:w="210"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34.4</w:t>
                  </w:r>
                </w:p>
              </w:tc>
              <w:tc>
                <w:tcPr>
                  <w:tcW w:w="205"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17.74</w:t>
                  </w:r>
                </w:p>
              </w:tc>
              <w:tc>
                <w:tcPr>
                  <w:tcW w:w="20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22.76</w:t>
                  </w:r>
                </w:p>
              </w:tc>
              <w:tc>
                <w:tcPr>
                  <w:tcW w:w="250"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c>
                <w:tcPr>
                  <w:tcW w:w="16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3</w:t>
                  </w:r>
                </w:p>
              </w:tc>
              <w:tc>
                <w:tcPr>
                  <w:tcW w:w="167"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274" w:type="pct"/>
                  <w:tcBorders>
                    <w:tl2br w:val="nil"/>
                    <w:tr2bl w:val="nil"/>
                  </w:tcBorders>
                  <w:shd w:val="clear" w:color="auto" w:fill="auto"/>
                  <w:tcMar>
                    <w:top w:w="0" w:type="dxa"/>
                    <w:left w:w="0" w:type="dxa"/>
                    <w:bottom w:w="0" w:type="dxa"/>
                    <w:right w:w="0" w:type="dxa"/>
                  </w:tcMar>
                </w:tcPr>
                <w:p>
                  <w:pPr>
                    <w:pStyle w:val="34"/>
                    <w:adjustRightInd w:val="0"/>
                    <w:snapToGrid w:val="0"/>
                    <w:spacing w:before="0" w:beforeAutospacing="0" w:after="0" w:afterAutospacing="0"/>
                    <w:jc w:val="center"/>
                    <w:rPr>
                      <w:rFonts w:hint="eastAsia" w:ascii="Times New Roman" w:hAnsi="Times New Roman" w:eastAsia="宋体"/>
                      <w:kern w:val="2"/>
                      <w:sz w:val="21"/>
                      <w:szCs w:val="21"/>
                      <w:lang w:eastAsia="zh-CN"/>
                    </w:rPr>
                  </w:pPr>
                  <w:r>
                    <w:rPr>
                      <w:rFonts w:hint="eastAsia" w:ascii="Times New Roman" w:hAnsi="Times New Roman"/>
                      <w:kern w:val="2"/>
                      <w:sz w:val="21"/>
                      <w:szCs w:val="21"/>
                      <w:lang w:eastAsia="zh-CN"/>
                    </w:rPr>
                    <w:t>混合搅拌釜</w:t>
                  </w:r>
                </w:p>
              </w:tc>
              <w:tc>
                <w:tcPr>
                  <w:tcW w:w="252"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3台</w:t>
                  </w:r>
                </w:p>
              </w:tc>
              <w:tc>
                <w:tcPr>
                  <w:tcW w:w="242"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8</w:t>
                  </w:r>
                  <w:r>
                    <w:rPr>
                      <w:rFonts w:hint="eastAsia" w:ascii="Times New Roman" w:hAnsi="Times New Roman"/>
                      <w:kern w:val="2"/>
                      <w:sz w:val="21"/>
                      <w:szCs w:val="21"/>
                    </w:rPr>
                    <w:t>0</w:t>
                  </w:r>
                </w:p>
              </w:tc>
              <w:tc>
                <w:tcPr>
                  <w:tcW w:w="167"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148"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40</w:t>
                  </w:r>
                </w:p>
              </w:tc>
              <w:tc>
                <w:tcPr>
                  <w:tcW w:w="15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45</w:t>
                  </w:r>
                </w:p>
              </w:tc>
              <w:tc>
                <w:tcPr>
                  <w:tcW w:w="233"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69</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2</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11</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45</w:t>
                  </w:r>
                </w:p>
              </w:tc>
              <w:tc>
                <w:tcPr>
                  <w:tcW w:w="19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19</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67.95</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60.91</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46.93</w:t>
                  </w:r>
                </w:p>
              </w:tc>
              <w:tc>
                <w:tcPr>
                  <w:tcW w:w="233"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54.42</w:t>
                  </w:r>
                </w:p>
              </w:tc>
              <w:tc>
                <w:tcPr>
                  <w:tcW w:w="147"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456"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268"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37.95</w:t>
                  </w:r>
                </w:p>
              </w:tc>
              <w:tc>
                <w:tcPr>
                  <w:tcW w:w="210"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30.91</w:t>
                  </w:r>
                </w:p>
              </w:tc>
              <w:tc>
                <w:tcPr>
                  <w:tcW w:w="205"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16.93</w:t>
                  </w:r>
                </w:p>
              </w:tc>
              <w:tc>
                <w:tcPr>
                  <w:tcW w:w="20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24.42</w:t>
                  </w:r>
                </w:p>
              </w:tc>
              <w:tc>
                <w:tcPr>
                  <w:tcW w:w="250"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c>
                <w:tcPr>
                  <w:tcW w:w="16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4</w:t>
                  </w:r>
                </w:p>
              </w:tc>
              <w:tc>
                <w:tcPr>
                  <w:tcW w:w="167"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274" w:type="pct"/>
                  <w:tcBorders>
                    <w:tl2br w:val="nil"/>
                    <w:tr2bl w:val="nil"/>
                  </w:tcBorders>
                  <w:shd w:val="clear" w:color="auto" w:fill="auto"/>
                  <w:tcMar>
                    <w:top w:w="0" w:type="dxa"/>
                    <w:left w:w="0" w:type="dxa"/>
                    <w:bottom w:w="0" w:type="dxa"/>
                    <w:right w:w="0" w:type="dxa"/>
                  </w:tcMa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提升机</w:t>
                  </w:r>
                </w:p>
              </w:tc>
              <w:tc>
                <w:tcPr>
                  <w:tcW w:w="252"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2台</w:t>
                  </w:r>
                </w:p>
              </w:tc>
              <w:tc>
                <w:tcPr>
                  <w:tcW w:w="242"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70</w:t>
                  </w:r>
                </w:p>
              </w:tc>
              <w:tc>
                <w:tcPr>
                  <w:tcW w:w="167"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148"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38</w:t>
                  </w:r>
                </w:p>
              </w:tc>
              <w:tc>
                <w:tcPr>
                  <w:tcW w:w="15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50</w:t>
                  </w:r>
                </w:p>
              </w:tc>
              <w:tc>
                <w:tcPr>
                  <w:tcW w:w="233"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69</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2.6</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10.4</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50</w:t>
                  </w:r>
                </w:p>
              </w:tc>
              <w:tc>
                <w:tcPr>
                  <w:tcW w:w="19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14</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61.7</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49.65</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36.02</w:t>
                  </w:r>
                </w:p>
              </w:tc>
              <w:tc>
                <w:tcPr>
                  <w:tcW w:w="233"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47.07</w:t>
                  </w:r>
                </w:p>
              </w:tc>
              <w:tc>
                <w:tcPr>
                  <w:tcW w:w="147"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456"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268"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31.7</w:t>
                  </w:r>
                </w:p>
              </w:tc>
              <w:tc>
                <w:tcPr>
                  <w:tcW w:w="210"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19.65</w:t>
                  </w:r>
                </w:p>
              </w:tc>
              <w:tc>
                <w:tcPr>
                  <w:tcW w:w="205"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6.02</w:t>
                  </w:r>
                </w:p>
              </w:tc>
              <w:tc>
                <w:tcPr>
                  <w:tcW w:w="20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17.07</w:t>
                  </w:r>
                </w:p>
              </w:tc>
              <w:tc>
                <w:tcPr>
                  <w:tcW w:w="250"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90" w:hRule="atLeast"/>
              </w:trPr>
              <w:tc>
                <w:tcPr>
                  <w:tcW w:w="16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5</w:t>
                  </w:r>
                </w:p>
              </w:tc>
              <w:tc>
                <w:tcPr>
                  <w:tcW w:w="167"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274" w:type="pct"/>
                  <w:tcBorders>
                    <w:tl2br w:val="nil"/>
                    <w:tr2bl w:val="nil"/>
                  </w:tcBorders>
                  <w:shd w:val="clear" w:color="auto" w:fill="auto"/>
                  <w:tcMar>
                    <w:top w:w="0" w:type="dxa"/>
                    <w:left w:w="0" w:type="dxa"/>
                    <w:bottom w:w="0" w:type="dxa"/>
                    <w:right w:w="0" w:type="dxa"/>
                  </w:tcMar>
                </w:tcPr>
                <w:p>
                  <w:pPr>
                    <w:pStyle w:val="34"/>
                    <w:adjustRightInd w:val="0"/>
                    <w:snapToGrid w:val="0"/>
                    <w:spacing w:before="0" w:beforeAutospacing="0" w:after="0" w:afterAutospacing="0"/>
                    <w:jc w:val="center"/>
                    <w:rPr>
                      <w:rFonts w:hint="eastAsia" w:ascii="Times New Roman" w:hAnsi="Times New Roman" w:eastAsia="宋体"/>
                      <w:kern w:val="2"/>
                      <w:sz w:val="21"/>
                      <w:szCs w:val="21"/>
                      <w:lang w:eastAsia="zh-CN"/>
                    </w:rPr>
                  </w:pPr>
                  <w:r>
                    <w:rPr>
                      <w:rFonts w:hint="eastAsia" w:ascii="Times New Roman" w:hAnsi="Times New Roman"/>
                      <w:kern w:val="2"/>
                      <w:sz w:val="21"/>
                      <w:szCs w:val="21"/>
                      <w:lang w:eastAsia="zh-CN"/>
                    </w:rPr>
                    <w:t>粉碎机</w:t>
                  </w:r>
                </w:p>
              </w:tc>
              <w:tc>
                <w:tcPr>
                  <w:tcW w:w="252"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3台</w:t>
                  </w:r>
                </w:p>
              </w:tc>
              <w:tc>
                <w:tcPr>
                  <w:tcW w:w="242"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85</w:t>
                  </w:r>
                </w:p>
              </w:tc>
              <w:tc>
                <w:tcPr>
                  <w:tcW w:w="167"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148"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31</w:t>
                  </w:r>
                </w:p>
              </w:tc>
              <w:tc>
                <w:tcPr>
                  <w:tcW w:w="15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51.5</w:t>
                  </w:r>
                </w:p>
              </w:tc>
              <w:tc>
                <w:tcPr>
                  <w:tcW w:w="233"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69</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9.5</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3.5</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51.5</w:t>
                  </w:r>
                </w:p>
              </w:tc>
              <w:tc>
                <w:tcPr>
                  <w:tcW w:w="19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12.5</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69.43</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68.09</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50.76</w:t>
                  </w:r>
                </w:p>
              </w:tc>
              <w:tc>
                <w:tcPr>
                  <w:tcW w:w="233"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63.06</w:t>
                  </w:r>
                </w:p>
              </w:tc>
              <w:tc>
                <w:tcPr>
                  <w:tcW w:w="147"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456"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268"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39.43</w:t>
                  </w:r>
                </w:p>
              </w:tc>
              <w:tc>
                <w:tcPr>
                  <w:tcW w:w="210"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38.09</w:t>
                  </w:r>
                </w:p>
              </w:tc>
              <w:tc>
                <w:tcPr>
                  <w:tcW w:w="205"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20.76</w:t>
                  </w:r>
                </w:p>
              </w:tc>
              <w:tc>
                <w:tcPr>
                  <w:tcW w:w="20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33.06</w:t>
                  </w:r>
                </w:p>
              </w:tc>
              <w:tc>
                <w:tcPr>
                  <w:tcW w:w="250"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52" w:hRule="atLeast"/>
              </w:trPr>
              <w:tc>
                <w:tcPr>
                  <w:tcW w:w="16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6</w:t>
                  </w:r>
                </w:p>
              </w:tc>
              <w:tc>
                <w:tcPr>
                  <w:tcW w:w="167"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274" w:type="pct"/>
                  <w:tcBorders>
                    <w:tl2br w:val="nil"/>
                    <w:tr2bl w:val="nil"/>
                  </w:tcBorders>
                  <w:shd w:val="clear" w:color="auto" w:fill="auto"/>
                  <w:tcMar>
                    <w:top w:w="0" w:type="dxa"/>
                    <w:left w:w="0" w:type="dxa"/>
                    <w:bottom w:w="0" w:type="dxa"/>
                    <w:right w:w="0" w:type="dxa"/>
                  </w:tcMa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布袋除尘器风机</w:t>
                  </w:r>
                </w:p>
              </w:tc>
              <w:tc>
                <w:tcPr>
                  <w:tcW w:w="252"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1</w:t>
                  </w:r>
                  <w:r>
                    <w:rPr>
                      <w:rFonts w:ascii="Times New Roman" w:hAnsi="Times New Roman"/>
                      <w:kern w:val="2"/>
                      <w:sz w:val="21"/>
                      <w:szCs w:val="21"/>
                    </w:rPr>
                    <w:t>台</w:t>
                  </w:r>
                </w:p>
              </w:tc>
              <w:tc>
                <w:tcPr>
                  <w:tcW w:w="242"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75</w:t>
                  </w:r>
                </w:p>
              </w:tc>
              <w:tc>
                <w:tcPr>
                  <w:tcW w:w="167" w:type="pct"/>
                  <w:vMerge w:val="restar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148"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37.5</w:t>
                  </w:r>
                </w:p>
              </w:tc>
              <w:tc>
                <w:tcPr>
                  <w:tcW w:w="15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56</w:t>
                  </w:r>
                </w:p>
              </w:tc>
              <w:tc>
                <w:tcPr>
                  <w:tcW w:w="233"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69</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2.2</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10.8</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56</w:t>
                  </w:r>
                </w:p>
              </w:tc>
              <w:tc>
                <w:tcPr>
                  <w:tcW w:w="19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8</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68.15</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54.33</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40.03</w:t>
                  </w:r>
                </w:p>
              </w:tc>
              <w:tc>
                <w:tcPr>
                  <w:tcW w:w="233"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56.93</w:t>
                  </w:r>
                </w:p>
              </w:tc>
              <w:tc>
                <w:tcPr>
                  <w:tcW w:w="147"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456"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268"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43.15</w:t>
                  </w:r>
                </w:p>
              </w:tc>
              <w:tc>
                <w:tcPr>
                  <w:tcW w:w="210"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29.33</w:t>
                  </w:r>
                </w:p>
              </w:tc>
              <w:tc>
                <w:tcPr>
                  <w:tcW w:w="205"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15.03</w:t>
                  </w:r>
                </w:p>
              </w:tc>
              <w:tc>
                <w:tcPr>
                  <w:tcW w:w="20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31.93</w:t>
                  </w:r>
                </w:p>
              </w:tc>
              <w:tc>
                <w:tcPr>
                  <w:tcW w:w="250"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c>
                <w:tcPr>
                  <w:tcW w:w="16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7</w:t>
                  </w:r>
                </w:p>
              </w:tc>
              <w:tc>
                <w:tcPr>
                  <w:tcW w:w="167" w:type="pct"/>
                  <w:vMerge w:val="restar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包装车间</w:t>
                  </w:r>
                </w:p>
              </w:tc>
              <w:tc>
                <w:tcPr>
                  <w:tcW w:w="274" w:type="pct"/>
                  <w:tcBorders>
                    <w:tl2br w:val="nil"/>
                    <w:tr2bl w:val="nil"/>
                  </w:tcBorders>
                  <w:shd w:val="clear" w:color="auto" w:fill="auto"/>
                  <w:tcMar>
                    <w:top w:w="0" w:type="dxa"/>
                    <w:left w:w="0" w:type="dxa"/>
                    <w:bottom w:w="0" w:type="dxa"/>
                    <w:right w:w="0" w:type="dxa"/>
                  </w:tcMa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包装机</w:t>
                  </w:r>
                </w:p>
              </w:tc>
              <w:tc>
                <w:tcPr>
                  <w:tcW w:w="252"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1台</w:t>
                  </w:r>
                </w:p>
              </w:tc>
              <w:tc>
                <w:tcPr>
                  <w:tcW w:w="242"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75</w:t>
                  </w:r>
                </w:p>
              </w:tc>
              <w:tc>
                <w:tcPr>
                  <w:tcW w:w="167"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148"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42.7</w:t>
                  </w:r>
                </w:p>
              </w:tc>
              <w:tc>
                <w:tcPr>
                  <w:tcW w:w="15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57.5</w:t>
                  </w:r>
                </w:p>
              </w:tc>
              <w:tc>
                <w:tcPr>
                  <w:tcW w:w="233"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69</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7</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3</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57.5</w:t>
                  </w:r>
                </w:p>
              </w:tc>
              <w:tc>
                <w:tcPr>
                  <w:tcW w:w="19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6.5</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58.09</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65.45</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39.8</w:t>
                  </w:r>
                </w:p>
              </w:tc>
              <w:tc>
                <w:tcPr>
                  <w:tcW w:w="233"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58.74</w:t>
                  </w:r>
                </w:p>
              </w:tc>
              <w:tc>
                <w:tcPr>
                  <w:tcW w:w="147"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456"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268"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28.09</w:t>
                  </w:r>
                </w:p>
              </w:tc>
              <w:tc>
                <w:tcPr>
                  <w:tcW w:w="210"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35.45</w:t>
                  </w:r>
                </w:p>
              </w:tc>
              <w:tc>
                <w:tcPr>
                  <w:tcW w:w="205"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9.8</w:t>
                  </w:r>
                </w:p>
              </w:tc>
              <w:tc>
                <w:tcPr>
                  <w:tcW w:w="20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28.74</w:t>
                  </w:r>
                </w:p>
              </w:tc>
              <w:tc>
                <w:tcPr>
                  <w:tcW w:w="250"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869" w:hRule="atLeast"/>
              </w:trPr>
              <w:tc>
                <w:tcPr>
                  <w:tcW w:w="16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8</w:t>
                  </w:r>
                </w:p>
              </w:tc>
              <w:tc>
                <w:tcPr>
                  <w:tcW w:w="167"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274" w:type="pct"/>
                  <w:tcBorders>
                    <w:tl2br w:val="nil"/>
                    <w:tr2bl w:val="nil"/>
                  </w:tcBorders>
                  <w:shd w:val="clear" w:color="auto" w:fill="auto"/>
                  <w:tcMar>
                    <w:top w:w="0" w:type="dxa"/>
                    <w:left w:w="0" w:type="dxa"/>
                    <w:bottom w:w="0" w:type="dxa"/>
                    <w:right w:w="0" w:type="dxa"/>
                  </w:tcMa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立柱码垛机</w:t>
                  </w:r>
                </w:p>
              </w:tc>
              <w:tc>
                <w:tcPr>
                  <w:tcW w:w="252"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1台</w:t>
                  </w:r>
                </w:p>
              </w:tc>
              <w:tc>
                <w:tcPr>
                  <w:tcW w:w="242"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85</w:t>
                  </w:r>
                </w:p>
              </w:tc>
              <w:tc>
                <w:tcPr>
                  <w:tcW w:w="167"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148"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46.8</w:t>
                  </w:r>
                </w:p>
              </w:tc>
              <w:tc>
                <w:tcPr>
                  <w:tcW w:w="15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52.7</w:t>
                  </w:r>
                </w:p>
              </w:tc>
              <w:tc>
                <w:tcPr>
                  <w:tcW w:w="233"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69</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3.8</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6.2</w:t>
                  </w:r>
                </w:p>
              </w:tc>
              <w:tc>
                <w:tcPr>
                  <w:tcW w:w="14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52.7</w:t>
                  </w:r>
                </w:p>
              </w:tc>
              <w:tc>
                <w:tcPr>
                  <w:tcW w:w="19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11.3</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68.4</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64.15</w:t>
                  </w:r>
                </w:p>
              </w:tc>
              <w:tc>
                <w:tcPr>
                  <w:tcW w:w="189"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45.56</w:t>
                  </w:r>
                </w:p>
              </w:tc>
              <w:tc>
                <w:tcPr>
                  <w:tcW w:w="233"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58.93</w:t>
                  </w:r>
                </w:p>
              </w:tc>
              <w:tc>
                <w:tcPr>
                  <w:tcW w:w="147"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456" w:type="pct"/>
                  <w:vMerge w:val="continue"/>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268"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38.4</w:t>
                  </w:r>
                </w:p>
              </w:tc>
              <w:tc>
                <w:tcPr>
                  <w:tcW w:w="210"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34.15</w:t>
                  </w:r>
                </w:p>
              </w:tc>
              <w:tc>
                <w:tcPr>
                  <w:tcW w:w="205"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15.56</w:t>
                  </w:r>
                </w:p>
              </w:tc>
              <w:tc>
                <w:tcPr>
                  <w:tcW w:w="20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hint="eastAsia" w:ascii="Times New Roman" w:hAnsi="Times New Roman"/>
                      <w:kern w:val="2"/>
                      <w:sz w:val="21"/>
                      <w:szCs w:val="21"/>
                    </w:rPr>
                  </w:pPr>
                  <w:r>
                    <w:rPr>
                      <w:rFonts w:hint="eastAsia" w:ascii="Times New Roman" w:hAnsi="Times New Roman"/>
                      <w:kern w:val="2"/>
                      <w:sz w:val="21"/>
                      <w:szCs w:val="21"/>
                    </w:rPr>
                    <w:t>28.93</w:t>
                  </w:r>
                </w:p>
              </w:tc>
              <w:tc>
                <w:tcPr>
                  <w:tcW w:w="250"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c>
                <w:tcPr>
                  <w:tcW w:w="3858" w:type="pct"/>
                  <w:gridSpan w:val="19"/>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总计</w:t>
                  </w:r>
                </w:p>
              </w:tc>
              <w:tc>
                <w:tcPr>
                  <w:tcW w:w="268"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48.92</w:t>
                  </w:r>
                </w:p>
              </w:tc>
              <w:tc>
                <w:tcPr>
                  <w:tcW w:w="210"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47.1</w:t>
                  </w:r>
                </w:p>
              </w:tc>
              <w:tc>
                <w:tcPr>
                  <w:tcW w:w="205"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30.66</w:t>
                  </w:r>
                </w:p>
              </w:tc>
              <w:tc>
                <w:tcPr>
                  <w:tcW w:w="207"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40.1</w:t>
                  </w:r>
                </w:p>
              </w:tc>
              <w:tc>
                <w:tcPr>
                  <w:tcW w:w="250" w:type="pct"/>
                  <w:tcBorders>
                    <w:tl2br w:val="nil"/>
                    <w:tr2bl w:val="nil"/>
                  </w:tcBorders>
                  <w:shd w:val="clear" w:color="auto" w:fill="auto"/>
                  <w:tcMar>
                    <w:top w:w="0" w:type="dxa"/>
                    <w:left w:w="0" w:type="dxa"/>
                    <w:bottom w:w="0" w:type="dxa"/>
                    <w:right w:w="0" w:type="dxa"/>
                  </w:tcMar>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r>
          </w:tbl>
          <w:p>
            <w:pPr>
              <w:pStyle w:val="295"/>
              <w:numPr>
                <w:ilvl w:val="0"/>
                <w:numId w:val="0"/>
              </w:numPr>
              <w:rPr>
                <w:rFonts w:hint="default"/>
                <w:color w:val="auto"/>
              </w:rPr>
            </w:pPr>
          </w:p>
          <w:p>
            <w:pPr>
              <w:spacing w:line="360" w:lineRule="auto"/>
              <w:ind w:firstLine="420" w:firstLineChars="200"/>
            </w:pPr>
            <w:r>
              <w:t>注：①表中坐标以厂区厂界最</w:t>
            </w:r>
            <w:r>
              <w:rPr>
                <w:rFonts w:hint="eastAsia"/>
              </w:rPr>
              <w:t>西</w:t>
            </w:r>
            <w:r>
              <w:t>南角（118.054°E，36.733°N）为坐标原点，正东向为X轴正方向，正北向为Y轴正方向，Z为地面高程；②电加热釜、结晶机、粉碎机、提升机和混合搅拌釜数量较多，将其按照点声源组评价，用处在点声源组的中部等效点声源来描述。</w:t>
            </w:r>
          </w:p>
          <w:p>
            <w:pPr>
              <w:jc w:val="center"/>
              <w:rPr>
                <w:b/>
                <w:bCs/>
                <w:color w:val="0000FF"/>
                <w:szCs w:val="21"/>
              </w:rPr>
            </w:pPr>
            <w:r>
              <w:rPr>
                <w:b/>
                <w:bCs/>
                <w:color w:val="0000FF"/>
                <w:szCs w:val="21"/>
              </w:rPr>
              <w:t>表4-</w:t>
            </w:r>
            <w:r>
              <w:rPr>
                <w:rFonts w:hint="eastAsia"/>
                <w:b/>
                <w:bCs/>
                <w:color w:val="0000FF"/>
                <w:szCs w:val="21"/>
              </w:rPr>
              <w:t>9</w:t>
            </w:r>
            <w:r>
              <w:rPr>
                <w:b/>
                <w:bCs/>
                <w:color w:val="0000FF"/>
                <w:szCs w:val="21"/>
              </w:rPr>
              <w:t>各噪声源到厂界距离一览表</w:t>
            </w:r>
          </w:p>
          <w:p>
            <w:pPr>
              <w:ind w:firstLine="420"/>
              <w:jc w:val="center"/>
              <w:rPr>
                <w:b/>
                <w:bCs/>
                <w:szCs w:val="21"/>
              </w:rPr>
            </w:pPr>
          </w:p>
          <w:tbl>
            <w:tblPr>
              <w:tblStyle w:val="4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07"/>
              <w:gridCol w:w="1325"/>
              <w:gridCol w:w="1325"/>
              <w:gridCol w:w="1327"/>
              <w:gridCol w:w="1337"/>
              <w:gridCol w:w="1327"/>
              <w:gridCol w:w="1326"/>
              <w:gridCol w:w="1326"/>
              <w:gridCol w:w="13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60" w:type="pct"/>
                  <w:vMerge w:val="restart"/>
                  <w:tcBorders>
                    <w:tl2br w:val="nil"/>
                    <w:tr2bl w:val="nil"/>
                  </w:tcBorders>
                  <w:vAlign w:val="center"/>
                </w:tcPr>
                <w:p>
                  <w:pPr>
                    <w:jc w:val="center"/>
                    <w:rPr>
                      <w:b/>
                      <w:bCs/>
                      <w:szCs w:val="21"/>
                    </w:rPr>
                  </w:pPr>
                  <w:r>
                    <w:rPr>
                      <w:b/>
                      <w:bCs/>
                      <w:szCs w:val="21"/>
                    </w:rPr>
                    <w:t>噪声源</w:t>
                  </w:r>
                </w:p>
              </w:tc>
              <w:tc>
                <w:tcPr>
                  <w:tcW w:w="2118" w:type="pct"/>
                  <w:gridSpan w:val="4"/>
                  <w:tcBorders>
                    <w:tl2br w:val="nil"/>
                    <w:tr2bl w:val="nil"/>
                  </w:tcBorders>
                  <w:vAlign w:val="center"/>
                </w:tcPr>
                <w:p>
                  <w:pPr>
                    <w:jc w:val="center"/>
                    <w:rPr>
                      <w:b/>
                      <w:bCs/>
                      <w:szCs w:val="21"/>
                    </w:rPr>
                  </w:pPr>
                  <w:r>
                    <w:rPr>
                      <w:b/>
                      <w:bCs/>
                      <w:szCs w:val="21"/>
                    </w:rPr>
                    <w:t>距厂界距离/m</w:t>
                  </w:r>
                </w:p>
              </w:tc>
              <w:tc>
                <w:tcPr>
                  <w:tcW w:w="2120" w:type="pct"/>
                  <w:gridSpan w:val="4"/>
                  <w:tcBorders>
                    <w:tl2br w:val="nil"/>
                    <w:tr2bl w:val="nil"/>
                  </w:tcBorders>
                  <w:vAlign w:val="center"/>
                </w:tcPr>
                <w:p>
                  <w:pPr>
                    <w:jc w:val="center"/>
                    <w:rPr>
                      <w:b/>
                      <w:bCs/>
                      <w:szCs w:val="21"/>
                    </w:rPr>
                  </w:pPr>
                  <w:r>
                    <w:rPr>
                      <w:rFonts w:hint="eastAsia"/>
                      <w:b/>
                      <w:bCs/>
                      <w:szCs w:val="21"/>
                    </w:rPr>
                    <w:t>厂界声级/dB（A）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60" w:type="pct"/>
                  <w:vMerge w:val="continue"/>
                  <w:tcBorders>
                    <w:tl2br w:val="nil"/>
                    <w:tr2bl w:val="nil"/>
                  </w:tcBorders>
                  <w:vAlign w:val="center"/>
                </w:tcPr>
                <w:p>
                  <w:pPr>
                    <w:ind w:firstLine="420"/>
                    <w:jc w:val="center"/>
                    <w:rPr>
                      <w:b/>
                      <w:bCs/>
                      <w:szCs w:val="21"/>
                    </w:rPr>
                  </w:pPr>
                </w:p>
              </w:tc>
              <w:tc>
                <w:tcPr>
                  <w:tcW w:w="528" w:type="pct"/>
                  <w:tcBorders>
                    <w:tl2br w:val="nil"/>
                    <w:tr2bl w:val="nil"/>
                  </w:tcBorders>
                  <w:vAlign w:val="center"/>
                </w:tcPr>
                <w:p>
                  <w:pPr>
                    <w:jc w:val="center"/>
                    <w:rPr>
                      <w:b/>
                      <w:bCs/>
                      <w:szCs w:val="21"/>
                    </w:rPr>
                  </w:pPr>
                  <w:r>
                    <w:rPr>
                      <w:b/>
                      <w:bCs/>
                      <w:szCs w:val="21"/>
                    </w:rPr>
                    <w:t>东</w:t>
                  </w:r>
                </w:p>
              </w:tc>
              <w:tc>
                <w:tcPr>
                  <w:tcW w:w="528" w:type="pct"/>
                  <w:tcBorders>
                    <w:tl2br w:val="nil"/>
                    <w:tr2bl w:val="nil"/>
                  </w:tcBorders>
                  <w:vAlign w:val="center"/>
                </w:tcPr>
                <w:p>
                  <w:pPr>
                    <w:jc w:val="center"/>
                    <w:rPr>
                      <w:b/>
                      <w:bCs/>
                      <w:szCs w:val="21"/>
                    </w:rPr>
                  </w:pPr>
                  <w:r>
                    <w:rPr>
                      <w:b/>
                      <w:bCs/>
                      <w:szCs w:val="21"/>
                    </w:rPr>
                    <w:t>南</w:t>
                  </w:r>
                </w:p>
              </w:tc>
              <w:tc>
                <w:tcPr>
                  <w:tcW w:w="529" w:type="pct"/>
                  <w:tcBorders>
                    <w:tl2br w:val="nil"/>
                    <w:tr2bl w:val="nil"/>
                  </w:tcBorders>
                  <w:vAlign w:val="center"/>
                </w:tcPr>
                <w:p>
                  <w:pPr>
                    <w:jc w:val="center"/>
                    <w:rPr>
                      <w:b/>
                      <w:bCs/>
                      <w:szCs w:val="21"/>
                    </w:rPr>
                  </w:pPr>
                  <w:r>
                    <w:rPr>
                      <w:b/>
                      <w:bCs/>
                      <w:szCs w:val="21"/>
                    </w:rPr>
                    <w:t>西</w:t>
                  </w:r>
                </w:p>
              </w:tc>
              <w:tc>
                <w:tcPr>
                  <w:tcW w:w="531" w:type="pct"/>
                  <w:tcBorders>
                    <w:tl2br w:val="nil"/>
                    <w:tr2bl w:val="nil"/>
                  </w:tcBorders>
                  <w:vAlign w:val="center"/>
                </w:tcPr>
                <w:p>
                  <w:pPr>
                    <w:jc w:val="center"/>
                    <w:rPr>
                      <w:b/>
                      <w:bCs/>
                      <w:szCs w:val="21"/>
                    </w:rPr>
                  </w:pPr>
                  <w:r>
                    <w:rPr>
                      <w:b/>
                      <w:bCs/>
                      <w:szCs w:val="21"/>
                    </w:rPr>
                    <w:t>北</w:t>
                  </w:r>
                </w:p>
              </w:tc>
              <w:tc>
                <w:tcPr>
                  <w:tcW w:w="529" w:type="pct"/>
                  <w:tcBorders>
                    <w:tl2br w:val="nil"/>
                    <w:tr2bl w:val="nil"/>
                  </w:tcBorders>
                  <w:vAlign w:val="center"/>
                </w:tcPr>
                <w:p>
                  <w:pPr>
                    <w:jc w:val="center"/>
                    <w:rPr>
                      <w:b/>
                      <w:bCs/>
                      <w:szCs w:val="21"/>
                    </w:rPr>
                  </w:pPr>
                  <w:r>
                    <w:rPr>
                      <w:b/>
                      <w:bCs/>
                      <w:szCs w:val="21"/>
                    </w:rPr>
                    <w:t>东</w:t>
                  </w:r>
                </w:p>
              </w:tc>
              <w:tc>
                <w:tcPr>
                  <w:tcW w:w="529" w:type="pct"/>
                  <w:tcBorders>
                    <w:tl2br w:val="nil"/>
                    <w:tr2bl w:val="nil"/>
                  </w:tcBorders>
                  <w:vAlign w:val="center"/>
                </w:tcPr>
                <w:p>
                  <w:pPr>
                    <w:jc w:val="center"/>
                    <w:rPr>
                      <w:b/>
                      <w:bCs/>
                      <w:szCs w:val="21"/>
                    </w:rPr>
                  </w:pPr>
                  <w:r>
                    <w:rPr>
                      <w:b/>
                      <w:bCs/>
                      <w:szCs w:val="21"/>
                    </w:rPr>
                    <w:t>南</w:t>
                  </w:r>
                </w:p>
              </w:tc>
              <w:tc>
                <w:tcPr>
                  <w:tcW w:w="529" w:type="pct"/>
                  <w:tcBorders>
                    <w:tl2br w:val="nil"/>
                    <w:tr2bl w:val="nil"/>
                  </w:tcBorders>
                  <w:vAlign w:val="center"/>
                </w:tcPr>
                <w:p>
                  <w:pPr>
                    <w:jc w:val="center"/>
                    <w:rPr>
                      <w:b/>
                      <w:bCs/>
                      <w:szCs w:val="21"/>
                    </w:rPr>
                  </w:pPr>
                  <w:r>
                    <w:rPr>
                      <w:b/>
                      <w:bCs/>
                      <w:szCs w:val="21"/>
                    </w:rPr>
                    <w:t>西</w:t>
                  </w:r>
                </w:p>
              </w:tc>
              <w:tc>
                <w:tcPr>
                  <w:tcW w:w="533" w:type="pct"/>
                  <w:tcBorders>
                    <w:tl2br w:val="nil"/>
                    <w:tr2bl w:val="nil"/>
                  </w:tcBorders>
                  <w:vAlign w:val="center"/>
                </w:tcPr>
                <w:p>
                  <w:pPr>
                    <w:jc w:val="center"/>
                    <w:rPr>
                      <w:b/>
                      <w:bCs/>
                      <w:szCs w:val="21"/>
                    </w:rPr>
                  </w:pPr>
                  <w:r>
                    <w:rPr>
                      <w:b/>
                      <w:bCs/>
                      <w:szCs w:val="21"/>
                    </w:rPr>
                    <w:t>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60" w:type="pct"/>
                  <w:tcBorders>
                    <w:tl2br w:val="nil"/>
                    <w:tr2bl w:val="nil"/>
                  </w:tcBorders>
                </w:tcPr>
                <w:p>
                  <w:pPr>
                    <w:pStyle w:val="34"/>
                    <w:adjustRightInd w:val="0"/>
                    <w:snapToGrid w:val="0"/>
                    <w:spacing w:before="0" w:beforeAutospacing="0" w:after="0" w:afterAutospacing="0"/>
                    <w:jc w:val="center"/>
                    <w:rPr>
                      <w:rFonts w:ascii="Times New Roman" w:hAnsi="Times New Roman"/>
                      <w:kern w:val="2"/>
                      <w:sz w:val="21"/>
                      <w:szCs w:val="21"/>
                      <w:lang w:val="zh-CN"/>
                    </w:rPr>
                  </w:pPr>
                  <w:r>
                    <w:rPr>
                      <w:rFonts w:hint="eastAsia" w:ascii="Times New Roman" w:hAnsi="Times New Roman"/>
                      <w:kern w:val="2"/>
                      <w:sz w:val="21"/>
                      <w:szCs w:val="21"/>
                    </w:rPr>
                    <w:t>生产车间</w:t>
                  </w:r>
                </w:p>
              </w:tc>
              <w:tc>
                <w:tcPr>
                  <w:tcW w:w="528"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66</w:t>
                  </w:r>
                </w:p>
              </w:tc>
              <w:tc>
                <w:tcPr>
                  <w:tcW w:w="528"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0.7</w:t>
                  </w:r>
                </w:p>
              </w:tc>
              <w:tc>
                <w:tcPr>
                  <w:tcW w:w="529"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29</w:t>
                  </w:r>
                </w:p>
              </w:tc>
              <w:tc>
                <w:tcPr>
                  <w:tcW w:w="531"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1</w:t>
                  </w:r>
                </w:p>
              </w:tc>
              <w:tc>
                <w:tcPr>
                  <w:tcW w:w="529"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48.92</w:t>
                  </w:r>
                </w:p>
              </w:tc>
              <w:tc>
                <w:tcPr>
                  <w:tcW w:w="529"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47.1</w:t>
                  </w:r>
                </w:p>
              </w:tc>
              <w:tc>
                <w:tcPr>
                  <w:tcW w:w="529"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30.66</w:t>
                  </w:r>
                </w:p>
              </w:tc>
              <w:tc>
                <w:tcPr>
                  <w:tcW w:w="533" w:type="pct"/>
                  <w:vMerge w:val="restar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60" w:type="pct"/>
                  <w:tcBorders>
                    <w:tl2br w:val="nil"/>
                    <w:tr2bl w:val="nil"/>
                  </w:tcBorders>
                </w:tcPr>
                <w:p>
                  <w:pPr>
                    <w:pStyle w:val="34"/>
                    <w:adjustRightInd w:val="0"/>
                    <w:snapToGrid w:val="0"/>
                    <w:spacing w:before="0" w:beforeAutospacing="0" w:after="0" w:afterAutospacing="0"/>
                    <w:jc w:val="center"/>
                    <w:rPr>
                      <w:rFonts w:ascii="Times New Roman" w:hAnsi="Times New Roman"/>
                      <w:kern w:val="2"/>
                      <w:sz w:val="21"/>
                      <w:szCs w:val="21"/>
                      <w:lang w:val="zh-CN"/>
                    </w:rPr>
                  </w:pPr>
                  <w:r>
                    <w:rPr>
                      <w:rFonts w:hint="eastAsia" w:ascii="Times New Roman" w:hAnsi="Times New Roman"/>
                      <w:kern w:val="2"/>
                      <w:sz w:val="21"/>
                      <w:szCs w:val="21"/>
                    </w:rPr>
                    <w:t>包装车间</w:t>
                  </w:r>
                </w:p>
              </w:tc>
              <w:tc>
                <w:tcPr>
                  <w:tcW w:w="528"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56</w:t>
                  </w:r>
                </w:p>
              </w:tc>
              <w:tc>
                <w:tcPr>
                  <w:tcW w:w="528"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49</w:t>
                  </w:r>
                </w:p>
              </w:tc>
              <w:tc>
                <w:tcPr>
                  <w:tcW w:w="529"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42</w:t>
                  </w:r>
                </w:p>
              </w:tc>
              <w:tc>
                <w:tcPr>
                  <w:tcW w:w="531"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1</w:t>
                  </w:r>
                </w:p>
              </w:tc>
              <w:tc>
                <w:tcPr>
                  <w:tcW w:w="529"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529"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529"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c>
                <w:tcPr>
                  <w:tcW w:w="533" w:type="pct"/>
                  <w:vMerge w:val="continue"/>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0" w:type="pct"/>
                  <w:tcBorders>
                    <w:tl2br w:val="nil"/>
                    <w:tr2bl w:val="nil"/>
                  </w:tcBorders>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室外声源（布袋除尘器及风机*1）</w:t>
                  </w:r>
                </w:p>
              </w:tc>
              <w:tc>
                <w:tcPr>
                  <w:tcW w:w="528"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75.4</w:t>
                  </w:r>
                </w:p>
              </w:tc>
              <w:tc>
                <w:tcPr>
                  <w:tcW w:w="528"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63.5</w:t>
                  </w:r>
                </w:p>
              </w:tc>
              <w:tc>
                <w:tcPr>
                  <w:tcW w:w="529"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32.6</w:t>
                  </w:r>
                </w:p>
              </w:tc>
              <w:tc>
                <w:tcPr>
                  <w:tcW w:w="531"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0.5</w:t>
                  </w:r>
                </w:p>
              </w:tc>
              <w:tc>
                <w:tcPr>
                  <w:tcW w:w="529"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7.45</w:t>
                  </w:r>
                </w:p>
              </w:tc>
              <w:tc>
                <w:tcPr>
                  <w:tcW w:w="529"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8.98</w:t>
                  </w:r>
                </w:p>
              </w:tc>
              <w:tc>
                <w:tcPr>
                  <w:tcW w:w="529"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14.73</w:t>
                  </w:r>
                </w:p>
              </w:tc>
              <w:tc>
                <w:tcPr>
                  <w:tcW w:w="533" w:type="pct"/>
                  <w:tcBorders>
                    <w:tl2br w:val="nil"/>
                    <w:tr2bl w:val="nil"/>
                  </w:tcBorders>
                  <w:vAlign w:val="center"/>
                </w:tcPr>
                <w:p>
                  <w:pPr>
                    <w:pStyle w:val="34"/>
                    <w:adjustRightInd w:val="0"/>
                    <w:snapToGrid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46.93</w:t>
                  </w:r>
                </w:p>
              </w:tc>
            </w:tr>
          </w:tbl>
          <w:p>
            <w:pPr>
              <w:pStyle w:val="294"/>
              <w:spacing w:line="360" w:lineRule="auto"/>
              <w:ind w:firstLine="420"/>
              <w:rPr>
                <w:rFonts w:hint="default"/>
              </w:rPr>
            </w:pPr>
          </w:p>
          <w:p>
            <w:pPr>
              <w:pStyle w:val="294"/>
              <w:spacing w:line="360" w:lineRule="auto"/>
              <w:ind w:firstLine="420"/>
              <w:rPr>
                <w:rFonts w:hint="default"/>
              </w:rPr>
            </w:pPr>
            <w:r>
              <w:rPr>
                <w:rFonts w:hint="default"/>
              </w:rPr>
              <w:t>2、预测模式及参数选择</w:t>
            </w:r>
          </w:p>
          <w:p>
            <w:pPr>
              <w:pStyle w:val="39"/>
              <w:adjustRightInd w:val="0"/>
              <w:snapToGrid w:val="0"/>
              <w:spacing w:after="0" w:line="360" w:lineRule="auto"/>
              <w:ind w:left="0" w:leftChars="0"/>
            </w:pPr>
            <w:r>
              <w:t>按照《环境影响评价技术导则声环境》（HJ2.4-2021）中推荐的模式进行预测，用A声级计算，预测模式如下：</w:t>
            </w:r>
          </w:p>
          <w:p>
            <w:pPr>
              <w:adjustRightInd w:val="0"/>
              <w:snapToGrid w:val="0"/>
              <w:spacing w:line="360" w:lineRule="auto"/>
              <w:ind w:firstLine="420" w:firstLineChars="200"/>
            </w:pPr>
            <w:r>
              <w:t>①室外声源在预测点的声压级计算：</w:t>
            </w:r>
          </w:p>
          <w:p>
            <w:pPr>
              <w:adjustRightInd w:val="0"/>
              <w:snapToGrid w:val="0"/>
              <w:spacing w:line="360" w:lineRule="auto"/>
              <w:ind w:firstLine="420" w:firstLineChars="200"/>
            </w:pPr>
            <w:r>
              <w:t>Lp(r)=Lp(ro)+Dc–(Adiv+Abar+Aatm+Agr+Amisc)</w:t>
            </w:r>
          </w:p>
          <w:p>
            <w:pPr>
              <w:adjustRightInd w:val="0"/>
              <w:snapToGrid w:val="0"/>
              <w:spacing w:line="360" w:lineRule="auto"/>
              <w:ind w:firstLine="420" w:firstLineChars="200"/>
            </w:pPr>
            <w:r>
              <w:t>式中：Lp（r）—预测点处的声压级，dB；</w:t>
            </w:r>
          </w:p>
          <w:p>
            <w:pPr>
              <w:adjustRightInd w:val="0"/>
              <w:snapToGrid w:val="0"/>
              <w:spacing w:line="360" w:lineRule="auto"/>
              <w:ind w:firstLine="420" w:firstLineChars="200"/>
            </w:pPr>
            <w:r>
              <w:t>Lp（ro）—参考位置ro处声压级，dB；</w:t>
            </w:r>
          </w:p>
          <w:p>
            <w:pPr>
              <w:adjustRightInd w:val="0"/>
              <w:snapToGrid w:val="0"/>
              <w:spacing w:line="360" w:lineRule="auto"/>
              <w:ind w:firstLine="420" w:firstLineChars="200"/>
            </w:pPr>
            <w:r>
              <w:t>Adiv—几何发散引起的衰减，dB；</w:t>
            </w:r>
          </w:p>
          <w:p>
            <w:pPr>
              <w:adjustRightInd w:val="0"/>
              <w:snapToGrid w:val="0"/>
              <w:spacing w:line="360" w:lineRule="auto"/>
              <w:ind w:firstLine="420" w:firstLineChars="200"/>
            </w:pPr>
            <w:r>
              <w:t>Abar—障碍物屏蔽引起的衰减，dB；</w:t>
            </w:r>
          </w:p>
          <w:p>
            <w:pPr>
              <w:adjustRightInd w:val="0"/>
              <w:snapToGrid w:val="0"/>
              <w:spacing w:line="360" w:lineRule="auto"/>
              <w:ind w:firstLine="420" w:firstLineChars="200"/>
            </w:pPr>
            <w:r>
              <w:t>Aatm—大气吸收引起的衰减，dB；</w:t>
            </w:r>
          </w:p>
          <w:p>
            <w:pPr>
              <w:adjustRightInd w:val="0"/>
              <w:snapToGrid w:val="0"/>
              <w:spacing w:line="360" w:lineRule="auto"/>
              <w:ind w:firstLine="420" w:firstLineChars="200"/>
            </w:pPr>
            <w:r>
              <w:t>Agr—地面效应引起的衰减，dB；</w:t>
            </w:r>
          </w:p>
          <w:p>
            <w:pPr>
              <w:adjustRightInd w:val="0"/>
              <w:snapToGrid w:val="0"/>
              <w:spacing w:line="360" w:lineRule="auto"/>
              <w:ind w:firstLine="420" w:firstLineChars="200"/>
            </w:pPr>
            <w:r>
              <w:t>Amisc—其他多方面效应引起的衰减，dB。</w:t>
            </w:r>
          </w:p>
          <w:p>
            <w:pPr>
              <w:adjustRightInd w:val="0"/>
              <w:snapToGrid w:val="0"/>
              <w:spacing w:line="360" w:lineRule="auto"/>
              <w:ind w:firstLine="420" w:firstLineChars="200"/>
            </w:pPr>
            <w:r>
              <w:t>②室内声源在预测点的声压级计算：</w:t>
            </w:r>
          </w:p>
          <w:p>
            <w:pPr>
              <w:adjustRightInd w:val="0"/>
              <w:snapToGrid w:val="0"/>
              <w:spacing w:line="360" w:lineRule="auto"/>
              <w:ind w:firstLine="420" w:firstLineChars="200"/>
            </w:pPr>
            <w:r>
              <w:t>a、首先计算某个室内声源在靠近围护结构处的声压级：</w:t>
            </w:r>
          </w:p>
          <w:p>
            <w:pPr>
              <w:adjustRightInd w:val="0"/>
              <w:snapToGrid w:val="0"/>
              <w:spacing w:line="360" w:lineRule="auto"/>
              <w:ind w:firstLine="420" w:firstLineChars="200"/>
            </w:pPr>
            <w:r>
              <w:t>Lp1＝Lw+10lg（Q/4πr2+4/R）</w:t>
            </w:r>
          </w:p>
          <w:p>
            <w:pPr>
              <w:adjustRightInd w:val="0"/>
              <w:snapToGrid w:val="0"/>
              <w:spacing w:line="360" w:lineRule="auto"/>
              <w:ind w:firstLine="420" w:firstLineChars="200"/>
            </w:pPr>
            <w:r>
              <w:t>式中：Lp1—靠近开口处（或窗户）室内某倍频带的声压级或A声级；</w:t>
            </w:r>
          </w:p>
          <w:p>
            <w:pPr>
              <w:adjustRightInd w:val="0"/>
              <w:snapToGrid w:val="0"/>
              <w:spacing w:line="360" w:lineRule="auto"/>
              <w:ind w:firstLine="420" w:firstLineChars="200"/>
            </w:pPr>
            <w:r>
              <w:t>Lw—点声源声功率级（A计权或倍频带），dB；</w:t>
            </w:r>
          </w:p>
          <w:p>
            <w:pPr>
              <w:adjustRightInd w:val="0"/>
              <w:snapToGrid w:val="0"/>
              <w:spacing w:line="360" w:lineRule="auto"/>
              <w:ind w:firstLine="420" w:firstLineChars="200"/>
            </w:pPr>
            <w:r>
              <w:t>r—声源与靠近围护结构某点处的距离，m；</w:t>
            </w:r>
          </w:p>
          <w:p>
            <w:pPr>
              <w:adjustRightInd w:val="0"/>
              <w:snapToGrid w:val="0"/>
              <w:spacing w:line="360" w:lineRule="auto"/>
              <w:ind w:firstLine="420" w:firstLineChars="200"/>
            </w:pPr>
            <w:r>
              <w:t>R—房间常数；R=Sa/（1-a），S为房间内表面积，m2，a为平均吸声系数；</w:t>
            </w:r>
          </w:p>
          <w:p>
            <w:pPr>
              <w:adjustRightInd w:val="0"/>
              <w:snapToGrid w:val="0"/>
              <w:spacing w:line="360" w:lineRule="auto"/>
              <w:ind w:firstLine="420" w:firstLineChars="200"/>
            </w:pPr>
            <w:r>
              <w:t>Q—指向性因数；通常对无指向性声源，当声源放在房间中心时，Q=1；当放在一面墙的中心时，Q=2；当放在两面墙夹角处时，Q=4；当放在三面墙夹角处时，Q=8。</w:t>
            </w:r>
          </w:p>
          <w:p>
            <w:pPr>
              <w:adjustRightInd w:val="0"/>
              <w:snapToGrid w:val="0"/>
              <w:spacing w:line="360" w:lineRule="auto"/>
              <w:ind w:firstLine="420" w:firstLineChars="200"/>
            </w:pPr>
            <w:r>
              <w:t>b、计算所有室内声源在围护结构处产生的i倍频带叠加声压级：</w:t>
            </w:r>
          </w:p>
          <w:p>
            <w:pPr>
              <w:adjustRightInd w:val="0"/>
              <w:snapToGrid w:val="0"/>
              <w:spacing w:line="360" w:lineRule="auto"/>
              <w:ind w:firstLine="420" w:firstLineChars="200"/>
              <w:jc w:val="center"/>
            </w:pPr>
            <w:r>
              <w:drawing>
                <wp:inline distT="0" distB="0" distL="114300" distR="114300">
                  <wp:extent cx="1477645" cy="432435"/>
                  <wp:effectExtent l="0" t="0" r="8255" b="571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8"/>
                          <a:stretch>
                            <a:fillRect/>
                          </a:stretch>
                        </pic:blipFill>
                        <pic:spPr>
                          <a:xfrm>
                            <a:off x="0" y="0"/>
                            <a:ext cx="1477645" cy="432435"/>
                          </a:xfrm>
                          <a:prstGeom prst="rect">
                            <a:avLst/>
                          </a:prstGeom>
                          <a:noFill/>
                          <a:ln>
                            <a:noFill/>
                          </a:ln>
                        </pic:spPr>
                      </pic:pic>
                    </a:graphicData>
                  </a:graphic>
                </wp:inline>
              </w:drawing>
            </w:r>
          </w:p>
          <w:p>
            <w:pPr>
              <w:pStyle w:val="39"/>
              <w:adjustRightInd w:val="0"/>
              <w:snapToGrid w:val="0"/>
              <w:spacing w:after="0" w:line="360" w:lineRule="auto"/>
              <w:ind w:left="0" w:leftChars="0"/>
            </w:pPr>
            <w:r>
              <w:t>式中：Lpli（T）—靠近围护结构处室外N个声源i倍频带的叠加声压级，dB;</w:t>
            </w:r>
          </w:p>
          <w:p>
            <w:pPr>
              <w:adjustRightInd w:val="0"/>
              <w:snapToGrid w:val="0"/>
              <w:spacing w:line="360" w:lineRule="auto"/>
              <w:ind w:firstLine="420" w:firstLineChars="200"/>
            </w:pPr>
            <w:r>
              <w:t>L1ij—室内声源i倍频带的声压级，dB；</w:t>
            </w:r>
          </w:p>
          <w:p>
            <w:pPr>
              <w:pStyle w:val="39"/>
              <w:adjustRightInd w:val="0"/>
              <w:snapToGrid w:val="0"/>
              <w:spacing w:after="0" w:line="360" w:lineRule="auto"/>
              <w:ind w:left="0" w:leftChars="0"/>
            </w:pPr>
            <w:r>
              <w:t>N—室内声源总数。</w:t>
            </w:r>
          </w:p>
          <w:p>
            <w:pPr>
              <w:adjustRightInd w:val="0"/>
              <w:snapToGrid w:val="0"/>
              <w:spacing w:line="360" w:lineRule="auto"/>
              <w:ind w:firstLine="420" w:firstLineChars="200"/>
            </w:pPr>
            <w:r>
              <w:t>c、将室外声源的声压级和透过面积换算成等效的室外声源，计算出中心位置位于透声面积（S）处的等效声源的倍频带声功率级。</w:t>
            </w:r>
          </w:p>
          <w:p>
            <w:pPr>
              <w:adjustRightInd w:val="0"/>
              <w:snapToGrid w:val="0"/>
              <w:spacing w:line="360" w:lineRule="auto"/>
              <w:ind w:firstLine="420" w:firstLineChars="200"/>
            </w:pPr>
            <w:r>
              <w:t>Lw＝Lp2（T）+10lgS</w:t>
            </w:r>
          </w:p>
          <w:p>
            <w:pPr>
              <w:adjustRightInd w:val="0"/>
              <w:snapToGrid w:val="0"/>
              <w:spacing w:line="360" w:lineRule="auto"/>
              <w:ind w:firstLine="420" w:firstLineChars="200"/>
            </w:pPr>
            <w:r>
              <w:t>式中：Lw—中心位置位于透声面积（S）处的等效声源的倍频带声功率级，dB;</w:t>
            </w:r>
          </w:p>
          <w:p>
            <w:pPr>
              <w:pStyle w:val="39"/>
              <w:adjustRightInd w:val="0"/>
              <w:snapToGrid w:val="0"/>
              <w:spacing w:after="0" w:line="360" w:lineRule="auto"/>
              <w:ind w:left="0" w:leftChars="0"/>
            </w:pPr>
            <w:r>
              <w:t>Lp2（T）—靠近围护结构处室外声源的声压级，dB</w:t>
            </w:r>
          </w:p>
          <w:p>
            <w:pPr>
              <w:adjustRightInd w:val="0"/>
              <w:snapToGrid w:val="0"/>
              <w:spacing w:line="360" w:lineRule="auto"/>
              <w:ind w:firstLine="420" w:firstLineChars="200"/>
            </w:pPr>
            <w:r>
              <w:t>S—透声面积，m</w:t>
            </w:r>
            <w:r>
              <w:rPr>
                <w:vertAlign w:val="superscript"/>
              </w:rPr>
              <w:t>2</w:t>
            </w:r>
            <w:r>
              <w:t>；</w:t>
            </w:r>
          </w:p>
          <w:p>
            <w:pPr>
              <w:adjustRightInd w:val="0"/>
              <w:snapToGrid w:val="0"/>
              <w:spacing w:line="360" w:lineRule="auto"/>
              <w:ind w:firstLine="420" w:firstLineChars="200"/>
            </w:pPr>
            <w:r>
              <w:t>③总声级的计算</w:t>
            </w:r>
          </w:p>
          <w:p>
            <w:pPr>
              <w:adjustRightInd w:val="0"/>
              <w:snapToGrid w:val="0"/>
              <w:spacing w:line="360" w:lineRule="auto"/>
              <w:ind w:firstLine="420" w:firstLineChars="200"/>
            </w:pPr>
            <w:r>
              <w:t>设第i个室外声源在预测点产生的A声级为LAi，在T时间内该声源工作时间为ti；第j个等效室外声源在预测点产生的A声级为LAj，在T时间内该声源工作时间为tj，则预测点的总有效声级为：</w:t>
            </w:r>
          </w:p>
          <w:p>
            <w:pPr>
              <w:adjustRightInd w:val="0"/>
              <w:snapToGrid w:val="0"/>
              <w:spacing w:line="360" w:lineRule="auto"/>
              <w:ind w:firstLine="420" w:firstLineChars="200"/>
              <w:jc w:val="center"/>
            </w:pPr>
            <w:r>
              <w:object>
                <v:shape id="_x0000_i1027" o:spt="75" type="#_x0000_t75" style="height:35.25pt;width:217.5pt;" o:ole="t" filled="f" o:preferrelative="t" stroked="f" coordsize="21600,21600">
                  <v:path/>
                  <v:fill on="f" focussize="0,0"/>
                  <v:stroke on="f" joinstyle="miter"/>
                  <v:imagedata r:id="rId20" o:title=""/>
                  <o:lock v:ext="edit" aspectratio="t"/>
                  <w10:wrap type="none"/>
                  <w10:anchorlock/>
                </v:shape>
                <o:OLEObject Type="Embed" ProgID="Equation.3" ShapeID="_x0000_i1027" DrawAspect="Content" ObjectID="_1468075727" r:id="rId19">
                  <o:LockedField>false</o:LockedField>
                </o:OLEObject>
              </w:object>
            </w:r>
          </w:p>
          <w:p>
            <w:pPr>
              <w:adjustRightInd w:val="0"/>
              <w:snapToGrid w:val="0"/>
              <w:spacing w:line="360" w:lineRule="auto"/>
              <w:ind w:firstLine="420" w:firstLineChars="200"/>
            </w:pPr>
            <w:r>
              <w:t>式中：T—计算等效声级的时间，s；</w:t>
            </w:r>
          </w:p>
          <w:p>
            <w:pPr>
              <w:adjustRightInd w:val="0"/>
              <w:snapToGrid w:val="0"/>
              <w:spacing w:line="360" w:lineRule="auto"/>
              <w:ind w:firstLine="420" w:firstLineChars="200"/>
            </w:pPr>
            <w:r>
              <w:t>N—室外声源个数；</w:t>
            </w:r>
          </w:p>
          <w:p>
            <w:pPr>
              <w:adjustRightInd w:val="0"/>
              <w:snapToGrid w:val="0"/>
              <w:spacing w:line="360" w:lineRule="auto"/>
              <w:ind w:firstLine="420" w:firstLineChars="200"/>
            </w:pPr>
            <w:r>
              <w:t>M—等效室外声源个数；</w:t>
            </w:r>
          </w:p>
          <w:p>
            <w:pPr>
              <w:adjustRightInd w:val="0"/>
              <w:snapToGrid w:val="0"/>
              <w:spacing w:line="360" w:lineRule="auto"/>
              <w:ind w:firstLine="420" w:firstLineChars="200"/>
            </w:pPr>
            <w:r>
              <w:t>Leqg—建设项目声源在预测点产生的噪声贡献值，dB；</w:t>
            </w:r>
          </w:p>
          <w:p>
            <w:pPr>
              <w:adjustRightInd w:val="0"/>
              <w:snapToGrid w:val="0"/>
              <w:spacing w:line="360" w:lineRule="auto"/>
              <w:ind w:firstLine="420" w:firstLineChars="200"/>
            </w:pPr>
            <w:r>
              <w:t>（2）参数的确定</w:t>
            </w:r>
          </w:p>
          <w:p>
            <w:pPr>
              <w:adjustRightInd w:val="0"/>
              <w:snapToGrid w:val="0"/>
              <w:spacing w:line="360" w:lineRule="auto"/>
              <w:ind w:firstLine="420" w:firstLineChars="200"/>
            </w:pPr>
            <w:r>
              <w:t>①声波几何发散引起的A声级衰减量（Adiv）</w:t>
            </w:r>
          </w:p>
          <w:p>
            <w:pPr>
              <w:adjustRightInd w:val="0"/>
              <w:snapToGrid w:val="0"/>
              <w:spacing w:line="360" w:lineRule="auto"/>
              <w:ind w:firstLine="420" w:firstLineChars="200"/>
            </w:pPr>
            <w:r>
              <w:t>a、点声源：Adiv=20lg（r/ro）</w:t>
            </w:r>
          </w:p>
          <w:p>
            <w:pPr>
              <w:adjustRightInd w:val="0"/>
              <w:snapToGrid w:val="0"/>
              <w:spacing w:line="360" w:lineRule="auto"/>
              <w:ind w:firstLine="420" w:firstLineChars="200"/>
            </w:pPr>
            <w:r>
              <w:t>式中：r—预测点到噪声源距离，m；</w:t>
            </w:r>
          </w:p>
          <w:p>
            <w:pPr>
              <w:adjustRightInd w:val="0"/>
              <w:snapToGrid w:val="0"/>
              <w:spacing w:line="360" w:lineRule="auto"/>
              <w:ind w:firstLine="420" w:firstLineChars="200"/>
            </w:pPr>
            <w:r>
              <w:t>ro—参考点到噪声源距离，m。</w:t>
            </w:r>
          </w:p>
          <w:p>
            <w:pPr>
              <w:adjustRightInd w:val="0"/>
              <w:snapToGrid w:val="0"/>
              <w:spacing w:line="360" w:lineRule="auto"/>
              <w:ind w:firstLine="420" w:firstLineChars="200"/>
            </w:pPr>
            <w:r>
              <w:t>b、有限长线声源（设线声源长为Lo）</w:t>
            </w:r>
          </w:p>
          <w:p>
            <w:pPr>
              <w:adjustRightInd w:val="0"/>
              <w:snapToGrid w:val="0"/>
              <w:spacing w:line="360" w:lineRule="auto"/>
              <w:ind w:firstLine="420" w:firstLineChars="200"/>
            </w:pPr>
            <w:r>
              <w:t>当r&gt;Lo，且ro&gt;Lo时：Adiv=20lg（r/ro）</w:t>
            </w:r>
          </w:p>
          <w:p>
            <w:pPr>
              <w:adjustRightInd w:val="0"/>
              <w:snapToGrid w:val="0"/>
              <w:spacing w:line="360" w:lineRule="auto"/>
              <w:ind w:firstLine="420" w:firstLineChars="200"/>
            </w:pPr>
            <w:r>
              <w:t>当r&lt;Lo/3，且ro&lt;Lo/3时：Adiv=10lg（r/ro）</w:t>
            </w:r>
          </w:p>
          <w:p>
            <w:pPr>
              <w:adjustRightInd w:val="0"/>
              <w:snapToGrid w:val="0"/>
              <w:spacing w:line="360" w:lineRule="auto"/>
              <w:ind w:firstLine="420" w:firstLineChars="200"/>
            </w:pPr>
            <w:r>
              <w:t>当Lo/3&lt;r&lt;Lo，且Lo/3&lt;ro&lt;Lo时：Adiv=15lg（r/ro）</w:t>
            </w:r>
          </w:p>
          <w:p>
            <w:pPr>
              <w:adjustRightInd w:val="0"/>
              <w:snapToGrid w:val="0"/>
              <w:spacing w:line="360" w:lineRule="auto"/>
              <w:ind w:firstLine="420" w:firstLineChars="200"/>
            </w:pPr>
            <w:r>
              <w:t>c、面声源（设面声源高度为a，长度为b，且a＜b）</w:t>
            </w:r>
          </w:p>
          <w:p>
            <w:pPr>
              <w:adjustRightInd w:val="0"/>
              <w:snapToGrid w:val="0"/>
              <w:spacing w:line="360" w:lineRule="auto"/>
              <w:ind w:firstLine="420" w:firstLineChars="200"/>
            </w:pPr>
            <w:r>
              <w:t>当r&lt;a/3时，且ro&lt;a/3时：Adiv=0</w:t>
            </w:r>
          </w:p>
          <w:p>
            <w:pPr>
              <w:adjustRightInd w:val="0"/>
              <w:snapToGrid w:val="0"/>
              <w:spacing w:line="360" w:lineRule="auto"/>
              <w:ind w:firstLine="420" w:firstLineChars="200"/>
            </w:pPr>
            <w:r>
              <w:t>当a/3&lt;r&lt;b/3，且a/3&lt;ro&lt;b/3时：Adiv=10lg（r/ro）</w:t>
            </w:r>
          </w:p>
          <w:p>
            <w:pPr>
              <w:adjustRightInd w:val="0"/>
              <w:snapToGrid w:val="0"/>
              <w:spacing w:line="360" w:lineRule="auto"/>
              <w:ind w:firstLine="420" w:firstLineChars="200"/>
            </w:pPr>
            <w:r>
              <w:t>当b/3&lt;r&lt;b，且b/3&lt;ro&lt;b时：Adiv=15lg（r/ro）</w:t>
            </w:r>
          </w:p>
          <w:p>
            <w:pPr>
              <w:adjustRightInd w:val="0"/>
              <w:snapToGrid w:val="0"/>
              <w:spacing w:line="360" w:lineRule="auto"/>
              <w:ind w:firstLine="420" w:firstLineChars="200"/>
            </w:pPr>
            <w:r>
              <w:t>当b&lt;r时，且b&lt;ro时：Adiv=20lg（r/ro）</w:t>
            </w:r>
          </w:p>
          <w:p>
            <w:pPr>
              <w:adjustRightInd w:val="0"/>
              <w:snapToGrid w:val="0"/>
              <w:spacing w:line="360" w:lineRule="auto"/>
              <w:ind w:firstLine="420" w:firstLineChars="200"/>
            </w:pPr>
            <w:r>
              <w:t>②空气吸收衰减量Aatm</w:t>
            </w:r>
          </w:p>
          <w:p>
            <w:pPr>
              <w:adjustRightInd w:val="0"/>
              <w:snapToGrid w:val="0"/>
              <w:spacing w:line="360" w:lineRule="auto"/>
              <w:ind w:firstLine="420" w:firstLineChars="200"/>
            </w:pPr>
            <w:r>
              <w:t>空气吸收引起的A声级衰减量按下式计算：</w:t>
            </w:r>
          </w:p>
          <w:p>
            <w:pPr>
              <w:adjustRightInd w:val="0"/>
              <w:snapToGrid w:val="0"/>
              <w:spacing w:line="360" w:lineRule="auto"/>
              <w:ind w:firstLine="420" w:firstLineChars="200"/>
            </w:pPr>
            <w:r>
              <w:t>Aatm＝a（r－ro）/100</w:t>
            </w:r>
          </w:p>
          <w:p>
            <w:pPr>
              <w:adjustRightInd w:val="0"/>
              <w:snapToGrid w:val="0"/>
              <w:spacing w:line="360" w:lineRule="auto"/>
              <w:ind w:firstLine="420" w:firstLineChars="200"/>
            </w:pPr>
            <w:r>
              <w:t>式中：a为每100m空气吸收系数，是温度、湿度和声波频率的函数。</w:t>
            </w:r>
          </w:p>
          <w:p>
            <w:pPr>
              <w:adjustRightInd w:val="0"/>
              <w:snapToGrid w:val="0"/>
              <w:spacing w:line="360" w:lineRule="auto"/>
              <w:ind w:firstLine="420" w:firstLineChars="200"/>
            </w:pPr>
            <w:r>
              <w:t>本评价由于计算距离较近，Aatm计算值较小，故在计算时忽略此项。</w:t>
            </w:r>
          </w:p>
          <w:p>
            <w:pPr>
              <w:adjustRightInd w:val="0"/>
              <w:snapToGrid w:val="0"/>
              <w:spacing w:line="360" w:lineRule="auto"/>
              <w:ind w:firstLine="420" w:firstLineChars="200"/>
            </w:pPr>
            <w:r>
              <w:t>③遮挡物引起的衰减量Abar</w:t>
            </w:r>
          </w:p>
          <w:p>
            <w:pPr>
              <w:adjustRightInd w:val="0"/>
              <w:snapToGrid w:val="0"/>
              <w:spacing w:line="360" w:lineRule="auto"/>
              <w:ind w:firstLine="420" w:firstLineChars="200"/>
            </w:pPr>
            <w:r>
              <w:t>位于声源和预测点之间的实体障碍物，如围墙、建筑物、土坡、地堑或绿化林带都能起声屏障作用，从而引起声能量的衰减，具体衰减根据不同声级的传播途径而定，一般取20～25dB（A）。</w:t>
            </w:r>
          </w:p>
          <w:p>
            <w:pPr>
              <w:adjustRightInd w:val="0"/>
              <w:snapToGrid w:val="0"/>
              <w:spacing w:line="360" w:lineRule="auto"/>
              <w:ind w:firstLine="420" w:firstLineChars="200"/>
            </w:pPr>
            <w:r>
              <w:t>④附加衰减量Aexc</w:t>
            </w:r>
          </w:p>
          <w:p>
            <w:pPr>
              <w:adjustRightInd w:val="0"/>
              <w:snapToGrid w:val="0"/>
              <w:spacing w:line="360" w:lineRule="auto"/>
              <w:ind w:firstLine="420" w:firstLineChars="200"/>
            </w:pPr>
            <w:r>
              <w:t>根据导则规定，满足下列条件需考虑地面效应引起的附加衰减：①预测点距声源50m以上；②声源距地面高度和预测点距地面高度的平均值小于3m；③声源与预测点之间的地面被草地、灌木等覆盖（软地面）。此时，地面效应引起附加衰减量按下式计算：</w:t>
            </w:r>
          </w:p>
          <w:p>
            <w:pPr>
              <w:adjustRightInd w:val="0"/>
              <w:snapToGrid w:val="0"/>
              <w:spacing w:line="360" w:lineRule="auto"/>
              <w:ind w:firstLine="420" w:firstLineChars="200"/>
            </w:pPr>
            <w:r>
              <w:t>Aexc=5lg（r/ro）</w:t>
            </w:r>
          </w:p>
          <w:p>
            <w:pPr>
              <w:adjustRightInd w:val="0"/>
              <w:snapToGrid w:val="0"/>
              <w:spacing w:line="360" w:lineRule="auto"/>
              <w:ind w:firstLine="420" w:firstLineChars="200"/>
            </w:pPr>
            <w:r>
              <w:t>不管传播距离多远，地面效应引起附加衰减量的上限为10dB（A）。根据厂区布置和噪声源强及外环境状况，本环评忽略不计。</w:t>
            </w:r>
          </w:p>
          <w:p>
            <w:pPr>
              <w:pStyle w:val="39"/>
              <w:spacing w:after="0" w:line="360" w:lineRule="auto"/>
              <w:ind w:left="0" w:leftChars="0"/>
            </w:pPr>
            <w:r>
              <w:t>3、预测结果</w:t>
            </w:r>
          </w:p>
          <w:p>
            <w:pPr>
              <w:jc w:val="center"/>
              <w:rPr>
                <w:b/>
                <w:bCs/>
                <w:color w:val="0000FF"/>
                <w:szCs w:val="21"/>
              </w:rPr>
            </w:pPr>
            <w:r>
              <w:rPr>
                <w:b/>
                <w:bCs/>
                <w:color w:val="0000FF"/>
                <w:szCs w:val="21"/>
              </w:rPr>
              <w:t>表4-</w:t>
            </w:r>
            <w:r>
              <w:rPr>
                <w:rFonts w:hint="eastAsia"/>
                <w:b/>
                <w:bCs/>
                <w:color w:val="0000FF"/>
                <w:szCs w:val="21"/>
              </w:rPr>
              <w:t>9</w:t>
            </w:r>
            <w:r>
              <w:rPr>
                <w:b/>
                <w:bCs/>
                <w:color w:val="0000FF"/>
                <w:szCs w:val="21"/>
              </w:rPr>
              <w:t xml:space="preserve"> 主要噪声源对厂界声级贡献值表</w:t>
            </w:r>
          </w:p>
          <w:tbl>
            <w:tblPr>
              <w:tblStyle w:val="4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35"/>
              <w:gridCol w:w="2535"/>
              <w:gridCol w:w="2535"/>
              <w:gridCol w:w="2536"/>
              <w:gridCol w:w="25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5" w:type="dxa"/>
                  <w:vMerge w:val="restart"/>
                  <w:vAlign w:val="center"/>
                </w:tcPr>
                <w:p>
                  <w:pPr>
                    <w:adjustRightInd w:val="0"/>
                    <w:snapToGrid w:val="0"/>
                    <w:spacing w:line="360" w:lineRule="auto"/>
                    <w:jc w:val="center"/>
                  </w:pPr>
                  <w:r>
                    <w:rPr>
                      <w:rFonts w:hint="eastAsia"/>
                    </w:rPr>
                    <w:t>预测点噪声源</w:t>
                  </w:r>
                </w:p>
              </w:tc>
              <w:tc>
                <w:tcPr>
                  <w:tcW w:w="10142" w:type="dxa"/>
                  <w:gridSpan w:val="4"/>
                  <w:vAlign w:val="center"/>
                </w:tcPr>
                <w:p>
                  <w:pPr>
                    <w:adjustRightInd w:val="0"/>
                    <w:snapToGrid w:val="0"/>
                    <w:spacing w:line="360" w:lineRule="auto"/>
                    <w:jc w:val="center"/>
                  </w:pPr>
                  <w:r>
                    <w:rPr>
                      <w:rFonts w:hint="eastAsia"/>
                    </w:rPr>
                    <w:t>等效源强贡献值/dB（A）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2535" w:type="dxa"/>
                  <w:vMerge w:val="continue"/>
                  <w:vAlign w:val="center"/>
                </w:tcPr>
                <w:p>
                  <w:pPr>
                    <w:adjustRightInd w:val="0"/>
                    <w:snapToGrid w:val="0"/>
                    <w:spacing w:line="360" w:lineRule="auto"/>
                    <w:jc w:val="center"/>
                  </w:pPr>
                </w:p>
              </w:tc>
              <w:tc>
                <w:tcPr>
                  <w:tcW w:w="2535" w:type="dxa"/>
                  <w:vAlign w:val="center"/>
                </w:tcPr>
                <w:p>
                  <w:pPr>
                    <w:adjustRightInd w:val="0"/>
                    <w:snapToGrid w:val="0"/>
                    <w:spacing w:line="360" w:lineRule="auto"/>
                    <w:jc w:val="center"/>
                  </w:pPr>
                  <w:r>
                    <w:rPr>
                      <w:rFonts w:hint="eastAsia"/>
                    </w:rPr>
                    <w:t>东厂界</w:t>
                  </w:r>
                </w:p>
              </w:tc>
              <w:tc>
                <w:tcPr>
                  <w:tcW w:w="2535" w:type="dxa"/>
                  <w:vAlign w:val="center"/>
                </w:tcPr>
                <w:p>
                  <w:pPr>
                    <w:adjustRightInd w:val="0"/>
                    <w:snapToGrid w:val="0"/>
                    <w:spacing w:line="360" w:lineRule="auto"/>
                    <w:jc w:val="center"/>
                  </w:pPr>
                  <w:r>
                    <w:rPr>
                      <w:rFonts w:hint="eastAsia"/>
                    </w:rPr>
                    <w:t>南厂界</w:t>
                  </w:r>
                </w:p>
              </w:tc>
              <w:tc>
                <w:tcPr>
                  <w:tcW w:w="2536" w:type="dxa"/>
                  <w:vAlign w:val="center"/>
                </w:tcPr>
                <w:p>
                  <w:pPr>
                    <w:adjustRightInd w:val="0"/>
                    <w:snapToGrid w:val="0"/>
                    <w:spacing w:line="360" w:lineRule="auto"/>
                    <w:jc w:val="center"/>
                  </w:pPr>
                  <w:r>
                    <w:rPr>
                      <w:rFonts w:hint="eastAsia"/>
                    </w:rPr>
                    <w:t>西厂界</w:t>
                  </w:r>
                </w:p>
              </w:tc>
              <w:tc>
                <w:tcPr>
                  <w:tcW w:w="2536" w:type="dxa"/>
                  <w:vAlign w:val="center"/>
                </w:tcPr>
                <w:p>
                  <w:pPr>
                    <w:adjustRightInd w:val="0"/>
                    <w:snapToGrid w:val="0"/>
                    <w:spacing w:line="360" w:lineRule="auto"/>
                    <w:jc w:val="center"/>
                  </w:pPr>
                  <w:r>
                    <w:rPr>
                      <w:rFonts w:hint="eastAsia"/>
                    </w:rPr>
                    <w:t>北厂界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5" w:type="dxa"/>
                  <w:vAlign w:val="center"/>
                </w:tcPr>
                <w:p>
                  <w:pPr>
                    <w:adjustRightInd w:val="0"/>
                    <w:snapToGrid w:val="0"/>
                    <w:spacing w:line="360" w:lineRule="auto"/>
                    <w:jc w:val="center"/>
                  </w:pPr>
                  <w:r>
                    <w:rPr>
                      <w:rFonts w:hint="eastAsia"/>
                    </w:rPr>
                    <w:t>拟建项目厂界噪声贡献值/dB（A）</w:t>
                  </w:r>
                </w:p>
              </w:tc>
              <w:tc>
                <w:tcPr>
                  <w:tcW w:w="2535" w:type="dxa"/>
                  <w:vAlign w:val="center"/>
                </w:tcPr>
                <w:p>
                  <w:pPr>
                    <w:adjustRightInd w:val="0"/>
                    <w:snapToGrid w:val="0"/>
                    <w:spacing w:line="360" w:lineRule="auto"/>
                    <w:jc w:val="center"/>
                  </w:pPr>
                  <w:r>
                    <w:rPr>
                      <w:rFonts w:hint="eastAsia"/>
                    </w:rPr>
                    <w:t>48.92</w:t>
                  </w:r>
                </w:p>
              </w:tc>
              <w:tc>
                <w:tcPr>
                  <w:tcW w:w="2535" w:type="dxa"/>
                  <w:vAlign w:val="center"/>
                </w:tcPr>
                <w:p>
                  <w:pPr>
                    <w:adjustRightInd w:val="0"/>
                    <w:snapToGrid w:val="0"/>
                    <w:spacing w:line="360" w:lineRule="auto"/>
                    <w:jc w:val="center"/>
                  </w:pPr>
                  <w:r>
                    <w:rPr>
                      <w:rFonts w:hint="eastAsia"/>
                    </w:rPr>
                    <w:t>47.1</w:t>
                  </w:r>
                </w:p>
              </w:tc>
              <w:tc>
                <w:tcPr>
                  <w:tcW w:w="2536" w:type="dxa"/>
                  <w:vAlign w:val="center"/>
                </w:tcPr>
                <w:p>
                  <w:pPr>
                    <w:adjustRightInd w:val="0"/>
                    <w:snapToGrid w:val="0"/>
                    <w:spacing w:line="360" w:lineRule="auto"/>
                    <w:jc w:val="center"/>
                  </w:pPr>
                  <w:r>
                    <w:rPr>
                      <w:rFonts w:hint="eastAsia"/>
                    </w:rPr>
                    <w:t>30.77</w:t>
                  </w:r>
                </w:p>
              </w:tc>
              <w:tc>
                <w:tcPr>
                  <w:tcW w:w="2536" w:type="dxa"/>
                  <w:vAlign w:val="center"/>
                </w:tcPr>
                <w:p>
                  <w:pPr>
                    <w:adjustRightInd w:val="0"/>
                    <w:snapToGrid w:val="0"/>
                    <w:spacing w:line="360" w:lineRule="auto"/>
                    <w:jc w:val="center"/>
                  </w:pPr>
                  <w:r>
                    <w:rPr>
                      <w:rFonts w:hint="eastAsia"/>
                    </w:rPr>
                    <w:t>47.75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5" w:type="dxa"/>
                  <w:vAlign w:val="center"/>
                </w:tcPr>
                <w:p>
                  <w:pPr>
                    <w:adjustRightInd w:val="0"/>
                    <w:snapToGrid w:val="0"/>
                    <w:spacing w:line="360" w:lineRule="auto"/>
                    <w:jc w:val="center"/>
                  </w:pPr>
                  <w:r>
                    <w:rPr>
                      <w:rFonts w:hint="eastAsia"/>
                    </w:rPr>
                    <w:t>超标距离 /m</w:t>
                  </w:r>
                </w:p>
              </w:tc>
              <w:tc>
                <w:tcPr>
                  <w:tcW w:w="2535" w:type="dxa"/>
                  <w:vAlign w:val="center"/>
                </w:tcPr>
                <w:p>
                  <w:pPr>
                    <w:adjustRightInd w:val="0"/>
                    <w:snapToGrid w:val="0"/>
                    <w:spacing w:line="360" w:lineRule="auto"/>
                    <w:jc w:val="center"/>
                  </w:pPr>
                  <w:r>
                    <w:rPr>
                      <w:rFonts w:hint="eastAsia"/>
                    </w:rPr>
                    <w:t>/</w:t>
                  </w:r>
                </w:p>
              </w:tc>
              <w:tc>
                <w:tcPr>
                  <w:tcW w:w="2535" w:type="dxa"/>
                  <w:vAlign w:val="center"/>
                </w:tcPr>
                <w:p>
                  <w:pPr>
                    <w:adjustRightInd w:val="0"/>
                    <w:snapToGrid w:val="0"/>
                    <w:spacing w:line="360" w:lineRule="auto"/>
                    <w:jc w:val="center"/>
                  </w:pPr>
                  <w:r>
                    <w:rPr>
                      <w:rFonts w:hint="eastAsia"/>
                    </w:rPr>
                    <w:t>/</w:t>
                  </w:r>
                </w:p>
              </w:tc>
              <w:tc>
                <w:tcPr>
                  <w:tcW w:w="2536" w:type="dxa"/>
                  <w:vAlign w:val="center"/>
                </w:tcPr>
                <w:p>
                  <w:pPr>
                    <w:adjustRightInd w:val="0"/>
                    <w:snapToGrid w:val="0"/>
                    <w:spacing w:line="360" w:lineRule="auto"/>
                    <w:jc w:val="center"/>
                  </w:pPr>
                  <w:r>
                    <w:rPr>
                      <w:rFonts w:hint="eastAsia"/>
                    </w:rPr>
                    <w:t>/</w:t>
                  </w:r>
                </w:p>
              </w:tc>
              <w:tc>
                <w:tcPr>
                  <w:tcW w:w="2536" w:type="dxa"/>
                  <w:vAlign w:val="center"/>
                </w:tcPr>
                <w:p>
                  <w:pPr>
                    <w:adjustRightInd w:val="0"/>
                    <w:snapToGrid w:val="0"/>
                    <w:spacing w:line="360" w:lineRule="auto"/>
                    <w:jc w:val="cente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35" w:type="dxa"/>
                  <w:vAlign w:val="center"/>
                </w:tcPr>
                <w:p>
                  <w:pPr>
                    <w:adjustRightInd w:val="0"/>
                    <w:snapToGrid w:val="0"/>
                    <w:spacing w:line="360" w:lineRule="auto"/>
                    <w:jc w:val="center"/>
                  </w:pPr>
                  <w:r>
                    <w:rPr>
                      <w:rFonts w:hint="eastAsia"/>
                    </w:rPr>
                    <w:t>标准限值</w:t>
                  </w:r>
                </w:p>
              </w:tc>
              <w:tc>
                <w:tcPr>
                  <w:tcW w:w="10142" w:type="dxa"/>
                  <w:gridSpan w:val="4"/>
                  <w:vAlign w:val="center"/>
                </w:tcPr>
                <w:p>
                  <w:pPr>
                    <w:adjustRightInd w:val="0"/>
                    <w:snapToGrid w:val="0"/>
                    <w:spacing w:line="360" w:lineRule="auto"/>
                    <w:jc w:val="center"/>
                  </w:pPr>
                  <w:r>
                    <w:rPr>
                      <w:rFonts w:hint="eastAsia"/>
                    </w:rPr>
                    <w:t>昼间60 dB(A)、夜间50 dB(A)</w:t>
                  </w:r>
                </w:p>
              </w:tc>
            </w:tr>
          </w:tbl>
          <w:p>
            <w:pPr>
              <w:adjustRightInd w:val="0"/>
              <w:snapToGrid w:val="0"/>
              <w:spacing w:line="360" w:lineRule="auto"/>
              <w:ind w:firstLine="422"/>
            </w:pPr>
          </w:p>
          <w:p>
            <w:pPr>
              <w:adjustRightInd w:val="0"/>
              <w:snapToGrid w:val="0"/>
              <w:spacing w:line="360" w:lineRule="auto"/>
              <w:ind w:firstLine="422"/>
              <w:rPr>
                <w:color w:val="0000FF"/>
              </w:rPr>
            </w:pPr>
            <w:r>
              <w:rPr>
                <w:color w:val="0000FF"/>
              </w:rPr>
              <w:t>根据采取的减噪措施，本项目</w:t>
            </w:r>
            <w:r>
              <w:rPr>
                <w:rFonts w:hint="eastAsia"/>
                <w:color w:val="0000FF"/>
              </w:rPr>
              <w:t>年</w:t>
            </w:r>
            <w:r>
              <w:rPr>
                <w:bCs/>
                <w:color w:val="0000FF"/>
                <w:szCs w:val="21"/>
              </w:rPr>
              <w:t>工作日为300天，三班制，每班8小时，年工作时间为7200小时</w:t>
            </w:r>
            <w:r>
              <w:rPr>
                <w:color w:val="0000FF"/>
              </w:rPr>
              <w:t>，项目运营期间，主要噪声源对厂界声级贡献值满足《工业企业厂界环境噪声排放标准》（GB 12348-2008）2类标准要求（</w:t>
            </w:r>
            <w:r>
              <w:rPr>
                <w:rFonts w:hint="eastAsia"/>
                <w:color w:val="0000FF"/>
              </w:rPr>
              <w:t>昼间60 dB(A)、夜间50 dB(A)</w:t>
            </w:r>
            <w:r>
              <w:rPr>
                <w:color w:val="0000FF"/>
              </w:rPr>
              <w:t>），因此本项目对周围声环境影响较小。</w:t>
            </w:r>
          </w:p>
          <w:p>
            <w:pPr>
              <w:spacing w:line="360" w:lineRule="auto"/>
              <w:ind w:firstLine="420" w:firstLineChars="200"/>
            </w:pPr>
            <w:r>
              <w:t>4、监测要求</w:t>
            </w:r>
          </w:p>
          <w:p>
            <w:pPr>
              <w:spacing w:line="360" w:lineRule="auto"/>
              <w:ind w:firstLine="420" w:firstLineChars="200"/>
            </w:pPr>
            <w:r>
              <w:t>根据《排污单位自行监测技术指南 总则》（HJ 819-2017），针对本项目所排污染物情况，噪声监测计划见下表。</w:t>
            </w:r>
          </w:p>
          <w:p>
            <w:pPr>
              <w:jc w:val="center"/>
              <w:rPr>
                <w:b/>
                <w:bCs/>
                <w:szCs w:val="21"/>
              </w:rPr>
            </w:pPr>
            <w:r>
              <w:rPr>
                <w:b/>
                <w:bCs/>
                <w:szCs w:val="21"/>
              </w:rPr>
              <w:t>表4-1</w:t>
            </w:r>
            <w:r>
              <w:rPr>
                <w:rFonts w:hint="eastAsia"/>
                <w:b/>
                <w:bCs/>
                <w:szCs w:val="21"/>
              </w:rPr>
              <w:t>0</w:t>
            </w:r>
            <w:r>
              <w:rPr>
                <w:b/>
                <w:bCs/>
                <w:szCs w:val="21"/>
              </w:rPr>
              <w:t>项目监测要求一览表</w:t>
            </w:r>
          </w:p>
          <w:tbl>
            <w:tblPr>
              <w:tblStyle w:val="4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65"/>
              <w:gridCol w:w="2507"/>
              <w:gridCol w:w="2061"/>
              <w:gridCol w:w="1552"/>
              <w:gridCol w:w="1374"/>
              <w:gridCol w:w="337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3" w:type="pct"/>
                  <w:tcBorders>
                    <w:top w:val="single" w:color="auto" w:sz="12" w:space="0"/>
                    <w:left w:val="single" w:color="auto" w:sz="12" w:space="0"/>
                    <w:bottom w:val="single" w:color="auto" w:sz="4" w:space="0"/>
                    <w:right w:val="single" w:color="auto" w:sz="4" w:space="0"/>
                  </w:tcBorders>
                  <w:vAlign w:val="center"/>
                </w:tcPr>
                <w:p>
                  <w:pPr>
                    <w:jc w:val="center"/>
                    <w:rPr>
                      <w:b/>
                      <w:bCs/>
                      <w:szCs w:val="21"/>
                    </w:rPr>
                  </w:pPr>
                  <w:r>
                    <w:rPr>
                      <w:b/>
                      <w:bCs/>
                      <w:szCs w:val="21"/>
                    </w:rPr>
                    <w:t>监测内容</w:t>
                  </w:r>
                </w:p>
              </w:tc>
              <w:tc>
                <w:tcPr>
                  <w:tcW w:w="999" w:type="pct"/>
                  <w:tcBorders>
                    <w:top w:val="single" w:color="auto" w:sz="12" w:space="0"/>
                    <w:left w:val="single" w:color="auto" w:sz="4" w:space="0"/>
                    <w:bottom w:val="single" w:color="auto" w:sz="4" w:space="0"/>
                    <w:right w:val="single" w:color="auto" w:sz="4" w:space="0"/>
                  </w:tcBorders>
                  <w:vAlign w:val="center"/>
                </w:tcPr>
                <w:p>
                  <w:pPr>
                    <w:jc w:val="center"/>
                    <w:rPr>
                      <w:b/>
                      <w:bCs/>
                      <w:szCs w:val="21"/>
                    </w:rPr>
                  </w:pPr>
                  <w:r>
                    <w:rPr>
                      <w:b/>
                      <w:bCs/>
                      <w:szCs w:val="21"/>
                    </w:rPr>
                    <w:t>污染物名称</w:t>
                  </w:r>
                </w:p>
              </w:tc>
              <w:tc>
                <w:tcPr>
                  <w:tcW w:w="821" w:type="pct"/>
                  <w:tcBorders>
                    <w:top w:val="single" w:color="auto" w:sz="12" w:space="0"/>
                    <w:left w:val="single" w:color="auto" w:sz="4" w:space="0"/>
                    <w:bottom w:val="single" w:color="auto" w:sz="4" w:space="0"/>
                    <w:right w:val="single" w:color="auto" w:sz="4" w:space="0"/>
                  </w:tcBorders>
                  <w:vAlign w:val="center"/>
                </w:tcPr>
                <w:p>
                  <w:pPr>
                    <w:jc w:val="center"/>
                    <w:rPr>
                      <w:b/>
                      <w:bCs/>
                      <w:szCs w:val="21"/>
                    </w:rPr>
                  </w:pPr>
                  <w:r>
                    <w:rPr>
                      <w:b/>
                      <w:bCs/>
                      <w:szCs w:val="21"/>
                    </w:rPr>
                    <w:t>监测点位</w:t>
                  </w:r>
                </w:p>
              </w:tc>
              <w:tc>
                <w:tcPr>
                  <w:tcW w:w="619" w:type="pct"/>
                  <w:tcBorders>
                    <w:top w:val="single" w:color="auto" w:sz="12" w:space="0"/>
                    <w:left w:val="single" w:color="auto" w:sz="4" w:space="0"/>
                    <w:bottom w:val="single" w:color="auto" w:sz="4" w:space="0"/>
                    <w:right w:val="single" w:color="auto" w:sz="4" w:space="0"/>
                  </w:tcBorders>
                  <w:vAlign w:val="center"/>
                </w:tcPr>
                <w:p>
                  <w:pPr>
                    <w:jc w:val="center"/>
                    <w:rPr>
                      <w:b/>
                      <w:bCs/>
                      <w:szCs w:val="21"/>
                    </w:rPr>
                  </w:pPr>
                  <w:r>
                    <w:rPr>
                      <w:b/>
                      <w:bCs/>
                      <w:szCs w:val="21"/>
                    </w:rPr>
                    <w:t>监测设施</w:t>
                  </w:r>
                </w:p>
              </w:tc>
              <w:tc>
                <w:tcPr>
                  <w:tcW w:w="548" w:type="pct"/>
                  <w:tcBorders>
                    <w:top w:val="single" w:color="auto" w:sz="12" w:space="0"/>
                    <w:left w:val="single" w:color="auto" w:sz="4" w:space="0"/>
                    <w:bottom w:val="single" w:color="auto" w:sz="4" w:space="0"/>
                    <w:right w:val="single" w:color="auto" w:sz="4" w:space="0"/>
                  </w:tcBorders>
                  <w:vAlign w:val="center"/>
                </w:tcPr>
                <w:p>
                  <w:pPr>
                    <w:jc w:val="center"/>
                    <w:rPr>
                      <w:b/>
                      <w:bCs/>
                      <w:szCs w:val="21"/>
                    </w:rPr>
                  </w:pPr>
                  <w:r>
                    <w:rPr>
                      <w:b/>
                      <w:bCs/>
                      <w:szCs w:val="21"/>
                    </w:rPr>
                    <w:t>监测频次</w:t>
                  </w:r>
                </w:p>
              </w:tc>
              <w:tc>
                <w:tcPr>
                  <w:tcW w:w="1346" w:type="pct"/>
                  <w:tcBorders>
                    <w:top w:val="single" w:color="auto" w:sz="12" w:space="0"/>
                    <w:left w:val="single" w:color="auto" w:sz="4" w:space="0"/>
                    <w:bottom w:val="single" w:color="auto" w:sz="4" w:space="0"/>
                    <w:right w:val="single" w:color="auto" w:sz="12" w:space="0"/>
                  </w:tcBorders>
                  <w:vAlign w:val="center"/>
                </w:tcPr>
                <w:p>
                  <w:pPr>
                    <w:jc w:val="center"/>
                    <w:rPr>
                      <w:b/>
                      <w:bCs/>
                      <w:szCs w:val="21"/>
                    </w:rPr>
                  </w:pPr>
                  <w:r>
                    <w:rPr>
                      <w:b/>
                      <w:bCs/>
                      <w:szCs w:val="21"/>
                    </w:rPr>
                    <w:t>测定方法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3" w:type="pct"/>
                  <w:tcBorders>
                    <w:top w:val="single" w:color="auto" w:sz="4" w:space="0"/>
                    <w:left w:val="single" w:color="auto" w:sz="12" w:space="0"/>
                    <w:bottom w:val="single" w:color="auto" w:sz="12" w:space="0"/>
                    <w:right w:val="single" w:color="auto" w:sz="4" w:space="0"/>
                  </w:tcBorders>
                  <w:vAlign w:val="center"/>
                </w:tcPr>
                <w:p>
                  <w:pPr>
                    <w:pStyle w:val="106"/>
                  </w:pPr>
                  <w:r>
                    <w:t>噪声</w:t>
                  </w:r>
                </w:p>
              </w:tc>
              <w:tc>
                <w:tcPr>
                  <w:tcW w:w="999" w:type="pct"/>
                  <w:tcBorders>
                    <w:top w:val="single" w:color="auto" w:sz="4" w:space="0"/>
                    <w:left w:val="single" w:color="auto" w:sz="4" w:space="0"/>
                    <w:bottom w:val="single" w:color="auto" w:sz="12" w:space="0"/>
                    <w:right w:val="single" w:color="auto" w:sz="4" w:space="0"/>
                  </w:tcBorders>
                  <w:vAlign w:val="center"/>
                </w:tcPr>
                <w:p>
                  <w:pPr>
                    <w:pStyle w:val="106"/>
                  </w:pPr>
                  <w:r>
                    <w:t>Leq（昼间）</w:t>
                  </w:r>
                </w:p>
              </w:tc>
              <w:tc>
                <w:tcPr>
                  <w:tcW w:w="821" w:type="pct"/>
                  <w:tcBorders>
                    <w:top w:val="single" w:color="auto" w:sz="4" w:space="0"/>
                    <w:left w:val="single" w:color="auto" w:sz="4" w:space="0"/>
                    <w:bottom w:val="single" w:color="auto" w:sz="12" w:space="0"/>
                    <w:right w:val="single" w:color="auto" w:sz="4" w:space="0"/>
                  </w:tcBorders>
                  <w:vAlign w:val="center"/>
                </w:tcPr>
                <w:p>
                  <w:pPr>
                    <w:pStyle w:val="106"/>
                  </w:pPr>
                  <w:r>
                    <w:t>厂界四周</w:t>
                  </w:r>
                </w:p>
              </w:tc>
              <w:tc>
                <w:tcPr>
                  <w:tcW w:w="619" w:type="pct"/>
                  <w:tcBorders>
                    <w:top w:val="single" w:color="auto" w:sz="4" w:space="0"/>
                    <w:left w:val="single" w:color="auto" w:sz="4" w:space="0"/>
                    <w:bottom w:val="single" w:color="auto" w:sz="12" w:space="0"/>
                    <w:right w:val="single" w:color="auto" w:sz="4" w:space="0"/>
                  </w:tcBorders>
                  <w:vAlign w:val="center"/>
                </w:tcPr>
                <w:p>
                  <w:pPr>
                    <w:pStyle w:val="106"/>
                  </w:pPr>
                  <w:r>
                    <w:t>声级计</w:t>
                  </w:r>
                </w:p>
              </w:tc>
              <w:tc>
                <w:tcPr>
                  <w:tcW w:w="548" w:type="pct"/>
                  <w:tcBorders>
                    <w:top w:val="single" w:color="auto" w:sz="4" w:space="0"/>
                    <w:left w:val="single" w:color="auto" w:sz="4" w:space="0"/>
                    <w:bottom w:val="single" w:color="auto" w:sz="12" w:space="0"/>
                    <w:right w:val="single" w:color="auto" w:sz="4" w:space="0"/>
                  </w:tcBorders>
                  <w:vAlign w:val="center"/>
                </w:tcPr>
                <w:p>
                  <w:pPr>
                    <w:pStyle w:val="106"/>
                  </w:pPr>
                  <w:r>
                    <w:t>1次/季度</w:t>
                  </w:r>
                </w:p>
              </w:tc>
              <w:tc>
                <w:tcPr>
                  <w:tcW w:w="1346" w:type="pct"/>
                  <w:tcBorders>
                    <w:top w:val="single" w:color="auto" w:sz="4" w:space="0"/>
                    <w:left w:val="single" w:color="auto" w:sz="4" w:space="0"/>
                    <w:bottom w:val="single" w:color="auto" w:sz="12" w:space="0"/>
                    <w:right w:val="single" w:color="auto" w:sz="12" w:space="0"/>
                  </w:tcBorders>
                  <w:vAlign w:val="center"/>
                </w:tcPr>
                <w:p>
                  <w:pPr>
                    <w:pStyle w:val="106"/>
                  </w:pPr>
                  <w:r>
                    <w:t>《工业企业厂界环境噪声排放标准》（GB12348-2008）</w:t>
                  </w:r>
                </w:p>
              </w:tc>
            </w:tr>
          </w:tbl>
          <w:p>
            <w:pPr>
              <w:spacing w:line="360" w:lineRule="auto"/>
              <w:ind w:firstLine="422" w:firstLineChars="200"/>
              <w:rPr>
                <w:b/>
                <w:bCs/>
                <w:szCs w:val="21"/>
              </w:rPr>
            </w:pPr>
            <w:r>
              <w:rPr>
                <w:b/>
                <w:bCs/>
                <w:szCs w:val="21"/>
              </w:rPr>
              <w:t>四、运营期固体废物环境影响和保护措施</w:t>
            </w:r>
          </w:p>
          <w:p>
            <w:pPr>
              <w:spacing w:line="360" w:lineRule="auto"/>
              <w:ind w:firstLine="422"/>
            </w:pPr>
            <w:r>
              <w:t>（1）源强及处置措施</w:t>
            </w:r>
          </w:p>
          <w:p>
            <w:pPr>
              <w:spacing w:line="360" w:lineRule="auto"/>
              <w:ind w:firstLine="420" w:firstLineChars="200"/>
            </w:pPr>
            <w:r>
              <w:rPr>
                <w:rFonts w:hint="eastAsia"/>
              </w:rPr>
              <w:t>本项目</w:t>
            </w:r>
            <w:r>
              <w:t>产生的固废主要为生活垃圾、生产固废。生活垃圾集中收集后委托环卫部门定期清运，不对外随意排放。</w:t>
            </w:r>
          </w:p>
          <w:p>
            <w:pPr>
              <w:spacing w:line="360" w:lineRule="auto"/>
              <w:ind w:firstLine="420" w:firstLineChars="200"/>
              <w:rPr>
                <w:color w:val="0000FF"/>
              </w:rPr>
            </w:pPr>
            <w:r>
              <w:t>一般固废主要来源于产生的包装袋、废气处理设施布袋除尘器产生的废布袋。</w:t>
            </w:r>
            <w:r>
              <w:rPr>
                <w:color w:val="0000FF"/>
              </w:rPr>
              <w:t>包装袋、布袋除尘器产生的废布袋均集中收集后</w:t>
            </w:r>
            <w:r>
              <w:rPr>
                <w:rFonts w:hint="eastAsia"/>
                <w:color w:val="0000FF"/>
              </w:rPr>
              <w:t>外售给有资质的单位进行处理</w:t>
            </w:r>
            <w:r>
              <w:rPr>
                <w:color w:val="0000FF"/>
              </w:rPr>
              <w:t>。危险废物主要是设备维护产生的废润滑油、废润滑油桶</w:t>
            </w:r>
            <w:r>
              <w:rPr>
                <w:rFonts w:hint="eastAsia"/>
                <w:color w:val="0000FF"/>
              </w:rPr>
              <w:t>，集中收集后暂存于危废暂存间，委托资质单位安全处置</w:t>
            </w:r>
            <w:r>
              <w:rPr>
                <w:color w:val="0000FF"/>
              </w:rPr>
              <w:t>。</w:t>
            </w:r>
          </w:p>
          <w:p>
            <w:pPr>
              <w:spacing w:line="360" w:lineRule="auto"/>
              <w:ind w:firstLine="420" w:firstLineChars="200"/>
            </w:pPr>
            <w:r>
              <w:t>本项目一般固废产生及处理情况详见表4-1</w:t>
            </w:r>
            <w:r>
              <w:rPr>
                <w:rFonts w:hint="eastAsia"/>
              </w:rPr>
              <w:t>1</w:t>
            </w:r>
            <w:r>
              <w:t>，危险废物的产生及处理情况详见表4-1</w:t>
            </w:r>
            <w:r>
              <w:rPr>
                <w:rFonts w:hint="eastAsia"/>
              </w:rPr>
              <w:t>2</w:t>
            </w:r>
            <w:r>
              <w:t>。</w:t>
            </w:r>
          </w:p>
          <w:p>
            <w:pPr>
              <w:jc w:val="center"/>
              <w:rPr>
                <w:b/>
                <w:bCs/>
                <w:szCs w:val="21"/>
              </w:rPr>
            </w:pPr>
            <w:r>
              <w:rPr>
                <w:b/>
                <w:bCs/>
                <w:szCs w:val="21"/>
              </w:rPr>
              <w:t>表4-1</w:t>
            </w:r>
            <w:r>
              <w:rPr>
                <w:rFonts w:hint="eastAsia"/>
                <w:b/>
                <w:bCs/>
                <w:szCs w:val="21"/>
              </w:rPr>
              <w:t>1</w:t>
            </w:r>
            <w:r>
              <w:rPr>
                <w:b/>
                <w:bCs/>
                <w:szCs w:val="21"/>
              </w:rPr>
              <w:t xml:space="preserve"> 本项目固废产生及处理情况</w:t>
            </w:r>
          </w:p>
          <w:tbl>
            <w:tblPr>
              <w:tblStyle w:val="40"/>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76"/>
              <w:gridCol w:w="1458"/>
              <w:gridCol w:w="2037"/>
              <w:gridCol w:w="1758"/>
              <w:gridCol w:w="1456"/>
              <w:gridCol w:w="1456"/>
              <w:gridCol w:w="34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349" w:type="pct"/>
                  <w:vAlign w:val="center"/>
                </w:tcPr>
                <w:p>
                  <w:pPr>
                    <w:jc w:val="center"/>
                    <w:rPr>
                      <w:b/>
                      <w:bCs/>
                      <w:szCs w:val="21"/>
                    </w:rPr>
                  </w:pPr>
                  <w:r>
                    <w:rPr>
                      <w:b/>
                      <w:bCs/>
                      <w:szCs w:val="21"/>
                    </w:rPr>
                    <w:t>序号</w:t>
                  </w:r>
                </w:p>
              </w:tc>
              <w:tc>
                <w:tcPr>
                  <w:tcW w:w="581" w:type="pct"/>
                  <w:vAlign w:val="center"/>
                </w:tcPr>
                <w:p>
                  <w:pPr>
                    <w:jc w:val="center"/>
                    <w:rPr>
                      <w:b/>
                      <w:bCs/>
                      <w:szCs w:val="21"/>
                    </w:rPr>
                  </w:pPr>
                  <w:r>
                    <w:rPr>
                      <w:b/>
                      <w:bCs/>
                      <w:szCs w:val="21"/>
                    </w:rPr>
                    <w:t>固废属性</w:t>
                  </w:r>
                </w:p>
              </w:tc>
              <w:tc>
                <w:tcPr>
                  <w:tcW w:w="812" w:type="pct"/>
                  <w:vAlign w:val="center"/>
                </w:tcPr>
                <w:p>
                  <w:pPr>
                    <w:jc w:val="center"/>
                    <w:rPr>
                      <w:b/>
                      <w:bCs/>
                      <w:szCs w:val="21"/>
                    </w:rPr>
                  </w:pPr>
                  <w:r>
                    <w:rPr>
                      <w:b/>
                      <w:bCs/>
                      <w:szCs w:val="21"/>
                    </w:rPr>
                    <w:t>产生工序</w:t>
                  </w:r>
                </w:p>
              </w:tc>
              <w:tc>
                <w:tcPr>
                  <w:tcW w:w="701" w:type="pct"/>
                  <w:vAlign w:val="center"/>
                </w:tcPr>
                <w:p>
                  <w:pPr>
                    <w:jc w:val="center"/>
                    <w:rPr>
                      <w:b/>
                      <w:bCs/>
                      <w:szCs w:val="21"/>
                    </w:rPr>
                  </w:pPr>
                  <w:r>
                    <w:rPr>
                      <w:b/>
                      <w:bCs/>
                      <w:szCs w:val="21"/>
                    </w:rPr>
                    <w:t>名称</w:t>
                  </w:r>
                </w:p>
              </w:tc>
              <w:tc>
                <w:tcPr>
                  <w:tcW w:w="580" w:type="pct"/>
                  <w:vAlign w:val="center"/>
                </w:tcPr>
                <w:p>
                  <w:pPr>
                    <w:jc w:val="center"/>
                    <w:rPr>
                      <w:b/>
                      <w:bCs/>
                      <w:szCs w:val="21"/>
                    </w:rPr>
                  </w:pPr>
                  <w:r>
                    <w:rPr>
                      <w:rFonts w:hint="eastAsia"/>
                      <w:b/>
                      <w:bCs/>
                      <w:szCs w:val="21"/>
                    </w:rPr>
                    <w:t>固废代码</w:t>
                  </w:r>
                </w:p>
              </w:tc>
              <w:tc>
                <w:tcPr>
                  <w:tcW w:w="580" w:type="pct"/>
                  <w:vAlign w:val="center"/>
                </w:tcPr>
                <w:p>
                  <w:pPr>
                    <w:jc w:val="center"/>
                    <w:rPr>
                      <w:b/>
                      <w:bCs/>
                      <w:szCs w:val="21"/>
                    </w:rPr>
                  </w:pPr>
                  <w:r>
                    <w:rPr>
                      <w:b/>
                      <w:bCs/>
                      <w:szCs w:val="21"/>
                    </w:rPr>
                    <w:t>产生量</w:t>
                  </w:r>
                </w:p>
              </w:tc>
              <w:tc>
                <w:tcPr>
                  <w:tcW w:w="1394" w:type="pct"/>
                  <w:vAlign w:val="center"/>
                </w:tcPr>
                <w:p>
                  <w:pPr>
                    <w:jc w:val="center"/>
                    <w:rPr>
                      <w:b/>
                      <w:bCs/>
                      <w:szCs w:val="21"/>
                    </w:rPr>
                  </w:pPr>
                  <w:r>
                    <w:rPr>
                      <w:b/>
                      <w:bCs/>
                      <w:szCs w:val="21"/>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349" w:type="pct"/>
                  <w:vAlign w:val="center"/>
                </w:tcPr>
                <w:p>
                  <w:pPr>
                    <w:pStyle w:val="106"/>
                  </w:pPr>
                  <w:r>
                    <w:t>1</w:t>
                  </w:r>
                </w:p>
              </w:tc>
              <w:tc>
                <w:tcPr>
                  <w:tcW w:w="581" w:type="pct"/>
                  <w:vAlign w:val="center"/>
                </w:tcPr>
                <w:p>
                  <w:pPr>
                    <w:pStyle w:val="106"/>
                  </w:pPr>
                  <w:r>
                    <w:t>生活垃圾</w:t>
                  </w:r>
                </w:p>
              </w:tc>
              <w:tc>
                <w:tcPr>
                  <w:tcW w:w="812" w:type="pct"/>
                  <w:vAlign w:val="center"/>
                </w:tcPr>
                <w:p>
                  <w:pPr>
                    <w:pStyle w:val="106"/>
                  </w:pPr>
                  <w:r>
                    <w:t>职工生活</w:t>
                  </w:r>
                </w:p>
              </w:tc>
              <w:tc>
                <w:tcPr>
                  <w:tcW w:w="701" w:type="pct"/>
                  <w:vAlign w:val="center"/>
                </w:tcPr>
                <w:p>
                  <w:pPr>
                    <w:pStyle w:val="106"/>
                  </w:pPr>
                  <w:r>
                    <w:t>生活垃圾</w:t>
                  </w:r>
                </w:p>
              </w:tc>
              <w:tc>
                <w:tcPr>
                  <w:tcW w:w="580" w:type="pct"/>
                  <w:vAlign w:val="center"/>
                </w:tcPr>
                <w:p>
                  <w:pPr>
                    <w:widowControl/>
                    <w:jc w:val="center"/>
                    <w:rPr>
                      <w:snapToGrid w:val="0"/>
                      <w:kern w:val="0"/>
                      <w:szCs w:val="21"/>
                    </w:rPr>
                  </w:pPr>
                  <w:r>
                    <w:rPr>
                      <w:rFonts w:hint="eastAsia"/>
                      <w:snapToGrid w:val="0"/>
                      <w:kern w:val="0"/>
                      <w:szCs w:val="21"/>
                    </w:rPr>
                    <w:t>--</w:t>
                  </w:r>
                </w:p>
              </w:tc>
              <w:tc>
                <w:tcPr>
                  <w:tcW w:w="580" w:type="pct"/>
                  <w:vAlign w:val="center"/>
                </w:tcPr>
                <w:p>
                  <w:pPr>
                    <w:pStyle w:val="106"/>
                  </w:pPr>
                  <w:r>
                    <w:t>1.5t/a</w:t>
                  </w:r>
                </w:p>
              </w:tc>
              <w:tc>
                <w:tcPr>
                  <w:tcW w:w="1394" w:type="pct"/>
                  <w:vAlign w:val="center"/>
                </w:tcPr>
                <w:p>
                  <w:pPr>
                    <w:pStyle w:val="106"/>
                  </w:pPr>
                  <w:r>
                    <w:t>由环卫部门定期清运处理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349" w:type="pct"/>
                  <w:vAlign w:val="center"/>
                </w:tcPr>
                <w:p>
                  <w:pPr>
                    <w:pStyle w:val="106"/>
                  </w:pPr>
                  <w:r>
                    <w:t>2</w:t>
                  </w:r>
                </w:p>
              </w:tc>
              <w:tc>
                <w:tcPr>
                  <w:tcW w:w="581" w:type="pct"/>
                  <w:vMerge w:val="restart"/>
                  <w:vAlign w:val="center"/>
                </w:tcPr>
                <w:p>
                  <w:pPr>
                    <w:pStyle w:val="106"/>
                  </w:pPr>
                  <w:r>
                    <w:t>一般固废</w:t>
                  </w:r>
                </w:p>
              </w:tc>
              <w:tc>
                <w:tcPr>
                  <w:tcW w:w="812" w:type="pct"/>
                  <w:vAlign w:val="center"/>
                </w:tcPr>
                <w:p>
                  <w:pPr>
                    <w:pStyle w:val="106"/>
                  </w:pPr>
                  <w:r>
                    <w:t>原辅材料消耗</w:t>
                  </w:r>
                </w:p>
              </w:tc>
              <w:tc>
                <w:tcPr>
                  <w:tcW w:w="701" w:type="pct"/>
                  <w:vAlign w:val="center"/>
                </w:tcPr>
                <w:p>
                  <w:pPr>
                    <w:pStyle w:val="106"/>
                  </w:pPr>
                  <w:r>
                    <w:t>包装袋</w:t>
                  </w:r>
                </w:p>
              </w:tc>
              <w:tc>
                <w:tcPr>
                  <w:tcW w:w="580" w:type="pct"/>
                  <w:vAlign w:val="center"/>
                </w:tcPr>
                <w:p>
                  <w:pPr>
                    <w:pStyle w:val="106"/>
                  </w:pPr>
                  <w:r>
                    <w:rPr>
                      <w:rFonts w:hint="eastAsia"/>
                    </w:rPr>
                    <w:t>SW59</w:t>
                  </w:r>
                </w:p>
                <w:p>
                  <w:pPr>
                    <w:pStyle w:val="106"/>
                  </w:pPr>
                  <w:r>
                    <w:rPr>
                      <w:rFonts w:hint="eastAsia"/>
                    </w:rPr>
                    <w:t>900-099-S59</w:t>
                  </w:r>
                </w:p>
              </w:tc>
              <w:tc>
                <w:tcPr>
                  <w:tcW w:w="580" w:type="pct"/>
                  <w:vAlign w:val="center"/>
                </w:tcPr>
                <w:p>
                  <w:pPr>
                    <w:pStyle w:val="106"/>
                  </w:pPr>
                  <w:r>
                    <w:t>2t/a</w:t>
                  </w:r>
                </w:p>
              </w:tc>
              <w:tc>
                <w:tcPr>
                  <w:tcW w:w="1394" w:type="pct"/>
                  <w:vMerge w:val="restart"/>
                  <w:vAlign w:val="center"/>
                </w:tcPr>
                <w:p>
                  <w:pPr>
                    <w:pStyle w:val="106"/>
                  </w:pPr>
                  <w:r>
                    <w:rPr>
                      <w:color w:val="0000FF"/>
                    </w:rPr>
                    <w:t>集中收集后外售</w:t>
                  </w:r>
                  <w:r>
                    <w:rPr>
                      <w:rFonts w:hint="eastAsia"/>
                      <w:color w:val="0000FF"/>
                    </w:rPr>
                    <w:t>给有资质的单位进行处理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349" w:type="pct"/>
                  <w:vAlign w:val="center"/>
                </w:tcPr>
                <w:p>
                  <w:pPr>
                    <w:pStyle w:val="106"/>
                  </w:pPr>
                  <w:r>
                    <w:t>3</w:t>
                  </w:r>
                </w:p>
              </w:tc>
              <w:tc>
                <w:tcPr>
                  <w:tcW w:w="581" w:type="pct"/>
                  <w:vMerge w:val="continue"/>
                  <w:vAlign w:val="center"/>
                </w:tcPr>
                <w:p>
                  <w:pPr>
                    <w:pStyle w:val="106"/>
                  </w:pPr>
                </w:p>
              </w:tc>
              <w:tc>
                <w:tcPr>
                  <w:tcW w:w="812" w:type="pct"/>
                  <w:vAlign w:val="center"/>
                </w:tcPr>
                <w:p>
                  <w:pPr>
                    <w:pStyle w:val="106"/>
                  </w:pPr>
                  <w:r>
                    <w:t>废气处理设施</w:t>
                  </w:r>
                </w:p>
              </w:tc>
              <w:tc>
                <w:tcPr>
                  <w:tcW w:w="701" w:type="pct"/>
                  <w:vAlign w:val="center"/>
                </w:tcPr>
                <w:p>
                  <w:pPr>
                    <w:pStyle w:val="106"/>
                  </w:pPr>
                  <w:r>
                    <w:t>废布袋</w:t>
                  </w:r>
                </w:p>
              </w:tc>
              <w:tc>
                <w:tcPr>
                  <w:tcW w:w="580" w:type="pct"/>
                  <w:vAlign w:val="center"/>
                </w:tcPr>
                <w:p>
                  <w:pPr>
                    <w:pStyle w:val="106"/>
                  </w:pPr>
                  <w:r>
                    <w:rPr>
                      <w:rFonts w:hint="eastAsia"/>
                    </w:rPr>
                    <w:t>SW59</w:t>
                  </w:r>
                </w:p>
                <w:p>
                  <w:pPr>
                    <w:pStyle w:val="106"/>
                  </w:pPr>
                  <w:r>
                    <w:rPr>
                      <w:rFonts w:hint="eastAsia"/>
                    </w:rPr>
                    <w:t>900-099-S59</w:t>
                  </w:r>
                </w:p>
              </w:tc>
              <w:tc>
                <w:tcPr>
                  <w:tcW w:w="580" w:type="pct"/>
                  <w:vAlign w:val="center"/>
                </w:tcPr>
                <w:p>
                  <w:pPr>
                    <w:pStyle w:val="106"/>
                  </w:pPr>
                  <w:r>
                    <w:t>0.05t/a</w:t>
                  </w:r>
                </w:p>
              </w:tc>
              <w:tc>
                <w:tcPr>
                  <w:tcW w:w="1394" w:type="pct"/>
                  <w:vMerge w:val="continue"/>
                  <w:vAlign w:val="center"/>
                </w:tcPr>
                <w:p>
                  <w:pPr>
                    <w:pStyle w:val="106"/>
                  </w:pPr>
                </w:p>
              </w:tc>
            </w:tr>
          </w:tbl>
          <w:p>
            <w:pPr>
              <w:jc w:val="center"/>
              <w:rPr>
                <w:b/>
                <w:bCs/>
                <w:szCs w:val="21"/>
              </w:rPr>
            </w:pPr>
            <w:r>
              <w:rPr>
                <w:b/>
                <w:bCs/>
                <w:szCs w:val="21"/>
              </w:rPr>
              <w:t>表4-1</w:t>
            </w:r>
            <w:r>
              <w:rPr>
                <w:rFonts w:hint="eastAsia"/>
                <w:b/>
                <w:bCs/>
                <w:szCs w:val="21"/>
              </w:rPr>
              <w:t>2</w:t>
            </w:r>
            <w:r>
              <w:rPr>
                <w:b/>
                <w:bCs/>
                <w:szCs w:val="21"/>
              </w:rPr>
              <w:t xml:space="preserve"> 本项目危废产生及处理情况</w:t>
            </w:r>
          </w:p>
          <w:tbl>
            <w:tblPr>
              <w:tblStyle w:val="40"/>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96"/>
              <w:gridCol w:w="1601"/>
              <w:gridCol w:w="2123"/>
              <w:gridCol w:w="2329"/>
              <w:gridCol w:w="2201"/>
              <w:gridCol w:w="27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596" w:type="pct"/>
                  <w:vAlign w:val="center"/>
                </w:tcPr>
                <w:p>
                  <w:pPr>
                    <w:jc w:val="center"/>
                    <w:rPr>
                      <w:b/>
                      <w:bCs/>
                      <w:szCs w:val="21"/>
                    </w:rPr>
                  </w:pPr>
                  <w:r>
                    <w:rPr>
                      <w:b/>
                      <w:bCs/>
                      <w:szCs w:val="21"/>
                    </w:rPr>
                    <w:t>序号</w:t>
                  </w:r>
                </w:p>
              </w:tc>
              <w:tc>
                <w:tcPr>
                  <w:tcW w:w="638" w:type="pct"/>
                  <w:vAlign w:val="center"/>
                </w:tcPr>
                <w:p>
                  <w:pPr>
                    <w:jc w:val="center"/>
                    <w:rPr>
                      <w:b/>
                      <w:bCs/>
                      <w:szCs w:val="21"/>
                    </w:rPr>
                  </w:pPr>
                  <w:r>
                    <w:rPr>
                      <w:b/>
                      <w:bCs/>
                      <w:szCs w:val="21"/>
                    </w:rPr>
                    <w:t>固废属性</w:t>
                  </w:r>
                </w:p>
              </w:tc>
              <w:tc>
                <w:tcPr>
                  <w:tcW w:w="846" w:type="pct"/>
                </w:tcPr>
                <w:p>
                  <w:pPr>
                    <w:jc w:val="center"/>
                    <w:rPr>
                      <w:b/>
                      <w:bCs/>
                      <w:szCs w:val="21"/>
                    </w:rPr>
                  </w:pPr>
                  <w:r>
                    <w:rPr>
                      <w:b/>
                      <w:bCs/>
                      <w:szCs w:val="21"/>
                    </w:rPr>
                    <w:t>产生工序</w:t>
                  </w:r>
                </w:p>
              </w:tc>
              <w:tc>
                <w:tcPr>
                  <w:tcW w:w="928" w:type="pct"/>
                  <w:vAlign w:val="center"/>
                </w:tcPr>
                <w:p>
                  <w:pPr>
                    <w:jc w:val="center"/>
                    <w:rPr>
                      <w:b/>
                      <w:bCs/>
                      <w:szCs w:val="21"/>
                    </w:rPr>
                  </w:pPr>
                  <w:r>
                    <w:rPr>
                      <w:b/>
                      <w:bCs/>
                      <w:szCs w:val="21"/>
                    </w:rPr>
                    <w:t>名称</w:t>
                  </w:r>
                </w:p>
              </w:tc>
              <w:tc>
                <w:tcPr>
                  <w:tcW w:w="877" w:type="pct"/>
                  <w:vAlign w:val="center"/>
                </w:tcPr>
                <w:p>
                  <w:pPr>
                    <w:jc w:val="center"/>
                    <w:rPr>
                      <w:b/>
                      <w:bCs/>
                      <w:szCs w:val="21"/>
                    </w:rPr>
                  </w:pPr>
                  <w:r>
                    <w:rPr>
                      <w:b/>
                      <w:bCs/>
                      <w:szCs w:val="21"/>
                    </w:rPr>
                    <w:t>产生量</w:t>
                  </w:r>
                </w:p>
              </w:tc>
              <w:tc>
                <w:tcPr>
                  <w:tcW w:w="1113" w:type="pct"/>
                  <w:vAlign w:val="center"/>
                </w:tcPr>
                <w:p>
                  <w:pPr>
                    <w:jc w:val="center"/>
                    <w:rPr>
                      <w:b/>
                      <w:bCs/>
                      <w:szCs w:val="21"/>
                    </w:rPr>
                  </w:pPr>
                  <w:r>
                    <w:rPr>
                      <w:b/>
                      <w:bCs/>
                      <w:szCs w:val="21"/>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596" w:type="pct"/>
                  <w:vAlign w:val="center"/>
                </w:tcPr>
                <w:p>
                  <w:pPr>
                    <w:pStyle w:val="106"/>
                  </w:pPr>
                  <w:r>
                    <w:t>1</w:t>
                  </w:r>
                </w:p>
              </w:tc>
              <w:tc>
                <w:tcPr>
                  <w:tcW w:w="638" w:type="pct"/>
                  <w:vMerge w:val="restart"/>
                  <w:vAlign w:val="center"/>
                </w:tcPr>
                <w:p>
                  <w:pPr>
                    <w:pStyle w:val="106"/>
                  </w:pPr>
                  <w:r>
                    <w:t>危险废物</w:t>
                  </w:r>
                </w:p>
              </w:tc>
              <w:tc>
                <w:tcPr>
                  <w:tcW w:w="846" w:type="pct"/>
                  <w:vMerge w:val="restart"/>
                </w:tcPr>
                <w:p>
                  <w:pPr>
                    <w:pStyle w:val="106"/>
                  </w:pPr>
                </w:p>
                <w:p>
                  <w:pPr>
                    <w:pStyle w:val="106"/>
                  </w:pPr>
                  <w:r>
                    <w:t>维护设备</w:t>
                  </w:r>
                </w:p>
              </w:tc>
              <w:tc>
                <w:tcPr>
                  <w:tcW w:w="928" w:type="pct"/>
                  <w:noWrap/>
                  <w:vAlign w:val="center"/>
                </w:tcPr>
                <w:p>
                  <w:pPr>
                    <w:pStyle w:val="106"/>
                  </w:pPr>
                  <w:r>
                    <w:t>废润滑油</w:t>
                  </w:r>
                </w:p>
              </w:tc>
              <w:tc>
                <w:tcPr>
                  <w:tcW w:w="877" w:type="pct"/>
                  <w:vAlign w:val="center"/>
                </w:tcPr>
                <w:p>
                  <w:pPr>
                    <w:pStyle w:val="106"/>
                  </w:pPr>
                  <w:r>
                    <w:t>0.5t/a</w:t>
                  </w:r>
                </w:p>
              </w:tc>
              <w:tc>
                <w:tcPr>
                  <w:tcW w:w="1113" w:type="pct"/>
                  <w:vMerge w:val="restart"/>
                  <w:vAlign w:val="center"/>
                </w:tcPr>
                <w:p>
                  <w:pPr>
                    <w:jc w:val="center"/>
                  </w:pPr>
                  <w:r>
                    <w:rPr>
                      <w:snapToGrid w:val="0"/>
                      <w:kern w:val="0"/>
                      <w:szCs w:val="21"/>
                    </w:rPr>
                    <w:t>暂存于危废暂存间，委托资质单位安全处置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9" w:hRule="atLeast"/>
              </w:trPr>
              <w:tc>
                <w:tcPr>
                  <w:tcW w:w="596" w:type="pct"/>
                  <w:vAlign w:val="center"/>
                </w:tcPr>
                <w:p>
                  <w:pPr>
                    <w:pStyle w:val="106"/>
                  </w:pPr>
                  <w:r>
                    <w:t>2</w:t>
                  </w:r>
                </w:p>
              </w:tc>
              <w:tc>
                <w:tcPr>
                  <w:tcW w:w="638" w:type="pct"/>
                  <w:vMerge w:val="continue"/>
                  <w:vAlign w:val="center"/>
                </w:tcPr>
                <w:p>
                  <w:pPr>
                    <w:pStyle w:val="106"/>
                  </w:pPr>
                </w:p>
              </w:tc>
              <w:tc>
                <w:tcPr>
                  <w:tcW w:w="846" w:type="pct"/>
                  <w:vMerge w:val="continue"/>
                </w:tcPr>
                <w:p>
                  <w:pPr>
                    <w:pStyle w:val="106"/>
                  </w:pPr>
                </w:p>
              </w:tc>
              <w:tc>
                <w:tcPr>
                  <w:tcW w:w="928" w:type="pct"/>
                  <w:noWrap/>
                  <w:vAlign w:val="center"/>
                </w:tcPr>
                <w:p>
                  <w:pPr>
                    <w:pStyle w:val="106"/>
                  </w:pPr>
                  <w:r>
                    <w:t>废润滑油桶</w:t>
                  </w:r>
                </w:p>
              </w:tc>
              <w:tc>
                <w:tcPr>
                  <w:tcW w:w="877" w:type="pct"/>
                  <w:vAlign w:val="center"/>
                </w:tcPr>
                <w:p>
                  <w:pPr>
                    <w:pStyle w:val="106"/>
                  </w:pPr>
                  <w:r>
                    <w:t>0.025t</w:t>
                  </w:r>
                </w:p>
              </w:tc>
              <w:tc>
                <w:tcPr>
                  <w:tcW w:w="1113" w:type="pct"/>
                  <w:vMerge w:val="continue"/>
                  <w:vAlign w:val="center"/>
                </w:tcPr>
                <w:p>
                  <w:pPr>
                    <w:ind w:firstLine="422"/>
                    <w:jc w:val="center"/>
                  </w:pPr>
                </w:p>
              </w:tc>
            </w:tr>
          </w:tbl>
          <w:p>
            <w:pPr>
              <w:spacing w:line="360" w:lineRule="auto"/>
              <w:ind w:firstLine="422"/>
            </w:pPr>
            <w:r>
              <w:t>①废包装袋</w:t>
            </w:r>
          </w:p>
          <w:p>
            <w:pPr>
              <w:spacing w:line="360" w:lineRule="auto"/>
              <w:ind w:firstLine="422"/>
            </w:pPr>
            <w:r>
              <w:t>本项目外购的原辅材料的包装袋的产生量约为2t/a，</w:t>
            </w:r>
            <w:r>
              <w:rPr>
                <w:color w:val="0000FF"/>
              </w:rPr>
              <w:t>集中收集后</w:t>
            </w:r>
            <w:r>
              <w:rPr>
                <w:rFonts w:hint="eastAsia"/>
                <w:color w:val="0000FF"/>
              </w:rPr>
              <w:t>外售给有资质的单位进行处理</w:t>
            </w:r>
            <w:r>
              <w:t>。</w:t>
            </w:r>
          </w:p>
          <w:p>
            <w:pPr>
              <w:spacing w:line="360" w:lineRule="auto"/>
              <w:ind w:firstLine="422"/>
            </w:pPr>
            <w:r>
              <w:t>②生活垃圾</w:t>
            </w:r>
          </w:p>
          <w:p>
            <w:pPr>
              <w:spacing w:line="360" w:lineRule="auto"/>
              <w:ind w:firstLine="422"/>
            </w:pPr>
            <w:r>
              <w:t>本项目劳动定员10人，年工作300天，生活垃圾产生量按0.5kg/人·d，经计算约为1.5t/a。定时收集至厂区内垃圾箱，集中收集后，由当地环卫部门定期清运。</w:t>
            </w:r>
          </w:p>
          <w:p>
            <w:pPr>
              <w:spacing w:line="360" w:lineRule="auto"/>
              <w:ind w:firstLine="422"/>
            </w:pPr>
            <w:r>
              <w:t>③废布袋</w:t>
            </w:r>
          </w:p>
          <w:p>
            <w:pPr>
              <w:pStyle w:val="294"/>
              <w:spacing w:line="360" w:lineRule="auto"/>
              <w:ind w:firstLine="420"/>
              <w:rPr>
                <w:rFonts w:hint="default"/>
                <w:kern w:val="0"/>
                <w:szCs w:val="21"/>
              </w:rPr>
            </w:pPr>
            <w:r>
              <w:rPr>
                <w:rFonts w:hint="default"/>
                <w:kern w:val="0"/>
                <w:szCs w:val="21"/>
              </w:rPr>
              <w:t>布袋除尘器产生的废布袋约为0.05t/a，</w:t>
            </w:r>
            <w:r>
              <w:rPr>
                <w:color w:val="0000FF"/>
              </w:rPr>
              <w:t>集中收集后外售给有资质的单位进行处理</w:t>
            </w:r>
            <w:r>
              <w:rPr>
                <w:rFonts w:hint="default"/>
                <w:kern w:val="0"/>
                <w:szCs w:val="21"/>
              </w:rPr>
              <w:t>。</w:t>
            </w:r>
          </w:p>
          <w:p>
            <w:pPr>
              <w:pStyle w:val="294"/>
              <w:spacing w:line="360" w:lineRule="auto"/>
              <w:ind w:firstLine="420"/>
              <w:rPr>
                <w:rFonts w:hint="default"/>
              </w:rPr>
            </w:pPr>
            <w:r>
              <w:rPr>
                <w:rFonts w:hint="default"/>
              </w:rPr>
              <w:t>④废润滑油</w:t>
            </w:r>
          </w:p>
          <w:p>
            <w:pPr>
              <w:pStyle w:val="294"/>
              <w:spacing w:line="360" w:lineRule="auto"/>
              <w:ind w:firstLine="420"/>
              <w:rPr>
                <w:rFonts w:hint="default"/>
              </w:rPr>
            </w:pPr>
            <w:r>
              <w:rPr>
                <w:rFonts w:hint="default"/>
              </w:rPr>
              <w:t>本项目在设备维护时会产生废润滑油，根据企业提供的资料，废润滑油的年产生量为0.5t/a，对照《国家危险废物名录》（2021年版），废润滑油属于危险废物，危废代码为HW08（900-249-08），暂存于危废暂存间，委托有资质单位处理。</w:t>
            </w:r>
          </w:p>
          <w:p>
            <w:pPr>
              <w:pStyle w:val="294"/>
              <w:spacing w:line="360" w:lineRule="auto"/>
              <w:ind w:firstLine="420"/>
              <w:rPr>
                <w:rFonts w:hint="default"/>
              </w:rPr>
            </w:pPr>
            <w:r>
              <w:rPr>
                <w:rFonts w:hint="default"/>
              </w:rPr>
              <w:t>⑤废润滑油桶</w:t>
            </w:r>
          </w:p>
          <w:p>
            <w:pPr>
              <w:pStyle w:val="294"/>
              <w:spacing w:line="360" w:lineRule="auto"/>
              <w:ind w:firstLine="420"/>
              <w:rPr>
                <w:rFonts w:hint="default"/>
              </w:rPr>
            </w:pPr>
            <w:r>
              <w:rPr>
                <w:rFonts w:hint="default"/>
              </w:rPr>
              <w:t>本项目维护设备会产生废润滑油桶，废润滑油桶的产生量为5个/年，废润滑油桶的质量为5kg/个，则废润滑油桶的产生量为0.025t/a，对照《国家危险废物名录》（2021年版），废润滑油机油桶属于危险废物，危废代码为HW08（900-249-08），暂存于危废暂存间，委托有资质单位处理。</w:t>
            </w:r>
          </w:p>
          <w:p>
            <w:pPr>
              <w:pStyle w:val="294"/>
              <w:ind w:firstLine="420"/>
              <w:rPr>
                <w:rFonts w:hint="default"/>
              </w:rPr>
            </w:pPr>
            <w:r>
              <w:rPr>
                <w:rFonts w:hint="default"/>
              </w:rPr>
              <w:t>本项目危险废物汇总见下表。</w:t>
            </w:r>
          </w:p>
          <w:p>
            <w:pPr>
              <w:jc w:val="center"/>
              <w:rPr>
                <w:b/>
                <w:bCs/>
                <w:szCs w:val="21"/>
              </w:rPr>
            </w:pPr>
            <w:r>
              <w:rPr>
                <w:b/>
                <w:bCs/>
                <w:szCs w:val="21"/>
              </w:rPr>
              <w:t>表4-13 本项目危险废物汇总表</w:t>
            </w:r>
          </w:p>
          <w:tbl>
            <w:tblPr>
              <w:tblStyle w:val="40"/>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3"/>
              <w:gridCol w:w="1570"/>
              <w:gridCol w:w="1545"/>
              <w:gridCol w:w="1695"/>
              <w:gridCol w:w="849"/>
              <w:gridCol w:w="1065"/>
              <w:gridCol w:w="649"/>
              <w:gridCol w:w="1116"/>
              <w:gridCol w:w="732"/>
              <w:gridCol w:w="1033"/>
              <w:gridCol w:w="163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6" w:type="pct"/>
                  <w:tcBorders>
                    <w:tl2br w:val="nil"/>
                    <w:tr2bl w:val="nil"/>
                  </w:tcBorders>
                  <w:vAlign w:val="center"/>
                </w:tcPr>
                <w:p>
                  <w:pPr>
                    <w:jc w:val="center"/>
                    <w:rPr>
                      <w:b/>
                      <w:bCs/>
                      <w:szCs w:val="21"/>
                      <w:lang w:val="de-DE"/>
                    </w:rPr>
                  </w:pPr>
                  <w:r>
                    <w:rPr>
                      <w:b/>
                      <w:bCs/>
                      <w:szCs w:val="21"/>
                      <w:lang w:val="de-DE"/>
                    </w:rPr>
                    <w:t>序号</w:t>
                  </w:r>
                </w:p>
              </w:tc>
              <w:tc>
                <w:tcPr>
                  <w:tcW w:w="625" w:type="pct"/>
                  <w:tcBorders>
                    <w:tl2br w:val="nil"/>
                    <w:tr2bl w:val="nil"/>
                  </w:tcBorders>
                  <w:vAlign w:val="center"/>
                </w:tcPr>
                <w:p>
                  <w:pPr>
                    <w:jc w:val="center"/>
                    <w:rPr>
                      <w:b/>
                      <w:bCs/>
                      <w:szCs w:val="21"/>
                      <w:lang w:val="de-DE"/>
                    </w:rPr>
                  </w:pPr>
                  <w:r>
                    <w:rPr>
                      <w:b/>
                      <w:bCs/>
                      <w:szCs w:val="21"/>
                      <w:lang w:val="de-DE"/>
                    </w:rPr>
                    <w:t>危险废物名称</w:t>
                  </w:r>
                </w:p>
              </w:tc>
              <w:tc>
                <w:tcPr>
                  <w:tcW w:w="615" w:type="pct"/>
                  <w:tcBorders>
                    <w:tl2br w:val="nil"/>
                    <w:tr2bl w:val="nil"/>
                  </w:tcBorders>
                  <w:vAlign w:val="center"/>
                </w:tcPr>
                <w:p>
                  <w:pPr>
                    <w:jc w:val="center"/>
                    <w:rPr>
                      <w:b/>
                      <w:bCs/>
                      <w:szCs w:val="21"/>
                      <w:lang w:val="de-DE"/>
                    </w:rPr>
                  </w:pPr>
                  <w:r>
                    <w:rPr>
                      <w:b/>
                      <w:bCs/>
                      <w:szCs w:val="21"/>
                      <w:lang w:val="de-DE"/>
                    </w:rPr>
                    <w:t>危险废物类别</w:t>
                  </w:r>
                </w:p>
              </w:tc>
              <w:tc>
                <w:tcPr>
                  <w:tcW w:w="675" w:type="pct"/>
                  <w:tcBorders>
                    <w:tl2br w:val="nil"/>
                    <w:tr2bl w:val="nil"/>
                  </w:tcBorders>
                  <w:vAlign w:val="center"/>
                </w:tcPr>
                <w:p>
                  <w:pPr>
                    <w:jc w:val="center"/>
                    <w:rPr>
                      <w:b/>
                      <w:bCs/>
                      <w:szCs w:val="21"/>
                      <w:lang w:val="de-DE"/>
                    </w:rPr>
                  </w:pPr>
                  <w:r>
                    <w:rPr>
                      <w:b/>
                      <w:bCs/>
                      <w:szCs w:val="21"/>
                      <w:lang w:val="de-DE"/>
                    </w:rPr>
                    <w:t>危险废物代码</w:t>
                  </w:r>
                </w:p>
              </w:tc>
              <w:tc>
                <w:tcPr>
                  <w:tcW w:w="339" w:type="pct"/>
                  <w:tcBorders>
                    <w:tl2br w:val="nil"/>
                    <w:tr2bl w:val="nil"/>
                  </w:tcBorders>
                  <w:vAlign w:val="center"/>
                </w:tcPr>
                <w:p>
                  <w:pPr>
                    <w:jc w:val="center"/>
                    <w:rPr>
                      <w:b/>
                      <w:bCs/>
                      <w:szCs w:val="21"/>
                      <w:lang w:val="de-DE"/>
                    </w:rPr>
                  </w:pPr>
                  <w:r>
                    <w:rPr>
                      <w:b/>
                      <w:bCs/>
                      <w:szCs w:val="21"/>
                      <w:lang w:val="de-DE"/>
                    </w:rPr>
                    <w:t>产生量</w:t>
                  </w:r>
                </w:p>
              </w:tc>
              <w:tc>
                <w:tcPr>
                  <w:tcW w:w="425" w:type="pct"/>
                  <w:tcBorders>
                    <w:tl2br w:val="nil"/>
                    <w:tr2bl w:val="nil"/>
                  </w:tcBorders>
                  <w:vAlign w:val="center"/>
                </w:tcPr>
                <w:p>
                  <w:pPr>
                    <w:jc w:val="center"/>
                    <w:rPr>
                      <w:b/>
                      <w:bCs/>
                      <w:szCs w:val="21"/>
                      <w:lang w:val="de-DE"/>
                    </w:rPr>
                  </w:pPr>
                  <w:r>
                    <w:rPr>
                      <w:b/>
                      <w:bCs/>
                      <w:szCs w:val="21"/>
                      <w:lang w:val="de-DE"/>
                    </w:rPr>
                    <w:t>来源</w:t>
                  </w:r>
                </w:p>
              </w:tc>
              <w:tc>
                <w:tcPr>
                  <w:tcW w:w="259" w:type="pct"/>
                  <w:tcBorders>
                    <w:tl2br w:val="nil"/>
                    <w:tr2bl w:val="nil"/>
                  </w:tcBorders>
                  <w:vAlign w:val="center"/>
                </w:tcPr>
                <w:p>
                  <w:pPr>
                    <w:jc w:val="center"/>
                    <w:rPr>
                      <w:b/>
                      <w:bCs/>
                      <w:szCs w:val="21"/>
                      <w:lang w:val="de-DE"/>
                    </w:rPr>
                  </w:pPr>
                  <w:r>
                    <w:rPr>
                      <w:b/>
                      <w:bCs/>
                      <w:szCs w:val="21"/>
                      <w:lang w:val="de-DE"/>
                    </w:rPr>
                    <w:t>形态</w:t>
                  </w:r>
                </w:p>
              </w:tc>
              <w:tc>
                <w:tcPr>
                  <w:tcW w:w="445" w:type="pct"/>
                  <w:tcBorders>
                    <w:tl2br w:val="nil"/>
                    <w:tr2bl w:val="nil"/>
                  </w:tcBorders>
                  <w:vAlign w:val="center"/>
                </w:tcPr>
                <w:p>
                  <w:pPr>
                    <w:jc w:val="center"/>
                    <w:rPr>
                      <w:b/>
                      <w:bCs/>
                      <w:szCs w:val="21"/>
                      <w:lang w:val="de-DE"/>
                    </w:rPr>
                  </w:pPr>
                  <w:r>
                    <w:rPr>
                      <w:b/>
                      <w:bCs/>
                      <w:szCs w:val="21"/>
                      <w:lang w:val="de-DE"/>
                    </w:rPr>
                    <w:t>有害成分</w:t>
                  </w:r>
                </w:p>
              </w:tc>
              <w:tc>
                <w:tcPr>
                  <w:tcW w:w="292" w:type="pct"/>
                  <w:tcBorders>
                    <w:tl2br w:val="nil"/>
                    <w:tr2bl w:val="nil"/>
                  </w:tcBorders>
                  <w:vAlign w:val="center"/>
                </w:tcPr>
                <w:p>
                  <w:pPr>
                    <w:jc w:val="center"/>
                    <w:rPr>
                      <w:b/>
                      <w:bCs/>
                      <w:szCs w:val="21"/>
                      <w:lang w:val="de-DE"/>
                    </w:rPr>
                  </w:pPr>
                  <w:r>
                    <w:rPr>
                      <w:b/>
                      <w:bCs/>
                      <w:szCs w:val="21"/>
                      <w:lang w:val="de-DE"/>
                    </w:rPr>
                    <w:t>产废周期</w:t>
                  </w:r>
                </w:p>
              </w:tc>
              <w:tc>
                <w:tcPr>
                  <w:tcW w:w="412" w:type="pct"/>
                  <w:tcBorders>
                    <w:tl2br w:val="nil"/>
                    <w:tr2bl w:val="nil"/>
                  </w:tcBorders>
                  <w:vAlign w:val="center"/>
                </w:tcPr>
                <w:p>
                  <w:pPr>
                    <w:jc w:val="center"/>
                    <w:rPr>
                      <w:b/>
                      <w:bCs/>
                      <w:szCs w:val="21"/>
                      <w:lang w:val="de-DE"/>
                    </w:rPr>
                  </w:pPr>
                  <w:r>
                    <w:rPr>
                      <w:b/>
                      <w:bCs/>
                      <w:szCs w:val="21"/>
                      <w:lang w:val="de-DE"/>
                    </w:rPr>
                    <w:t>危险</w:t>
                  </w:r>
                </w:p>
                <w:p>
                  <w:pPr>
                    <w:jc w:val="center"/>
                    <w:rPr>
                      <w:b/>
                      <w:bCs/>
                      <w:szCs w:val="21"/>
                      <w:lang w:val="de-DE"/>
                    </w:rPr>
                  </w:pPr>
                  <w:r>
                    <w:rPr>
                      <w:b/>
                      <w:bCs/>
                      <w:szCs w:val="21"/>
                      <w:lang w:val="de-DE"/>
                    </w:rPr>
                    <w:t>特性</w:t>
                  </w:r>
                </w:p>
              </w:tc>
              <w:tc>
                <w:tcPr>
                  <w:tcW w:w="652" w:type="pct"/>
                  <w:tcBorders>
                    <w:tl2br w:val="nil"/>
                    <w:tr2bl w:val="nil"/>
                  </w:tcBorders>
                  <w:vAlign w:val="center"/>
                </w:tcPr>
                <w:p>
                  <w:pPr>
                    <w:jc w:val="center"/>
                    <w:rPr>
                      <w:b/>
                      <w:bCs/>
                      <w:szCs w:val="21"/>
                      <w:lang w:val="de-DE"/>
                    </w:rPr>
                  </w:pPr>
                  <w:r>
                    <w:rPr>
                      <w:b/>
                      <w:bCs/>
                      <w:szCs w:val="21"/>
                      <w:lang w:val="de-DE"/>
                    </w:rPr>
                    <w:t>污染防治措施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6" w:type="pct"/>
                  <w:tcBorders>
                    <w:tl2br w:val="nil"/>
                    <w:tr2bl w:val="nil"/>
                  </w:tcBorders>
                  <w:vAlign w:val="center"/>
                </w:tcPr>
                <w:p>
                  <w:pPr>
                    <w:pStyle w:val="106"/>
                  </w:pPr>
                  <w:r>
                    <w:t>1</w:t>
                  </w:r>
                </w:p>
              </w:tc>
              <w:tc>
                <w:tcPr>
                  <w:tcW w:w="625" w:type="pct"/>
                  <w:tcBorders>
                    <w:tl2br w:val="nil"/>
                    <w:tr2bl w:val="nil"/>
                  </w:tcBorders>
                  <w:vAlign w:val="center"/>
                </w:tcPr>
                <w:p>
                  <w:pPr>
                    <w:pStyle w:val="106"/>
                    <w:rPr>
                      <w:lang w:val="de-DE"/>
                    </w:rPr>
                  </w:pPr>
                  <w:r>
                    <w:rPr>
                      <w:lang w:val="de-DE"/>
                    </w:rPr>
                    <w:t>废润滑油</w:t>
                  </w:r>
                </w:p>
              </w:tc>
              <w:tc>
                <w:tcPr>
                  <w:tcW w:w="615" w:type="pct"/>
                  <w:tcBorders>
                    <w:tl2br w:val="nil"/>
                    <w:tr2bl w:val="nil"/>
                  </w:tcBorders>
                  <w:vAlign w:val="center"/>
                </w:tcPr>
                <w:p>
                  <w:pPr>
                    <w:pStyle w:val="106"/>
                  </w:pPr>
                  <w:r>
                    <w:t>HW08</w:t>
                  </w:r>
                </w:p>
              </w:tc>
              <w:tc>
                <w:tcPr>
                  <w:tcW w:w="675" w:type="pct"/>
                  <w:tcBorders>
                    <w:tl2br w:val="nil"/>
                    <w:tr2bl w:val="nil"/>
                  </w:tcBorders>
                  <w:vAlign w:val="center"/>
                </w:tcPr>
                <w:p>
                  <w:pPr>
                    <w:pStyle w:val="106"/>
                  </w:pPr>
                  <w:r>
                    <w:t>900-249-08</w:t>
                  </w:r>
                </w:p>
              </w:tc>
              <w:tc>
                <w:tcPr>
                  <w:tcW w:w="339" w:type="pct"/>
                  <w:tcBorders>
                    <w:tl2br w:val="nil"/>
                    <w:tr2bl w:val="nil"/>
                  </w:tcBorders>
                  <w:vAlign w:val="center"/>
                </w:tcPr>
                <w:p>
                  <w:pPr>
                    <w:pStyle w:val="106"/>
                  </w:pPr>
                  <w:r>
                    <w:t>0.5t</w:t>
                  </w:r>
                </w:p>
              </w:tc>
              <w:tc>
                <w:tcPr>
                  <w:tcW w:w="425" w:type="pct"/>
                  <w:tcBorders>
                    <w:tl2br w:val="nil"/>
                    <w:tr2bl w:val="nil"/>
                  </w:tcBorders>
                  <w:vAlign w:val="center"/>
                </w:tcPr>
                <w:p>
                  <w:pPr>
                    <w:pStyle w:val="106"/>
                    <w:rPr>
                      <w:lang w:val="de-DE"/>
                    </w:rPr>
                  </w:pPr>
                  <w:r>
                    <w:rPr>
                      <w:lang w:val="de-DE"/>
                    </w:rPr>
                    <w:t>设备维修</w:t>
                  </w:r>
                </w:p>
              </w:tc>
              <w:tc>
                <w:tcPr>
                  <w:tcW w:w="259" w:type="pct"/>
                  <w:tcBorders>
                    <w:tl2br w:val="nil"/>
                    <w:tr2bl w:val="nil"/>
                  </w:tcBorders>
                  <w:vAlign w:val="center"/>
                </w:tcPr>
                <w:p>
                  <w:pPr>
                    <w:pStyle w:val="106"/>
                    <w:rPr>
                      <w:lang w:val="de-DE"/>
                    </w:rPr>
                  </w:pPr>
                  <w:r>
                    <w:rPr>
                      <w:lang w:val="de-DE"/>
                    </w:rPr>
                    <w:t>液态</w:t>
                  </w:r>
                </w:p>
              </w:tc>
              <w:tc>
                <w:tcPr>
                  <w:tcW w:w="445" w:type="pct"/>
                  <w:tcBorders>
                    <w:tl2br w:val="nil"/>
                    <w:tr2bl w:val="nil"/>
                  </w:tcBorders>
                  <w:vAlign w:val="center"/>
                </w:tcPr>
                <w:p>
                  <w:pPr>
                    <w:pStyle w:val="106"/>
                    <w:rPr>
                      <w:lang w:val="de-DE"/>
                    </w:rPr>
                  </w:pPr>
                  <w:r>
                    <w:rPr>
                      <w:lang w:val="de-DE"/>
                    </w:rPr>
                    <w:t>矿物油</w:t>
                  </w:r>
                </w:p>
              </w:tc>
              <w:tc>
                <w:tcPr>
                  <w:tcW w:w="292" w:type="pct"/>
                  <w:tcBorders>
                    <w:tl2br w:val="nil"/>
                    <w:tr2bl w:val="nil"/>
                  </w:tcBorders>
                  <w:vAlign w:val="center"/>
                </w:tcPr>
                <w:p>
                  <w:pPr>
                    <w:pStyle w:val="106"/>
                  </w:pPr>
                  <w:r>
                    <w:t>1年</w:t>
                  </w:r>
                </w:p>
              </w:tc>
              <w:tc>
                <w:tcPr>
                  <w:tcW w:w="412" w:type="pct"/>
                  <w:tcBorders>
                    <w:tl2br w:val="nil"/>
                    <w:tr2bl w:val="nil"/>
                  </w:tcBorders>
                  <w:vAlign w:val="center"/>
                </w:tcPr>
                <w:p>
                  <w:pPr>
                    <w:pStyle w:val="106"/>
                  </w:pPr>
                  <w:r>
                    <w:t>T</w:t>
                  </w:r>
                </w:p>
              </w:tc>
              <w:tc>
                <w:tcPr>
                  <w:tcW w:w="652" w:type="pct"/>
                  <w:vMerge w:val="restart"/>
                  <w:tcBorders>
                    <w:tl2br w:val="nil"/>
                    <w:tr2bl w:val="nil"/>
                  </w:tcBorders>
                  <w:vAlign w:val="center"/>
                </w:tcPr>
                <w:p>
                  <w:pPr>
                    <w:pStyle w:val="106"/>
                    <w:rPr>
                      <w:lang w:val="de-DE"/>
                    </w:rPr>
                  </w:pPr>
                  <w:r>
                    <w:rPr>
                      <w:lang w:val="de-DE"/>
                    </w:rPr>
                    <w:t>暂存于危废暂存间，定期交由有资质单位</w:t>
                  </w:r>
                  <w:r>
                    <w:t>委托处置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6" w:type="pct"/>
                  <w:tcBorders>
                    <w:tl2br w:val="nil"/>
                    <w:tr2bl w:val="nil"/>
                  </w:tcBorders>
                  <w:vAlign w:val="center"/>
                </w:tcPr>
                <w:p>
                  <w:pPr>
                    <w:pStyle w:val="106"/>
                  </w:pPr>
                  <w:r>
                    <w:t>2</w:t>
                  </w:r>
                </w:p>
              </w:tc>
              <w:tc>
                <w:tcPr>
                  <w:tcW w:w="625" w:type="pct"/>
                  <w:tcBorders>
                    <w:tl2br w:val="nil"/>
                    <w:tr2bl w:val="nil"/>
                  </w:tcBorders>
                  <w:vAlign w:val="center"/>
                </w:tcPr>
                <w:p>
                  <w:pPr>
                    <w:pStyle w:val="106"/>
                  </w:pPr>
                  <w:r>
                    <w:t>废润滑油桶</w:t>
                  </w:r>
                </w:p>
              </w:tc>
              <w:tc>
                <w:tcPr>
                  <w:tcW w:w="615" w:type="pct"/>
                  <w:tcBorders>
                    <w:tl2br w:val="nil"/>
                    <w:tr2bl w:val="nil"/>
                  </w:tcBorders>
                  <w:vAlign w:val="center"/>
                </w:tcPr>
                <w:p>
                  <w:pPr>
                    <w:pStyle w:val="106"/>
                  </w:pPr>
                  <w:r>
                    <w:t>HW08</w:t>
                  </w:r>
                </w:p>
              </w:tc>
              <w:tc>
                <w:tcPr>
                  <w:tcW w:w="675" w:type="pct"/>
                  <w:tcBorders>
                    <w:tl2br w:val="nil"/>
                    <w:tr2bl w:val="nil"/>
                  </w:tcBorders>
                  <w:vAlign w:val="center"/>
                </w:tcPr>
                <w:p>
                  <w:pPr>
                    <w:pStyle w:val="106"/>
                  </w:pPr>
                  <w:r>
                    <w:t>900-249-08</w:t>
                  </w:r>
                </w:p>
              </w:tc>
              <w:tc>
                <w:tcPr>
                  <w:tcW w:w="339" w:type="pct"/>
                  <w:tcBorders>
                    <w:tl2br w:val="nil"/>
                    <w:tr2bl w:val="nil"/>
                  </w:tcBorders>
                  <w:vAlign w:val="center"/>
                </w:tcPr>
                <w:p>
                  <w:pPr>
                    <w:pStyle w:val="106"/>
                  </w:pPr>
                  <w:r>
                    <w:t>0.025t</w:t>
                  </w:r>
                </w:p>
              </w:tc>
              <w:tc>
                <w:tcPr>
                  <w:tcW w:w="425" w:type="pct"/>
                  <w:tcBorders>
                    <w:tl2br w:val="nil"/>
                    <w:tr2bl w:val="nil"/>
                  </w:tcBorders>
                  <w:vAlign w:val="center"/>
                </w:tcPr>
                <w:p>
                  <w:pPr>
                    <w:pStyle w:val="106"/>
                    <w:rPr>
                      <w:lang w:val="de-DE"/>
                    </w:rPr>
                  </w:pPr>
                  <w:r>
                    <w:rPr>
                      <w:lang w:val="de-DE"/>
                    </w:rPr>
                    <w:t>设备维修</w:t>
                  </w:r>
                </w:p>
              </w:tc>
              <w:tc>
                <w:tcPr>
                  <w:tcW w:w="259" w:type="pct"/>
                  <w:tcBorders>
                    <w:tl2br w:val="nil"/>
                    <w:tr2bl w:val="nil"/>
                  </w:tcBorders>
                  <w:vAlign w:val="center"/>
                </w:tcPr>
                <w:p>
                  <w:pPr>
                    <w:pStyle w:val="106"/>
                    <w:rPr>
                      <w:lang w:val="de-DE"/>
                    </w:rPr>
                  </w:pPr>
                  <w:r>
                    <w:rPr>
                      <w:lang w:val="de-DE"/>
                    </w:rPr>
                    <w:t>固态</w:t>
                  </w:r>
                </w:p>
              </w:tc>
              <w:tc>
                <w:tcPr>
                  <w:tcW w:w="445" w:type="pct"/>
                  <w:tcBorders>
                    <w:tl2br w:val="nil"/>
                    <w:tr2bl w:val="nil"/>
                  </w:tcBorders>
                  <w:vAlign w:val="center"/>
                </w:tcPr>
                <w:p>
                  <w:pPr>
                    <w:pStyle w:val="106"/>
                    <w:rPr>
                      <w:lang w:val="de-DE"/>
                    </w:rPr>
                  </w:pPr>
                  <w:r>
                    <w:rPr>
                      <w:lang w:val="de-DE"/>
                    </w:rPr>
                    <w:t>矿物油</w:t>
                  </w:r>
                </w:p>
              </w:tc>
              <w:tc>
                <w:tcPr>
                  <w:tcW w:w="292" w:type="pct"/>
                  <w:tcBorders>
                    <w:tl2br w:val="nil"/>
                    <w:tr2bl w:val="nil"/>
                  </w:tcBorders>
                  <w:vAlign w:val="center"/>
                </w:tcPr>
                <w:p>
                  <w:pPr>
                    <w:pStyle w:val="106"/>
                  </w:pPr>
                  <w:r>
                    <w:t>1年</w:t>
                  </w:r>
                </w:p>
              </w:tc>
              <w:tc>
                <w:tcPr>
                  <w:tcW w:w="412" w:type="pct"/>
                  <w:tcBorders>
                    <w:tl2br w:val="nil"/>
                    <w:tr2bl w:val="nil"/>
                  </w:tcBorders>
                  <w:vAlign w:val="center"/>
                </w:tcPr>
                <w:p>
                  <w:pPr>
                    <w:pStyle w:val="106"/>
                  </w:pPr>
                  <w:r>
                    <w:t>T</w:t>
                  </w:r>
                </w:p>
              </w:tc>
              <w:tc>
                <w:tcPr>
                  <w:tcW w:w="652" w:type="pct"/>
                  <w:vMerge w:val="continue"/>
                  <w:tcBorders>
                    <w:tl2br w:val="nil"/>
                    <w:tr2bl w:val="nil"/>
                  </w:tcBorders>
                  <w:vAlign w:val="center"/>
                </w:tcPr>
                <w:p>
                  <w:pPr>
                    <w:pStyle w:val="106"/>
                    <w:rPr>
                      <w:lang w:val="de-DE"/>
                    </w:rPr>
                  </w:pPr>
                </w:p>
              </w:tc>
            </w:tr>
          </w:tbl>
          <w:p>
            <w:pPr>
              <w:adjustRightInd w:val="0"/>
              <w:snapToGrid w:val="0"/>
              <w:spacing w:line="360" w:lineRule="auto"/>
              <w:ind w:firstLine="420" w:firstLineChars="200"/>
            </w:pPr>
            <w:r>
              <w:t>（2）环境管理要求</w:t>
            </w:r>
          </w:p>
          <w:p>
            <w:pPr>
              <w:adjustRightInd w:val="0"/>
              <w:snapToGrid w:val="0"/>
              <w:spacing w:line="360" w:lineRule="auto"/>
              <w:ind w:firstLine="420" w:firstLineChars="200"/>
            </w:pPr>
            <w:r>
              <w:t>项目设置一般固废暂存区，用于一般固废暂存；设置危废暂存间，用于危废的暂存。一般固废暂存区建设时做好防渗、防风、防晒、防雨等措施，设置环境保护图形标志，符合《中华人民共和国固体废物污染环境防治法》相关要求，采取防扬散、防流失、防渗漏或者其他防止污染环境的措施，不得擅自倾倒、堆放、丢弃、遗撒，一般工业固体废物管理过程中还应执行《一般工业固体废物管理台账制定指南（试行）》（公告2021年第82号）要求；危险废物收集、贮存执行《危险废物贮存污染控制标准》（GB18597-2023），转移按照《危险废物转移管理办法》（2022年1月1日）执行，根据《危险废物贮存污染控制标准》（GB18597-2023），贮存点应满足以下要求：</w:t>
            </w:r>
          </w:p>
          <w:p>
            <w:pPr>
              <w:adjustRightInd w:val="0"/>
              <w:snapToGrid w:val="0"/>
              <w:spacing w:line="360" w:lineRule="auto"/>
              <w:ind w:firstLine="420" w:firstLineChars="200"/>
            </w:pPr>
            <w:r>
              <w:t>“8.3.1应具有固定的区域边界，并应采取与其他区域进行隔离的措施。8.3.2贮存点应采取防风、防雨、防晒和防止危险废物流失、扬散等措施。8.3.3贮存点贮存的危险废物应置于容器或包装物中，不应直接散堆。8.3.4贮存点应根据危险废物的形态、物理化学性质、包装形式等，采取防渗、防漏等污染防治措施或采用具有相应功能的装置。8.3.5贮存点应及时清运贮存的危险废物，实时贮存量不应超过3吨。贮存设施或场所、容器和包装物应按HJ1276要求设置危险废物贮存设施或场所标志、危险废物贮存分区标志和危险废物标签等危险废物识别标志。”</w:t>
            </w:r>
          </w:p>
          <w:p>
            <w:pPr>
              <w:adjustRightInd w:val="0"/>
              <w:snapToGrid w:val="0"/>
              <w:spacing w:line="360" w:lineRule="auto"/>
              <w:ind w:firstLine="420" w:firstLineChars="200"/>
            </w:pPr>
            <w:r>
              <w:t>危险废物转移严格按照《危险废物转移管理办法》（2022年1月1日）执行，危险废物定期由有资质单位负责转运处理，企业不得私自转运。</w:t>
            </w:r>
          </w:p>
          <w:p>
            <w:pPr>
              <w:adjustRightInd w:val="0"/>
              <w:snapToGrid w:val="0"/>
              <w:spacing w:line="360" w:lineRule="auto"/>
              <w:ind w:firstLine="420" w:firstLineChars="200"/>
            </w:pPr>
            <w:r>
              <w:t>本项目拟建设危废间1座，</w:t>
            </w:r>
            <w:r>
              <w:rPr>
                <w:szCs w:val="21"/>
              </w:rPr>
              <w:t>位于维修工具间北侧，</w:t>
            </w:r>
            <w:r>
              <w:t>危废暂存间建筑面积为15m</w:t>
            </w:r>
            <w:r>
              <w:rPr>
                <w:vertAlign w:val="superscript"/>
              </w:rPr>
              <w:t>2</w:t>
            </w:r>
            <w:r>
              <w:t>，根据危险废物的性质，对危险废物的暂存进行分区设置。</w:t>
            </w:r>
          </w:p>
          <w:p>
            <w:pPr>
              <w:jc w:val="center"/>
              <w:rPr>
                <w:b/>
                <w:bCs/>
                <w:szCs w:val="21"/>
              </w:rPr>
            </w:pPr>
            <w:r>
              <w:rPr>
                <w:b/>
                <w:bCs/>
                <w:szCs w:val="21"/>
              </w:rPr>
              <w:t>表4-14 建设项目危废暂存间基本情况表</w:t>
            </w:r>
          </w:p>
          <w:tbl>
            <w:tblPr>
              <w:tblStyle w:val="40"/>
              <w:tblW w:w="4993"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35"/>
              <w:gridCol w:w="1511"/>
              <w:gridCol w:w="1728"/>
              <w:gridCol w:w="1541"/>
              <w:gridCol w:w="1490"/>
              <w:gridCol w:w="1233"/>
              <w:gridCol w:w="1092"/>
              <w:gridCol w:w="1170"/>
              <w:gridCol w:w="1085"/>
              <w:gridCol w:w="10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3" w:type="pct"/>
                  <w:tcBorders>
                    <w:tl2br w:val="nil"/>
                    <w:tr2bl w:val="nil"/>
                  </w:tcBorders>
                  <w:vAlign w:val="center"/>
                </w:tcPr>
                <w:p>
                  <w:pPr>
                    <w:jc w:val="center"/>
                    <w:rPr>
                      <w:b/>
                      <w:bCs/>
                      <w:szCs w:val="21"/>
                    </w:rPr>
                  </w:pPr>
                  <w:r>
                    <w:rPr>
                      <w:b/>
                      <w:bCs/>
                      <w:szCs w:val="21"/>
                    </w:rPr>
                    <w:t>序号</w:t>
                  </w:r>
                </w:p>
              </w:tc>
              <w:tc>
                <w:tcPr>
                  <w:tcW w:w="602" w:type="pct"/>
                  <w:tcBorders>
                    <w:tl2br w:val="nil"/>
                    <w:tr2bl w:val="nil"/>
                  </w:tcBorders>
                  <w:vAlign w:val="center"/>
                </w:tcPr>
                <w:p>
                  <w:pPr>
                    <w:jc w:val="center"/>
                    <w:rPr>
                      <w:b/>
                      <w:bCs/>
                      <w:szCs w:val="21"/>
                    </w:rPr>
                  </w:pPr>
                  <w:r>
                    <w:rPr>
                      <w:b/>
                      <w:bCs/>
                      <w:szCs w:val="21"/>
                    </w:rPr>
                    <w:t>贮存场所名称</w:t>
                  </w:r>
                </w:p>
              </w:tc>
              <w:tc>
                <w:tcPr>
                  <w:tcW w:w="689" w:type="pct"/>
                  <w:tcBorders>
                    <w:tl2br w:val="nil"/>
                    <w:tr2bl w:val="nil"/>
                  </w:tcBorders>
                  <w:vAlign w:val="center"/>
                </w:tcPr>
                <w:p>
                  <w:pPr>
                    <w:jc w:val="center"/>
                    <w:rPr>
                      <w:b/>
                      <w:bCs/>
                      <w:szCs w:val="21"/>
                    </w:rPr>
                  </w:pPr>
                  <w:r>
                    <w:rPr>
                      <w:b/>
                      <w:bCs/>
                      <w:szCs w:val="21"/>
                    </w:rPr>
                    <w:t>危险废物名称</w:t>
                  </w:r>
                </w:p>
              </w:tc>
              <w:tc>
                <w:tcPr>
                  <w:tcW w:w="614" w:type="pct"/>
                  <w:tcBorders>
                    <w:tl2br w:val="nil"/>
                    <w:tr2bl w:val="nil"/>
                  </w:tcBorders>
                  <w:vAlign w:val="center"/>
                </w:tcPr>
                <w:p>
                  <w:pPr>
                    <w:jc w:val="center"/>
                    <w:rPr>
                      <w:b/>
                      <w:bCs/>
                      <w:szCs w:val="21"/>
                    </w:rPr>
                  </w:pPr>
                  <w:r>
                    <w:rPr>
                      <w:b/>
                      <w:bCs/>
                      <w:szCs w:val="21"/>
                    </w:rPr>
                    <w:t>危险废物类别</w:t>
                  </w:r>
                </w:p>
              </w:tc>
              <w:tc>
                <w:tcPr>
                  <w:tcW w:w="594" w:type="pct"/>
                  <w:tcBorders>
                    <w:tl2br w:val="nil"/>
                    <w:tr2bl w:val="nil"/>
                  </w:tcBorders>
                  <w:vAlign w:val="center"/>
                </w:tcPr>
                <w:p>
                  <w:pPr>
                    <w:jc w:val="center"/>
                    <w:rPr>
                      <w:b/>
                      <w:bCs/>
                      <w:szCs w:val="21"/>
                    </w:rPr>
                  </w:pPr>
                  <w:r>
                    <w:rPr>
                      <w:b/>
                      <w:bCs/>
                      <w:szCs w:val="21"/>
                    </w:rPr>
                    <w:t>危险废物代码</w:t>
                  </w:r>
                </w:p>
              </w:tc>
              <w:tc>
                <w:tcPr>
                  <w:tcW w:w="492" w:type="pct"/>
                  <w:tcBorders>
                    <w:tl2br w:val="nil"/>
                    <w:tr2bl w:val="nil"/>
                  </w:tcBorders>
                  <w:vAlign w:val="center"/>
                </w:tcPr>
                <w:p>
                  <w:pPr>
                    <w:jc w:val="center"/>
                    <w:rPr>
                      <w:b/>
                      <w:bCs/>
                      <w:szCs w:val="21"/>
                    </w:rPr>
                  </w:pPr>
                  <w:r>
                    <w:rPr>
                      <w:b/>
                      <w:bCs/>
                      <w:szCs w:val="21"/>
                    </w:rPr>
                    <w:t>位置</w:t>
                  </w:r>
                </w:p>
              </w:tc>
              <w:tc>
                <w:tcPr>
                  <w:tcW w:w="436" w:type="pct"/>
                  <w:tcBorders>
                    <w:tl2br w:val="nil"/>
                    <w:tr2bl w:val="nil"/>
                  </w:tcBorders>
                  <w:vAlign w:val="center"/>
                </w:tcPr>
                <w:p>
                  <w:pPr>
                    <w:jc w:val="center"/>
                    <w:rPr>
                      <w:b/>
                      <w:bCs/>
                      <w:szCs w:val="21"/>
                    </w:rPr>
                  </w:pPr>
                  <w:r>
                    <w:rPr>
                      <w:b/>
                      <w:bCs/>
                      <w:szCs w:val="21"/>
                    </w:rPr>
                    <w:t>占地面积</w:t>
                  </w:r>
                </w:p>
              </w:tc>
              <w:tc>
                <w:tcPr>
                  <w:tcW w:w="467" w:type="pct"/>
                  <w:tcBorders>
                    <w:tl2br w:val="nil"/>
                    <w:tr2bl w:val="nil"/>
                  </w:tcBorders>
                  <w:vAlign w:val="center"/>
                </w:tcPr>
                <w:p>
                  <w:pPr>
                    <w:jc w:val="center"/>
                    <w:rPr>
                      <w:b/>
                      <w:bCs/>
                      <w:szCs w:val="21"/>
                    </w:rPr>
                  </w:pPr>
                  <w:r>
                    <w:rPr>
                      <w:b/>
                      <w:bCs/>
                      <w:szCs w:val="21"/>
                    </w:rPr>
                    <w:t>贮存方式</w:t>
                  </w:r>
                </w:p>
              </w:tc>
              <w:tc>
                <w:tcPr>
                  <w:tcW w:w="433" w:type="pct"/>
                  <w:tcBorders>
                    <w:tl2br w:val="nil"/>
                    <w:tr2bl w:val="nil"/>
                  </w:tcBorders>
                  <w:vAlign w:val="center"/>
                </w:tcPr>
                <w:p>
                  <w:pPr>
                    <w:jc w:val="center"/>
                    <w:rPr>
                      <w:b/>
                      <w:bCs/>
                      <w:szCs w:val="21"/>
                    </w:rPr>
                  </w:pPr>
                  <w:r>
                    <w:rPr>
                      <w:b/>
                      <w:bCs/>
                      <w:szCs w:val="21"/>
                    </w:rPr>
                    <w:t>贮存能力</w:t>
                  </w:r>
                </w:p>
              </w:tc>
              <w:tc>
                <w:tcPr>
                  <w:tcW w:w="415" w:type="pct"/>
                  <w:tcBorders>
                    <w:tl2br w:val="nil"/>
                    <w:tr2bl w:val="nil"/>
                  </w:tcBorders>
                  <w:vAlign w:val="center"/>
                </w:tcPr>
                <w:p>
                  <w:pPr>
                    <w:jc w:val="center"/>
                    <w:rPr>
                      <w:b/>
                      <w:bCs/>
                      <w:szCs w:val="21"/>
                    </w:rPr>
                  </w:pPr>
                  <w:r>
                    <w:rPr>
                      <w:b/>
                      <w:bCs/>
                      <w:szCs w:val="21"/>
                    </w:rPr>
                    <w:t>贮存</w:t>
                  </w:r>
                </w:p>
                <w:p>
                  <w:pPr>
                    <w:jc w:val="center"/>
                    <w:rPr>
                      <w:b/>
                      <w:bCs/>
                      <w:szCs w:val="21"/>
                    </w:rPr>
                  </w:pPr>
                  <w:r>
                    <w:rPr>
                      <w:b/>
                      <w:bCs/>
                      <w:szCs w:val="21"/>
                    </w:rPr>
                    <w:t>周期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3" w:type="pct"/>
                  <w:tcBorders>
                    <w:tl2br w:val="nil"/>
                    <w:tr2bl w:val="nil"/>
                  </w:tcBorders>
                  <w:vAlign w:val="center"/>
                </w:tcPr>
                <w:p>
                  <w:pPr>
                    <w:pStyle w:val="2"/>
                    <w:spacing w:line="312" w:lineRule="exact"/>
                    <w:ind w:firstLine="0" w:firstLineChars="0"/>
                    <w:jc w:val="center"/>
                  </w:pPr>
                  <w:r>
                    <w:t>1</w:t>
                  </w:r>
                </w:p>
              </w:tc>
              <w:tc>
                <w:tcPr>
                  <w:tcW w:w="602" w:type="pct"/>
                  <w:vMerge w:val="restart"/>
                  <w:tcBorders>
                    <w:tl2br w:val="nil"/>
                    <w:tr2bl w:val="nil"/>
                  </w:tcBorders>
                  <w:vAlign w:val="center"/>
                </w:tcPr>
                <w:p>
                  <w:pPr>
                    <w:pStyle w:val="2"/>
                    <w:spacing w:line="312" w:lineRule="exact"/>
                    <w:ind w:firstLine="0" w:firstLineChars="0"/>
                    <w:jc w:val="center"/>
                  </w:pPr>
                  <w:r>
                    <w:t>危废暂存间</w:t>
                  </w:r>
                </w:p>
              </w:tc>
              <w:tc>
                <w:tcPr>
                  <w:tcW w:w="689" w:type="pct"/>
                  <w:tcBorders>
                    <w:tl2br w:val="nil"/>
                    <w:tr2bl w:val="nil"/>
                  </w:tcBorders>
                  <w:vAlign w:val="center"/>
                </w:tcPr>
                <w:p>
                  <w:pPr>
                    <w:pStyle w:val="2"/>
                    <w:spacing w:line="312" w:lineRule="exact"/>
                    <w:ind w:firstLine="0" w:firstLineChars="0"/>
                    <w:jc w:val="center"/>
                  </w:pPr>
                  <w:r>
                    <w:rPr>
                      <w:lang w:val="de-DE"/>
                    </w:rPr>
                    <w:t>废润滑油</w:t>
                  </w:r>
                </w:p>
              </w:tc>
              <w:tc>
                <w:tcPr>
                  <w:tcW w:w="614" w:type="pct"/>
                  <w:tcBorders>
                    <w:tl2br w:val="nil"/>
                    <w:tr2bl w:val="nil"/>
                  </w:tcBorders>
                  <w:vAlign w:val="center"/>
                </w:tcPr>
                <w:p>
                  <w:pPr>
                    <w:pStyle w:val="106"/>
                  </w:pPr>
                  <w:r>
                    <w:t>HW08</w:t>
                  </w:r>
                </w:p>
              </w:tc>
              <w:tc>
                <w:tcPr>
                  <w:tcW w:w="594" w:type="pct"/>
                  <w:tcBorders>
                    <w:tl2br w:val="nil"/>
                    <w:tr2bl w:val="nil"/>
                  </w:tcBorders>
                  <w:vAlign w:val="center"/>
                </w:tcPr>
                <w:p>
                  <w:pPr>
                    <w:pStyle w:val="106"/>
                  </w:pPr>
                  <w:r>
                    <w:t>900-249-08</w:t>
                  </w:r>
                </w:p>
              </w:tc>
              <w:tc>
                <w:tcPr>
                  <w:tcW w:w="492" w:type="pct"/>
                  <w:vMerge w:val="restart"/>
                  <w:tcBorders>
                    <w:tl2br w:val="nil"/>
                    <w:tr2bl w:val="nil"/>
                  </w:tcBorders>
                  <w:vAlign w:val="center"/>
                </w:tcPr>
                <w:p>
                  <w:pPr>
                    <w:pStyle w:val="2"/>
                    <w:spacing w:line="312" w:lineRule="exact"/>
                    <w:ind w:firstLine="0" w:firstLineChars="0"/>
                    <w:jc w:val="center"/>
                  </w:pPr>
                  <w:r>
                    <w:rPr>
                      <w:szCs w:val="21"/>
                    </w:rPr>
                    <w:t>固废间北侧</w:t>
                  </w:r>
                </w:p>
              </w:tc>
              <w:tc>
                <w:tcPr>
                  <w:tcW w:w="436" w:type="pct"/>
                  <w:vMerge w:val="restart"/>
                  <w:tcBorders>
                    <w:tl2br w:val="nil"/>
                    <w:tr2bl w:val="nil"/>
                  </w:tcBorders>
                  <w:vAlign w:val="center"/>
                </w:tcPr>
                <w:p>
                  <w:pPr>
                    <w:pStyle w:val="2"/>
                    <w:spacing w:line="312" w:lineRule="exact"/>
                    <w:ind w:firstLine="0" w:firstLineChars="0"/>
                    <w:jc w:val="center"/>
                  </w:pPr>
                  <w:r>
                    <w:t>15m</w:t>
                  </w:r>
                  <w:r>
                    <w:rPr>
                      <w:vertAlign w:val="superscript"/>
                    </w:rPr>
                    <w:t>2</w:t>
                  </w:r>
                </w:p>
              </w:tc>
              <w:tc>
                <w:tcPr>
                  <w:tcW w:w="467" w:type="pct"/>
                  <w:tcBorders>
                    <w:tl2br w:val="nil"/>
                    <w:tr2bl w:val="nil"/>
                  </w:tcBorders>
                  <w:vAlign w:val="center"/>
                </w:tcPr>
                <w:p>
                  <w:pPr>
                    <w:pStyle w:val="2"/>
                    <w:spacing w:line="312" w:lineRule="exact"/>
                    <w:ind w:firstLine="0" w:firstLineChars="0"/>
                    <w:jc w:val="center"/>
                  </w:pPr>
                  <w:r>
                    <w:t>桶装</w:t>
                  </w:r>
                </w:p>
              </w:tc>
              <w:tc>
                <w:tcPr>
                  <w:tcW w:w="433" w:type="pct"/>
                  <w:tcBorders>
                    <w:tl2br w:val="nil"/>
                    <w:tr2bl w:val="nil"/>
                  </w:tcBorders>
                  <w:vAlign w:val="center"/>
                </w:tcPr>
                <w:p>
                  <w:pPr>
                    <w:pStyle w:val="2"/>
                    <w:spacing w:line="312" w:lineRule="exact"/>
                    <w:ind w:firstLine="0" w:firstLineChars="0"/>
                    <w:jc w:val="center"/>
                  </w:pPr>
                  <w:r>
                    <w:t>1t/a</w:t>
                  </w:r>
                </w:p>
              </w:tc>
              <w:tc>
                <w:tcPr>
                  <w:tcW w:w="415" w:type="pct"/>
                  <w:tcBorders>
                    <w:tl2br w:val="nil"/>
                    <w:tr2bl w:val="nil"/>
                  </w:tcBorders>
                  <w:vAlign w:val="center"/>
                </w:tcPr>
                <w:p>
                  <w:pPr>
                    <w:pStyle w:val="2"/>
                    <w:spacing w:line="312" w:lineRule="exact"/>
                    <w:ind w:firstLine="0" w:firstLineChars="0"/>
                    <w:jc w:val="center"/>
                  </w:pPr>
                  <w:r>
                    <w:t>1年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3" w:type="pct"/>
                  <w:tcBorders>
                    <w:tl2br w:val="nil"/>
                    <w:tr2bl w:val="nil"/>
                  </w:tcBorders>
                  <w:vAlign w:val="center"/>
                </w:tcPr>
                <w:p>
                  <w:pPr>
                    <w:pStyle w:val="2"/>
                    <w:spacing w:line="312" w:lineRule="exact"/>
                    <w:ind w:firstLine="0" w:firstLineChars="0"/>
                    <w:jc w:val="center"/>
                  </w:pPr>
                  <w:r>
                    <w:t>2</w:t>
                  </w:r>
                </w:p>
              </w:tc>
              <w:tc>
                <w:tcPr>
                  <w:tcW w:w="602" w:type="pct"/>
                  <w:vMerge w:val="continue"/>
                  <w:tcBorders>
                    <w:tl2br w:val="nil"/>
                    <w:tr2bl w:val="nil"/>
                  </w:tcBorders>
                  <w:vAlign w:val="center"/>
                </w:tcPr>
                <w:p>
                  <w:pPr>
                    <w:pStyle w:val="2"/>
                    <w:spacing w:line="312" w:lineRule="exact"/>
                    <w:ind w:firstLine="0" w:firstLineChars="0"/>
                    <w:jc w:val="center"/>
                  </w:pPr>
                </w:p>
              </w:tc>
              <w:tc>
                <w:tcPr>
                  <w:tcW w:w="689" w:type="pct"/>
                  <w:tcBorders>
                    <w:tl2br w:val="nil"/>
                    <w:tr2bl w:val="nil"/>
                  </w:tcBorders>
                  <w:vAlign w:val="center"/>
                </w:tcPr>
                <w:p>
                  <w:pPr>
                    <w:pStyle w:val="106"/>
                  </w:pPr>
                  <w:r>
                    <w:t>废润滑油桶</w:t>
                  </w:r>
                </w:p>
              </w:tc>
              <w:tc>
                <w:tcPr>
                  <w:tcW w:w="614" w:type="pct"/>
                  <w:tcBorders>
                    <w:tl2br w:val="nil"/>
                    <w:tr2bl w:val="nil"/>
                  </w:tcBorders>
                  <w:vAlign w:val="center"/>
                </w:tcPr>
                <w:p>
                  <w:pPr>
                    <w:pStyle w:val="106"/>
                  </w:pPr>
                  <w:r>
                    <w:t>HW08</w:t>
                  </w:r>
                </w:p>
              </w:tc>
              <w:tc>
                <w:tcPr>
                  <w:tcW w:w="594" w:type="pct"/>
                  <w:tcBorders>
                    <w:tl2br w:val="nil"/>
                    <w:tr2bl w:val="nil"/>
                  </w:tcBorders>
                  <w:vAlign w:val="center"/>
                </w:tcPr>
                <w:p>
                  <w:pPr>
                    <w:pStyle w:val="106"/>
                  </w:pPr>
                  <w:r>
                    <w:t>900-249-08</w:t>
                  </w:r>
                </w:p>
              </w:tc>
              <w:tc>
                <w:tcPr>
                  <w:tcW w:w="492" w:type="pct"/>
                  <w:vMerge w:val="continue"/>
                  <w:tcBorders>
                    <w:tl2br w:val="nil"/>
                    <w:tr2bl w:val="nil"/>
                  </w:tcBorders>
                  <w:vAlign w:val="center"/>
                </w:tcPr>
                <w:p>
                  <w:pPr>
                    <w:pStyle w:val="2"/>
                    <w:spacing w:line="312" w:lineRule="exact"/>
                    <w:ind w:firstLine="0" w:firstLineChars="0"/>
                    <w:jc w:val="center"/>
                  </w:pPr>
                </w:p>
              </w:tc>
              <w:tc>
                <w:tcPr>
                  <w:tcW w:w="436" w:type="pct"/>
                  <w:vMerge w:val="continue"/>
                  <w:tcBorders>
                    <w:tl2br w:val="nil"/>
                    <w:tr2bl w:val="nil"/>
                  </w:tcBorders>
                  <w:vAlign w:val="center"/>
                </w:tcPr>
                <w:p>
                  <w:pPr>
                    <w:pStyle w:val="2"/>
                    <w:spacing w:line="312" w:lineRule="exact"/>
                    <w:ind w:firstLine="0" w:firstLineChars="0"/>
                    <w:jc w:val="center"/>
                  </w:pPr>
                </w:p>
              </w:tc>
              <w:tc>
                <w:tcPr>
                  <w:tcW w:w="467" w:type="pct"/>
                  <w:tcBorders>
                    <w:tl2br w:val="nil"/>
                    <w:tr2bl w:val="nil"/>
                  </w:tcBorders>
                  <w:vAlign w:val="center"/>
                </w:tcPr>
                <w:p>
                  <w:pPr>
                    <w:pStyle w:val="2"/>
                    <w:spacing w:line="312" w:lineRule="exact"/>
                    <w:ind w:firstLine="0" w:firstLineChars="0"/>
                    <w:jc w:val="center"/>
                  </w:pPr>
                  <w:r>
                    <w:t>桶装</w:t>
                  </w:r>
                </w:p>
              </w:tc>
              <w:tc>
                <w:tcPr>
                  <w:tcW w:w="433" w:type="pct"/>
                  <w:tcBorders>
                    <w:tl2br w:val="nil"/>
                    <w:tr2bl w:val="nil"/>
                  </w:tcBorders>
                  <w:vAlign w:val="center"/>
                </w:tcPr>
                <w:p>
                  <w:pPr>
                    <w:pStyle w:val="2"/>
                    <w:spacing w:line="312" w:lineRule="exact"/>
                    <w:ind w:firstLine="0" w:firstLineChars="0"/>
                    <w:jc w:val="center"/>
                  </w:pPr>
                  <w:r>
                    <w:t>1t/a</w:t>
                  </w:r>
                </w:p>
              </w:tc>
              <w:tc>
                <w:tcPr>
                  <w:tcW w:w="415" w:type="pct"/>
                  <w:tcBorders>
                    <w:tl2br w:val="nil"/>
                    <w:tr2bl w:val="nil"/>
                  </w:tcBorders>
                  <w:vAlign w:val="center"/>
                </w:tcPr>
                <w:p>
                  <w:pPr>
                    <w:pStyle w:val="2"/>
                    <w:spacing w:line="312" w:lineRule="exact"/>
                    <w:ind w:firstLine="0" w:firstLineChars="0"/>
                    <w:jc w:val="center"/>
                  </w:pPr>
                  <w:r>
                    <w:t>1年</w:t>
                  </w:r>
                </w:p>
              </w:tc>
            </w:tr>
          </w:tbl>
          <w:p>
            <w:pPr>
              <w:spacing w:line="360" w:lineRule="auto"/>
              <w:ind w:firstLine="420" w:firstLineChars="200"/>
            </w:pPr>
            <w:r>
              <w:t>综上，采取措施后一般工业固体废弃物处理措施和处置方案满足《中华人民共和国固体废物污染环境防治法》和《一般工业固体废物管理台账制定指南（试行）》（公告2021年第82号）相关要求，危险废物的处理措施和处置方案满足《危险废物贮存污染控制标准》（GB18597-2023）和《危险废物转移管理办法》文件要求，不会对周围环境产生不利影响。</w:t>
            </w:r>
          </w:p>
          <w:p>
            <w:pPr>
              <w:spacing w:line="360" w:lineRule="auto"/>
              <w:ind w:firstLine="422" w:firstLineChars="200"/>
              <w:rPr>
                <w:b/>
                <w:bCs/>
                <w:szCs w:val="21"/>
              </w:rPr>
            </w:pPr>
            <w:r>
              <w:rPr>
                <w:b/>
                <w:bCs/>
                <w:szCs w:val="21"/>
              </w:rPr>
              <w:t>五、地下水、土壤</w:t>
            </w:r>
          </w:p>
          <w:p>
            <w:pPr>
              <w:pStyle w:val="21"/>
              <w:snapToGrid w:val="0"/>
              <w:spacing w:line="360" w:lineRule="auto"/>
              <w:ind w:left="0" w:firstLine="420" w:firstLineChars="200"/>
              <w:rPr>
                <w:rFonts w:ascii="Times New Roman" w:hAnsi="Times New Roman"/>
              </w:rPr>
            </w:pPr>
            <w:r>
              <w:rPr>
                <w:rFonts w:ascii="Times New Roman" w:hAnsi="Times New Roman"/>
              </w:rPr>
              <w:t>（1）污染源、类型及途径</w:t>
            </w:r>
          </w:p>
          <w:p>
            <w:pPr>
              <w:adjustRightInd w:val="0"/>
              <w:snapToGrid w:val="0"/>
              <w:spacing w:line="360" w:lineRule="auto"/>
              <w:ind w:firstLine="420" w:firstLineChars="200"/>
              <w:rPr>
                <w:b/>
                <w:bCs/>
                <w:szCs w:val="21"/>
              </w:rPr>
            </w:pPr>
            <w:r>
              <w:t>项目运营后对地下水和土壤污染源、污染物类型和污染途径详见表4-15。</w:t>
            </w:r>
          </w:p>
          <w:p>
            <w:pPr>
              <w:jc w:val="center"/>
              <w:rPr>
                <w:b/>
                <w:bCs/>
                <w:szCs w:val="21"/>
              </w:rPr>
            </w:pPr>
            <w:r>
              <w:rPr>
                <w:b/>
                <w:bCs/>
                <w:szCs w:val="21"/>
              </w:rPr>
              <w:t>表4-15项目地下水、土壤污染源、类型及途径一览表</w:t>
            </w:r>
          </w:p>
          <w:tbl>
            <w:tblPr>
              <w:tblStyle w:val="40"/>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132"/>
              <w:gridCol w:w="3138"/>
              <w:gridCol w:w="3136"/>
              <w:gridCol w:w="31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00" w:type="pct"/>
                  <w:gridSpan w:val="2"/>
                  <w:tcBorders>
                    <w:tl2br w:val="nil"/>
                    <w:tr2bl w:val="nil"/>
                  </w:tcBorders>
                  <w:vAlign w:val="center"/>
                </w:tcPr>
                <w:p>
                  <w:pPr>
                    <w:jc w:val="center"/>
                    <w:rPr>
                      <w:b/>
                      <w:bCs/>
                      <w:szCs w:val="21"/>
                    </w:rPr>
                  </w:pPr>
                  <w:r>
                    <w:rPr>
                      <w:b/>
                      <w:bCs/>
                      <w:szCs w:val="21"/>
                    </w:rPr>
                    <w:t>污染源</w:t>
                  </w:r>
                </w:p>
              </w:tc>
              <w:tc>
                <w:tcPr>
                  <w:tcW w:w="1250" w:type="pct"/>
                  <w:vMerge w:val="restart"/>
                  <w:tcBorders>
                    <w:tl2br w:val="nil"/>
                    <w:tr2bl w:val="nil"/>
                  </w:tcBorders>
                  <w:vAlign w:val="center"/>
                </w:tcPr>
                <w:p>
                  <w:pPr>
                    <w:jc w:val="center"/>
                    <w:rPr>
                      <w:b/>
                      <w:bCs/>
                      <w:szCs w:val="21"/>
                    </w:rPr>
                  </w:pPr>
                  <w:r>
                    <w:rPr>
                      <w:b/>
                      <w:bCs/>
                      <w:szCs w:val="21"/>
                    </w:rPr>
                    <w:t>污染物类型</w:t>
                  </w:r>
                </w:p>
              </w:tc>
              <w:tc>
                <w:tcPr>
                  <w:tcW w:w="1250" w:type="pct"/>
                  <w:vMerge w:val="restart"/>
                  <w:tcBorders>
                    <w:tl2br w:val="nil"/>
                    <w:tr2bl w:val="nil"/>
                  </w:tcBorders>
                  <w:vAlign w:val="center"/>
                </w:tcPr>
                <w:p>
                  <w:pPr>
                    <w:jc w:val="center"/>
                    <w:rPr>
                      <w:b/>
                      <w:bCs/>
                      <w:szCs w:val="21"/>
                    </w:rPr>
                  </w:pPr>
                  <w:r>
                    <w:rPr>
                      <w:b/>
                      <w:bCs/>
                      <w:szCs w:val="21"/>
                    </w:rPr>
                    <w:t>污染途径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1249" w:type="pct"/>
                  <w:tcBorders>
                    <w:tl2br w:val="nil"/>
                    <w:tr2bl w:val="nil"/>
                  </w:tcBorders>
                  <w:vAlign w:val="center"/>
                </w:tcPr>
                <w:p>
                  <w:pPr>
                    <w:jc w:val="center"/>
                    <w:rPr>
                      <w:b/>
                      <w:bCs/>
                      <w:szCs w:val="21"/>
                    </w:rPr>
                  </w:pPr>
                  <w:r>
                    <w:rPr>
                      <w:b/>
                      <w:bCs/>
                      <w:szCs w:val="21"/>
                    </w:rPr>
                    <w:t>装置</w:t>
                  </w:r>
                </w:p>
              </w:tc>
              <w:tc>
                <w:tcPr>
                  <w:tcW w:w="1250" w:type="pct"/>
                  <w:tcBorders>
                    <w:tl2br w:val="nil"/>
                    <w:tr2bl w:val="nil"/>
                  </w:tcBorders>
                  <w:vAlign w:val="center"/>
                </w:tcPr>
                <w:p>
                  <w:pPr>
                    <w:jc w:val="center"/>
                    <w:rPr>
                      <w:b/>
                      <w:bCs/>
                      <w:szCs w:val="21"/>
                    </w:rPr>
                  </w:pPr>
                  <w:r>
                    <w:rPr>
                      <w:b/>
                      <w:bCs/>
                      <w:szCs w:val="21"/>
                    </w:rPr>
                    <w:t>节点</w:t>
                  </w:r>
                </w:p>
              </w:tc>
              <w:tc>
                <w:tcPr>
                  <w:tcW w:w="1250" w:type="pct"/>
                  <w:vMerge w:val="continue"/>
                  <w:tcBorders>
                    <w:tl2br w:val="nil"/>
                    <w:tr2bl w:val="nil"/>
                  </w:tcBorders>
                  <w:vAlign w:val="center"/>
                </w:tcPr>
                <w:p>
                  <w:pPr>
                    <w:adjustRightInd w:val="0"/>
                    <w:snapToGrid w:val="0"/>
                    <w:ind w:firstLine="422"/>
                    <w:jc w:val="center"/>
                  </w:pPr>
                </w:p>
              </w:tc>
              <w:tc>
                <w:tcPr>
                  <w:tcW w:w="1250" w:type="pct"/>
                  <w:vMerge w:val="continue"/>
                  <w:tcBorders>
                    <w:tl2br w:val="nil"/>
                    <w:tr2bl w:val="nil"/>
                  </w:tcBorders>
                  <w:vAlign w:val="center"/>
                </w:tcPr>
                <w:p>
                  <w:pPr>
                    <w:adjustRightInd w:val="0"/>
                    <w:snapToGrid w:val="0"/>
                    <w:ind w:firstLine="422"/>
                    <w:jc w:val="cente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pPr>
                    <w:pStyle w:val="106"/>
                  </w:pPr>
                  <w:r>
                    <w:t>化粪池</w:t>
                  </w:r>
                </w:p>
              </w:tc>
              <w:tc>
                <w:tcPr>
                  <w:tcW w:w="1250" w:type="pct"/>
                  <w:tcBorders>
                    <w:tl2br w:val="nil"/>
                    <w:tr2bl w:val="nil"/>
                  </w:tcBorders>
                  <w:vAlign w:val="center"/>
                </w:tcPr>
                <w:p>
                  <w:pPr>
                    <w:pStyle w:val="106"/>
                  </w:pPr>
                  <w:r>
                    <w:t>池体、池壁渗漏</w:t>
                  </w:r>
                </w:p>
              </w:tc>
              <w:tc>
                <w:tcPr>
                  <w:tcW w:w="1250" w:type="pct"/>
                  <w:tcBorders>
                    <w:tl2br w:val="nil"/>
                    <w:tr2bl w:val="nil"/>
                  </w:tcBorders>
                  <w:vAlign w:val="center"/>
                </w:tcPr>
                <w:p>
                  <w:pPr>
                    <w:pStyle w:val="106"/>
                  </w:pPr>
                  <w:r>
                    <w:t>COD、氨氮</w:t>
                  </w:r>
                </w:p>
              </w:tc>
              <w:tc>
                <w:tcPr>
                  <w:tcW w:w="1250" w:type="pct"/>
                  <w:tcBorders>
                    <w:tl2br w:val="nil"/>
                    <w:tr2bl w:val="nil"/>
                  </w:tcBorders>
                  <w:vAlign w:val="center"/>
                </w:tcPr>
                <w:p>
                  <w:pPr>
                    <w:pStyle w:val="106"/>
                  </w:pPr>
                  <w:r>
                    <w:t>垂直渗入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pPr>
                    <w:pStyle w:val="106"/>
                  </w:pPr>
                  <w:r>
                    <w:t>危废暂存间</w:t>
                  </w:r>
                </w:p>
              </w:tc>
              <w:tc>
                <w:tcPr>
                  <w:tcW w:w="1250" w:type="pct"/>
                  <w:tcBorders>
                    <w:tl2br w:val="nil"/>
                    <w:tr2bl w:val="nil"/>
                  </w:tcBorders>
                  <w:vAlign w:val="center"/>
                </w:tcPr>
                <w:p>
                  <w:pPr>
                    <w:pStyle w:val="106"/>
                  </w:pPr>
                  <w:r>
                    <w:t>危险废物泄漏</w:t>
                  </w:r>
                </w:p>
              </w:tc>
              <w:tc>
                <w:tcPr>
                  <w:tcW w:w="1250" w:type="pct"/>
                  <w:tcBorders>
                    <w:tl2br w:val="nil"/>
                    <w:tr2bl w:val="nil"/>
                  </w:tcBorders>
                  <w:vAlign w:val="center"/>
                </w:tcPr>
                <w:p>
                  <w:pPr>
                    <w:pStyle w:val="106"/>
                  </w:pPr>
                  <w:r>
                    <w:t>石油类</w:t>
                  </w:r>
                </w:p>
              </w:tc>
              <w:tc>
                <w:tcPr>
                  <w:tcW w:w="1250" w:type="pct"/>
                  <w:tcBorders>
                    <w:tl2br w:val="nil"/>
                    <w:tr2bl w:val="nil"/>
                  </w:tcBorders>
                  <w:vAlign w:val="center"/>
                </w:tcPr>
                <w:p>
                  <w:pPr>
                    <w:pStyle w:val="106"/>
                  </w:pPr>
                  <w:r>
                    <w:t>垂直渗入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pPr>
                    <w:pStyle w:val="106"/>
                  </w:pPr>
                  <w:r>
                    <w:t>液体硫酸铝储罐</w:t>
                  </w:r>
                </w:p>
              </w:tc>
              <w:tc>
                <w:tcPr>
                  <w:tcW w:w="1250" w:type="pct"/>
                  <w:tcBorders>
                    <w:tl2br w:val="nil"/>
                    <w:tr2bl w:val="nil"/>
                  </w:tcBorders>
                  <w:vAlign w:val="center"/>
                </w:tcPr>
                <w:p>
                  <w:pPr>
                    <w:pStyle w:val="106"/>
                  </w:pPr>
                  <w:r>
                    <w:t>罐体泄漏</w:t>
                  </w:r>
                </w:p>
              </w:tc>
              <w:tc>
                <w:tcPr>
                  <w:tcW w:w="1250" w:type="pct"/>
                  <w:tcBorders>
                    <w:tl2br w:val="nil"/>
                    <w:tr2bl w:val="nil"/>
                  </w:tcBorders>
                  <w:vAlign w:val="center"/>
                </w:tcPr>
                <w:p>
                  <w:pPr>
                    <w:pStyle w:val="106"/>
                  </w:pPr>
                  <w:r>
                    <w:t>pH</w:t>
                  </w:r>
                </w:p>
              </w:tc>
              <w:tc>
                <w:tcPr>
                  <w:tcW w:w="1250" w:type="pct"/>
                  <w:tcBorders>
                    <w:tl2br w:val="nil"/>
                    <w:tr2bl w:val="nil"/>
                  </w:tcBorders>
                  <w:vAlign w:val="center"/>
                </w:tcPr>
                <w:p>
                  <w:pPr>
                    <w:pStyle w:val="106"/>
                  </w:pPr>
                  <w:r>
                    <w:t>垂直深入</w:t>
                  </w:r>
                </w:p>
              </w:tc>
            </w:tr>
          </w:tbl>
          <w:p>
            <w:pPr>
              <w:pStyle w:val="21"/>
              <w:snapToGrid w:val="0"/>
              <w:spacing w:line="360" w:lineRule="auto"/>
              <w:ind w:left="0" w:firstLine="420" w:firstLineChars="200"/>
              <w:rPr>
                <w:rFonts w:ascii="Times New Roman" w:hAnsi="Times New Roman"/>
              </w:rPr>
            </w:pPr>
            <w:r>
              <w:rPr>
                <w:rFonts w:ascii="Times New Roman" w:hAnsi="Times New Roman"/>
              </w:rPr>
              <w:t>（2）防控措施</w:t>
            </w:r>
          </w:p>
          <w:p>
            <w:pPr>
              <w:pStyle w:val="21"/>
              <w:snapToGrid w:val="0"/>
              <w:spacing w:line="360" w:lineRule="auto"/>
              <w:ind w:left="0"/>
              <w:rPr>
                <w:rFonts w:ascii="Times New Roman" w:hAnsi="Times New Roman"/>
              </w:rPr>
            </w:pPr>
            <w:r>
              <w:rPr>
                <w:rFonts w:ascii="Times New Roman" w:hAnsi="Times New Roman"/>
              </w:rPr>
              <w:t>①源头控制措施</w:t>
            </w:r>
          </w:p>
          <w:p>
            <w:pPr>
              <w:pStyle w:val="21"/>
              <w:snapToGrid w:val="0"/>
              <w:spacing w:line="360" w:lineRule="auto"/>
              <w:ind w:left="0" w:firstLine="420" w:firstLineChars="200"/>
              <w:rPr>
                <w:rFonts w:ascii="Times New Roman" w:hAnsi="Times New Roman"/>
              </w:rPr>
            </w:pPr>
            <w:r>
              <w:rPr>
                <w:rFonts w:ascii="Times New Roman" w:hAnsi="Times New Roman"/>
              </w:rPr>
              <w:t>应对项目化粪池和危废暂存间等进行定期巡查，建立隐患排查治理制度。企业应建立从主要负责人到每位作业人员，覆盖各部门、各单位、各岗位的隐患排查治理责任体系，逐级建立并落实隐患排查治理岗位责任制；建立并完善隐患排查管理机构，配备相应的管理和技术人员，制定检查、运行、维修与维护等规定，保证资金投入，确保各设施处于正常完好状态，杜绝“跑、冒、滴、漏”等现象及泄漏事故的发生，针对化粪池和危废暂存间要进行严格的防渗处理，从源头上防止污染土壤和地下水。</w:t>
            </w:r>
          </w:p>
          <w:p>
            <w:pPr>
              <w:pStyle w:val="21"/>
              <w:snapToGrid w:val="0"/>
              <w:spacing w:line="360" w:lineRule="auto"/>
              <w:ind w:left="0" w:firstLine="420" w:firstLineChars="200"/>
              <w:rPr>
                <w:rFonts w:ascii="Times New Roman" w:hAnsi="Times New Roman"/>
              </w:rPr>
            </w:pPr>
            <w:r>
              <w:rPr>
                <w:rFonts w:ascii="Times New Roman" w:hAnsi="Times New Roman"/>
              </w:rPr>
              <w:t>②分区防控措施</w:t>
            </w:r>
          </w:p>
          <w:p>
            <w:pPr>
              <w:jc w:val="center"/>
              <w:rPr>
                <w:b/>
                <w:bCs/>
                <w:szCs w:val="21"/>
              </w:rPr>
            </w:pPr>
            <w:r>
              <w:rPr>
                <w:b/>
                <w:bCs/>
                <w:szCs w:val="21"/>
              </w:rPr>
              <w:t>表4-16 项目各单元污染防治分区</w:t>
            </w:r>
          </w:p>
          <w:tbl>
            <w:tblPr>
              <w:tblStyle w:val="40"/>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73"/>
              <w:gridCol w:w="2120"/>
              <w:gridCol w:w="3651"/>
              <w:gridCol w:w="56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428" w:type="pct"/>
                  <w:tcBorders>
                    <w:tl2br w:val="nil"/>
                    <w:tr2bl w:val="nil"/>
                  </w:tcBorders>
                  <w:vAlign w:val="center"/>
                </w:tcPr>
                <w:p>
                  <w:pPr>
                    <w:jc w:val="center"/>
                    <w:rPr>
                      <w:b/>
                      <w:bCs/>
                      <w:szCs w:val="21"/>
                    </w:rPr>
                  </w:pPr>
                  <w:r>
                    <w:rPr>
                      <w:b/>
                      <w:bCs/>
                      <w:szCs w:val="21"/>
                    </w:rPr>
                    <w:t>序号</w:t>
                  </w:r>
                </w:p>
              </w:tc>
              <w:tc>
                <w:tcPr>
                  <w:tcW w:w="845" w:type="pct"/>
                  <w:tcBorders>
                    <w:tl2br w:val="nil"/>
                    <w:tr2bl w:val="nil"/>
                  </w:tcBorders>
                  <w:vAlign w:val="center"/>
                </w:tcPr>
                <w:p>
                  <w:pPr>
                    <w:jc w:val="center"/>
                    <w:rPr>
                      <w:b/>
                      <w:bCs/>
                      <w:szCs w:val="21"/>
                    </w:rPr>
                  </w:pPr>
                  <w:r>
                    <w:rPr>
                      <w:b/>
                      <w:bCs/>
                      <w:szCs w:val="21"/>
                    </w:rPr>
                    <w:t>分区类别</w:t>
                  </w:r>
                </w:p>
              </w:tc>
              <w:tc>
                <w:tcPr>
                  <w:tcW w:w="1455" w:type="pct"/>
                  <w:tcBorders>
                    <w:tl2br w:val="nil"/>
                    <w:tr2bl w:val="nil"/>
                  </w:tcBorders>
                  <w:vAlign w:val="center"/>
                </w:tcPr>
                <w:p>
                  <w:pPr>
                    <w:jc w:val="center"/>
                    <w:rPr>
                      <w:b/>
                      <w:bCs/>
                      <w:szCs w:val="21"/>
                    </w:rPr>
                  </w:pPr>
                  <w:r>
                    <w:rPr>
                      <w:b/>
                      <w:bCs/>
                      <w:szCs w:val="21"/>
                    </w:rPr>
                    <w:t>污染防治区域及部位</w:t>
                  </w:r>
                </w:p>
              </w:tc>
              <w:tc>
                <w:tcPr>
                  <w:tcW w:w="2270" w:type="pct"/>
                  <w:tcBorders>
                    <w:tl2br w:val="nil"/>
                    <w:tr2bl w:val="nil"/>
                  </w:tcBorders>
                  <w:vAlign w:val="center"/>
                </w:tcPr>
                <w:p>
                  <w:pPr>
                    <w:jc w:val="center"/>
                    <w:rPr>
                      <w:b/>
                      <w:bCs/>
                      <w:szCs w:val="21"/>
                    </w:rPr>
                  </w:pPr>
                  <w:r>
                    <w:rPr>
                      <w:b/>
                      <w:bCs/>
                      <w:szCs w:val="21"/>
                    </w:rPr>
                    <w:t>防渗技术要求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pct"/>
                  <w:tcBorders>
                    <w:tl2br w:val="nil"/>
                    <w:tr2bl w:val="nil"/>
                  </w:tcBorders>
                  <w:vAlign w:val="center"/>
                </w:tcPr>
                <w:p>
                  <w:pPr>
                    <w:pStyle w:val="106"/>
                  </w:pPr>
                  <w:r>
                    <w:t>1</w:t>
                  </w:r>
                </w:p>
              </w:tc>
              <w:tc>
                <w:tcPr>
                  <w:tcW w:w="845" w:type="pct"/>
                  <w:tcBorders>
                    <w:tl2br w:val="nil"/>
                    <w:tr2bl w:val="nil"/>
                  </w:tcBorders>
                  <w:vAlign w:val="center"/>
                </w:tcPr>
                <w:p>
                  <w:pPr>
                    <w:pStyle w:val="106"/>
                  </w:pPr>
                  <w:r>
                    <w:t>重点防渗区</w:t>
                  </w:r>
                </w:p>
              </w:tc>
              <w:tc>
                <w:tcPr>
                  <w:tcW w:w="1455" w:type="pct"/>
                  <w:tcBorders>
                    <w:tl2br w:val="nil"/>
                    <w:tr2bl w:val="nil"/>
                  </w:tcBorders>
                  <w:vAlign w:val="center"/>
                </w:tcPr>
                <w:p>
                  <w:pPr>
                    <w:pStyle w:val="106"/>
                  </w:pPr>
                  <w:r>
                    <w:t>罐区、危废暂存间、化粪池</w:t>
                  </w:r>
                </w:p>
              </w:tc>
              <w:tc>
                <w:tcPr>
                  <w:tcW w:w="2270" w:type="pct"/>
                  <w:tcBorders>
                    <w:tl2br w:val="nil"/>
                    <w:tr2bl w:val="nil"/>
                  </w:tcBorders>
                  <w:vAlign w:val="center"/>
                </w:tcPr>
                <w:p>
                  <w:pPr>
                    <w:pStyle w:val="106"/>
                  </w:pPr>
                  <w:r>
                    <w:t>等效黏土防渗层 Mb≥6.0m，K≤1×10-7 cm/s；或参照GB18598 执行。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428" w:type="pct"/>
                  <w:tcBorders>
                    <w:tl2br w:val="nil"/>
                    <w:tr2bl w:val="nil"/>
                  </w:tcBorders>
                  <w:vAlign w:val="center"/>
                </w:tcPr>
                <w:p>
                  <w:pPr>
                    <w:pStyle w:val="106"/>
                  </w:pPr>
                  <w:r>
                    <w:t>2</w:t>
                  </w:r>
                </w:p>
              </w:tc>
              <w:tc>
                <w:tcPr>
                  <w:tcW w:w="845" w:type="pct"/>
                  <w:tcBorders>
                    <w:tl2br w:val="nil"/>
                    <w:tr2bl w:val="nil"/>
                  </w:tcBorders>
                  <w:vAlign w:val="center"/>
                </w:tcPr>
                <w:p>
                  <w:pPr>
                    <w:pStyle w:val="106"/>
                  </w:pPr>
                  <w:r>
                    <w:t>一般防渗区</w:t>
                  </w:r>
                </w:p>
              </w:tc>
              <w:tc>
                <w:tcPr>
                  <w:tcW w:w="1455" w:type="pct"/>
                  <w:tcBorders>
                    <w:tl2br w:val="nil"/>
                    <w:tr2bl w:val="nil"/>
                  </w:tcBorders>
                  <w:vAlign w:val="center"/>
                </w:tcPr>
                <w:p>
                  <w:pPr>
                    <w:pStyle w:val="106"/>
                  </w:pPr>
                  <w:r>
                    <w:t>生产车间、包装车间、原料仓库、成品仓库、一般固废暂存处</w:t>
                  </w:r>
                </w:p>
              </w:tc>
              <w:tc>
                <w:tcPr>
                  <w:tcW w:w="2270" w:type="pct"/>
                  <w:tcBorders>
                    <w:tl2br w:val="nil"/>
                    <w:tr2bl w:val="nil"/>
                  </w:tcBorders>
                  <w:vAlign w:val="center"/>
                </w:tcPr>
                <w:p>
                  <w:pPr>
                    <w:pStyle w:val="106"/>
                  </w:pPr>
                  <w:r>
                    <w:t>等效黏土防渗层 Mb≥1.5m，K≤1×10-7cm/s；或参照GB16889执行。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428" w:type="pct"/>
                  <w:tcBorders>
                    <w:tl2br w:val="nil"/>
                    <w:tr2bl w:val="nil"/>
                  </w:tcBorders>
                  <w:vAlign w:val="center"/>
                </w:tcPr>
                <w:p>
                  <w:pPr>
                    <w:pStyle w:val="106"/>
                  </w:pPr>
                  <w:r>
                    <w:t>3</w:t>
                  </w:r>
                </w:p>
              </w:tc>
              <w:tc>
                <w:tcPr>
                  <w:tcW w:w="845" w:type="pct"/>
                  <w:tcBorders>
                    <w:tl2br w:val="nil"/>
                    <w:tr2bl w:val="nil"/>
                  </w:tcBorders>
                  <w:vAlign w:val="center"/>
                </w:tcPr>
                <w:p>
                  <w:pPr>
                    <w:pStyle w:val="106"/>
                  </w:pPr>
                  <w:r>
                    <w:t>简单防渗区</w:t>
                  </w:r>
                </w:p>
              </w:tc>
              <w:tc>
                <w:tcPr>
                  <w:tcW w:w="1455" w:type="pct"/>
                  <w:tcBorders>
                    <w:tl2br w:val="nil"/>
                    <w:tr2bl w:val="nil"/>
                  </w:tcBorders>
                  <w:vAlign w:val="center"/>
                </w:tcPr>
                <w:p>
                  <w:pPr>
                    <w:pStyle w:val="106"/>
                  </w:pPr>
                  <w:r>
                    <w:t>办公室、厂内道路</w:t>
                  </w:r>
                </w:p>
              </w:tc>
              <w:tc>
                <w:tcPr>
                  <w:tcW w:w="2270" w:type="pct"/>
                  <w:tcBorders>
                    <w:tl2br w:val="nil"/>
                    <w:tr2bl w:val="nil"/>
                  </w:tcBorders>
                  <w:vAlign w:val="center"/>
                </w:tcPr>
                <w:p>
                  <w:pPr>
                    <w:pStyle w:val="106"/>
                  </w:pPr>
                  <w:r>
                    <w:t>一般硬化</w:t>
                  </w:r>
                </w:p>
              </w:tc>
            </w:tr>
          </w:tbl>
          <w:p>
            <w:pPr>
              <w:pStyle w:val="39"/>
              <w:ind w:left="0" w:leftChars="0"/>
            </w:pPr>
            <w:r>
              <w:t>综上，按照分区防控要求采取以上防渗措施后，对周围土壤和地下水产生影响很小。</w:t>
            </w:r>
          </w:p>
          <w:p>
            <w:pPr>
              <w:spacing w:line="360" w:lineRule="auto"/>
              <w:ind w:firstLine="422" w:firstLineChars="200"/>
              <w:rPr>
                <w:b/>
                <w:bCs/>
                <w:szCs w:val="21"/>
              </w:rPr>
            </w:pPr>
            <w:r>
              <w:rPr>
                <w:b/>
                <w:bCs/>
                <w:szCs w:val="21"/>
              </w:rPr>
              <w:t>六、生态</w:t>
            </w:r>
          </w:p>
          <w:p>
            <w:pPr>
              <w:pStyle w:val="200"/>
              <w:adjustRightInd w:val="0"/>
              <w:snapToGrid w:val="0"/>
              <w:spacing w:line="360" w:lineRule="auto"/>
              <w:ind w:firstLine="440" w:firstLineChars="200"/>
              <w:rPr>
                <w:rFonts w:ascii="Times New Roman" w:hAnsi="Times New Roman"/>
                <w:lang w:eastAsia="zh-CN"/>
              </w:rPr>
            </w:pPr>
            <w:r>
              <w:rPr>
                <w:rFonts w:ascii="Times New Roman" w:hAnsi="Times New Roman"/>
                <w:lang w:eastAsia="zh-CN"/>
              </w:rPr>
              <w:t>项目</w:t>
            </w:r>
            <w:r>
              <w:rPr>
                <w:rFonts w:hint="eastAsia" w:ascii="Times New Roman" w:hAnsi="Times New Roman"/>
                <w:lang w:eastAsia="zh-CN"/>
              </w:rPr>
              <w:t>租赁现有厂区，不新增占地，</w:t>
            </w:r>
            <w:r>
              <w:rPr>
                <w:rFonts w:ascii="Times New Roman" w:hAnsi="Times New Roman"/>
                <w:lang w:eastAsia="zh-CN"/>
              </w:rPr>
              <w:t>用地范围内无生态环境保护目标，对周边生态基本无影响，本评价不再开展生态环境影响分析。</w:t>
            </w:r>
          </w:p>
          <w:p>
            <w:pPr>
              <w:numPr>
                <w:ilvl w:val="0"/>
                <w:numId w:val="5"/>
              </w:numPr>
              <w:spacing w:line="360" w:lineRule="auto"/>
              <w:ind w:firstLine="422" w:firstLineChars="200"/>
              <w:rPr>
                <w:b/>
                <w:bCs/>
                <w:szCs w:val="21"/>
              </w:rPr>
            </w:pPr>
            <w:r>
              <w:rPr>
                <w:rFonts w:hint="eastAsia"/>
                <w:b/>
                <w:bCs/>
                <w:szCs w:val="21"/>
              </w:rPr>
              <w:t>环保治理设施在施工期和运营期的安全风险管控</w:t>
            </w:r>
          </w:p>
          <w:p>
            <w:pPr>
              <w:tabs>
                <w:tab w:val="left" w:pos="1680"/>
              </w:tabs>
              <w:spacing w:line="360" w:lineRule="auto"/>
              <w:ind w:firstLine="420" w:firstLineChars="200"/>
            </w:pPr>
            <w:r>
              <w:rPr>
                <w:rFonts w:hint="eastAsia"/>
              </w:rPr>
              <w:t>（1）安全管理制度及操作规范</w:t>
            </w:r>
          </w:p>
          <w:p>
            <w:pPr>
              <w:spacing w:line="360" w:lineRule="auto"/>
              <w:ind w:firstLine="420" w:firstLineChars="200"/>
            </w:pPr>
            <w:r>
              <w:rPr>
                <w:rFonts w:hint="eastAsia"/>
              </w:rPr>
              <w:t>①</w:t>
            </w:r>
            <w:r>
              <w:t>应建立健全从业人员的安全教育、培训，劳动防护用品</w:t>
            </w:r>
            <w:r>
              <w:rPr>
                <w:rFonts w:hint="eastAsia"/>
              </w:rPr>
              <w:t>（</w:t>
            </w:r>
            <w:r>
              <w:t>具</w:t>
            </w:r>
            <w:r>
              <w:rPr>
                <w:rFonts w:hint="eastAsia"/>
              </w:rPr>
              <w:t>）</w:t>
            </w:r>
            <w:r>
              <w:t>、安全设施、设备，作业场所防火、防毒、防爆和职业卫生，安全检查、隐患整改、事故调查处理，安全生产奖惩，变更，有限空间，三废处理等规章制度</w:t>
            </w:r>
            <w:r>
              <w:rPr>
                <w:rFonts w:hint="eastAsia"/>
              </w:rPr>
              <w:t>；</w:t>
            </w:r>
          </w:p>
          <w:p>
            <w:pPr>
              <w:spacing w:line="360" w:lineRule="auto"/>
              <w:ind w:firstLine="420" w:firstLineChars="200"/>
            </w:pPr>
            <w:r>
              <w:rPr>
                <w:rFonts w:hint="eastAsia"/>
              </w:rPr>
              <w:t>②应根据生产工艺、技术、设备特点和原材料、辅料、产品的危险性编制岗位操作规程；</w:t>
            </w:r>
          </w:p>
          <w:p>
            <w:pPr>
              <w:spacing w:line="360" w:lineRule="auto"/>
              <w:ind w:firstLine="420" w:firstLineChars="200"/>
            </w:pPr>
            <w:r>
              <w:rPr>
                <w:rFonts w:hint="eastAsia"/>
              </w:rPr>
              <w:t>③应建立健全各类安全管理台账、事故台账；劳动防护用具（品）发放台账；安全教育台账；安全技术措施台账；安全装置、设施台账；安全检查台账；重大隐患登记、整改台账；特种设备检测台账；强制性检测设施检测台账等；</w:t>
            </w:r>
          </w:p>
          <w:p>
            <w:pPr>
              <w:spacing w:line="360" w:lineRule="auto"/>
              <w:ind w:firstLine="420" w:firstLineChars="200"/>
            </w:pPr>
            <w:r>
              <w:rPr>
                <w:rFonts w:hint="eastAsia"/>
              </w:rPr>
              <w:t>④对动火作业、有限空间作业、临时用电作业、高处作业、动土作业等危险性作业实施作业许可证管理，履行严格的审批手续。</w:t>
            </w:r>
          </w:p>
          <w:p>
            <w:pPr>
              <w:spacing w:line="360" w:lineRule="auto"/>
              <w:ind w:firstLine="420" w:firstLineChars="200"/>
            </w:pPr>
            <w:r>
              <w:rPr>
                <w:rFonts w:hint="eastAsia"/>
              </w:rPr>
              <w:t>（2）安全管理机构</w:t>
            </w:r>
          </w:p>
          <w:p>
            <w:pPr>
              <w:spacing w:line="360" w:lineRule="auto"/>
              <w:ind w:firstLine="420" w:firstLineChars="200"/>
            </w:pPr>
            <w:r>
              <w:rPr>
                <w:rFonts w:hint="eastAsia"/>
              </w:rPr>
              <w:t>①企业应建立安全生产委员会或领导小组，并实行安全生产例会制；</w:t>
            </w:r>
          </w:p>
          <w:p>
            <w:pPr>
              <w:spacing w:line="360" w:lineRule="auto"/>
              <w:ind w:firstLine="420" w:firstLineChars="200"/>
            </w:pPr>
            <w:r>
              <w:rPr>
                <w:rFonts w:hint="eastAsia"/>
              </w:rPr>
              <w:t>②建立安全生产管理机构；</w:t>
            </w:r>
          </w:p>
          <w:p>
            <w:pPr>
              <w:spacing w:line="360" w:lineRule="auto"/>
              <w:ind w:firstLine="420" w:firstLineChars="200"/>
            </w:pPr>
            <w:r>
              <w:rPr>
                <w:rFonts w:hint="eastAsia"/>
              </w:rPr>
              <w:t>③配备专、兼职安全生产管理人员。</w:t>
            </w:r>
          </w:p>
          <w:p>
            <w:pPr>
              <w:tabs>
                <w:tab w:val="left" w:pos="365"/>
              </w:tabs>
              <w:spacing w:line="360" w:lineRule="auto"/>
              <w:ind w:firstLine="420" w:firstLineChars="200"/>
            </w:pPr>
            <w:r>
              <w:rPr>
                <w:rFonts w:hint="eastAsia"/>
              </w:rPr>
              <w:t>（3）安全教育培训</w:t>
            </w:r>
          </w:p>
          <w:p>
            <w:pPr>
              <w:spacing w:line="360" w:lineRule="auto"/>
              <w:ind w:firstLine="420" w:firstLineChars="200"/>
            </w:pPr>
            <w:r>
              <w:rPr>
                <w:rFonts w:hint="eastAsia"/>
              </w:rPr>
              <w:t>①主要负责人、安全管理人员的安全知识和管理能力应当经当地应急管理部门培训并考核合格，取得安全任职资格证书；</w:t>
            </w:r>
          </w:p>
          <w:p>
            <w:pPr>
              <w:spacing w:line="360" w:lineRule="auto"/>
              <w:ind w:firstLine="420" w:firstLineChars="200"/>
            </w:pPr>
            <w:r>
              <w:rPr>
                <w:rFonts w:hint="eastAsia"/>
              </w:rPr>
              <w:t>②</w:t>
            </w:r>
            <w:r>
              <w:t>其他从业人员应当按照国家有关规定，经公司三级安全教育培训并考试合格</w:t>
            </w:r>
            <w:r>
              <w:rPr>
                <w:rFonts w:hint="eastAsia"/>
              </w:rPr>
              <w:t>。</w:t>
            </w:r>
          </w:p>
          <w:p>
            <w:pPr>
              <w:spacing w:line="360" w:lineRule="auto"/>
              <w:ind w:firstLine="420" w:firstLineChars="200"/>
            </w:pPr>
            <w:r>
              <w:rPr>
                <w:rFonts w:hint="eastAsia"/>
              </w:rPr>
              <w:t>（4）安全检查与隐患整改</w:t>
            </w:r>
          </w:p>
          <w:p>
            <w:pPr>
              <w:spacing w:line="360" w:lineRule="auto"/>
              <w:ind w:firstLine="420" w:firstLineChars="200"/>
            </w:pPr>
            <w:r>
              <w:rPr>
                <w:rFonts w:hint="eastAsia"/>
              </w:rPr>
              <w:t>①按照安全检查和隐患整改管理制度，明确安全检查的组织、职责、形式、内容、方法及检查结果、问题的整改要求；</w:t>
            </w:r>
          </w:p>
          <w:p>
            <w:pPr>
              <w:spacing w:line="360" w:lineRule="auto"/>
              <w:ind w:firstLine="420" w:firstLineChars="200"/>
            </w:pPr>
            <w:r>
              <w:rPr>
                <w:rFonts w:hint="eastAsia"/>
              </w:rPr>
              <w:t>②定期或不定期检查的开展综合性检查、专业检查、季节性检查。厂级安全检查每年不少于4次；车间级安全检查每月不少于1次；班组级安全检查每周不少于1次；专业检查每年不少于2次；岗位员工的日常巡检；</w:t>
            </w:r>
          </w:p>
          <w:p>
            <w:pPr>
              <w:spacing w:line="360" w:lineRule="auto"/>
              <w:ind w:firstLine="420" w:firstLineChars="200"/>
            </w:pPr>
            <w:r>
              <w:rPr>
                <w:rFonts w:hint="eastAsia"/>
              </w:rPr>
              <w:t>③制订各种检查形式的《安全检查表》。表内应包括检查项目、检查标准、检查结果等内容。按相应的《安检查表》逐项检查，并形成记录；</w:t>
            </w:r>
          </w:p>
          <w:p>
            <w:pPr>
              <w:spacing w:line="360" w:lineRule="auto"/>
              <w:ind w:firstLine="420" w:firstLineChars="200"/>
            </w:pPr>
            <w:r>
              <w:rPr>
                <w:rFonts w:hint="eastAsia"/>
              </w:rPr>
              <w:t>④对事故隐患，下达《隐患整改通知书》做到：定措施、定负责人、定资金来源、定完成期限。</w:t>
            </w:r>
          </w:p>
          <w:p>
            <w:pPr>
              <w:spacing w:line="360" w:lineRule="auto"/>
              <w:ind w:firstLine="420" w:firstLineChars="200"/>
              <w:rPr>
                <w:szCs w:val="21"/>
              </w:rPr>
            </w:pPr>
            <w:r>
              <w:rPr>
                <w:szCs w:val="21"/>
              </w:rPr>
              <w:t>（</w:t>
            </w:r>
            <w:r>
              <w:rPr>
                <w:rFonts w:hint="eastAsia"/>
                <w:szCs w:val="21"/>
              </w:rPr>
              <w:t>5</w:t>
            </w:r>
            <w:r>
              <w:rPr>
                <w:szCs w:val="21"/>
              </w:rPr>
              <w:t>）</w:t>
            </w:r>
            <w:r>
              <w:t>本项目废气主要是粉碎工序产生的粉尘、</w:t>
            </w:r>
            <w:r>
              <w:rPr>
                <w:rFonts w:hint="eastAsia"/>
              </w:rPr>
              <w:t>混合搅拌釜</w:t>
            </w:r>
            <w:r>
              <w:t>上料</w:t>
            </w:r>
            <w:r>
              <w:rPr>
                <w:rFonts w:hint="eastAsia"/>
              </w:rPr>
              <w:t>口</w:t>
            </w:r>
            <w:r>
              <w:t>产生的粉尘、</w:t>
            </w:r>
            <w:r>
              <w:rPr>
                <w:rFonts w:hint="eastAsia"/>
              </w:rPr>
              <w:t>料仓产生的粉尘、</w:t>
            </w:r>
            <w:r>
              <w:t>包装工序产生的粉尘。</w:t>
            </w:r>
            <w:r>
              <w:rPr>
                <w:szCs w:val="21"/>
              </w:rPr>
              <w:t>本项目粉碎、混合搅拌釜上料</w:t>
            </w:r>
            <w:r>
              <w:rPr>
                <w:rFonts w:hint="eastAsia"/>
                <w:szCs w:val="21"/>
              </w:rPr>
              <w:t>口</w:t>
            </w:r>
            <w:r>
              <w:rPr>
                <w:szCs w:val="21"/>
              </w:rPr>
              <w:t>、包装工序产生的颗粒物采用“集气罩+布袋除尘器”处理，处理后通过1根15m排气筒（DA001）排放，料仓产生的粉尘经收集</w:t>
            </w:r>
            <w:r>
              <w:rPr>
                <w:rFonts w:hint="eastAsia"/>
                <w:szCs w:val="21"/>
              </w:rPr>
              <w:t>后</w:t>
            </w:r>
            <w:r>
              <w:rPr>
                <w:szCs w:val="21"/>
              </w:rPr>
              <w:t>通过仓顶</w:t>
            </w:r>
            <w:r>
              <w:rPr>
                <w:rFonts w:hint="eastAsia"/>
                <w:szCs w:val="21"/>
              </w:rPr>
              <w:t>的</w:t>
            </w:r>
            <w:r>
              <w:rPr>
                <w:szCs w:val="21"/>
              </w:rPr>
              <w:t>布袋除尘器</w:t>
            </w:r>
            <w:r>
              <w:rPr>
                <w:rFonts w:hint="eastAsia"/>
                <w:szCs w:val="21"/>
              </w:rPr>
              <w:t>进行处理后</w:t>
            </w:r>
            <w:r>
              <w:rPr>
                <w:szCs w:val="21"/>
              </w:rPr>
              <w:t>无组织排放。</w:t>
            </w:r>
          </w:p>
          <w:p>
            <w:pPr>
              <w:spacing w:line="360" w:lineRule="auto"/>
              <w:ind w:firstLine="420" w:firstLineChars="200"/>
            </w:pPr>
            <w:r>
              <w:rPr>
                <w:rFonts w:hint="eastAsia"/>
              </w:rPr>
              <w:t>1）废气处理设备在使用过程中，应定期检查。</w:t>
            </w:r>
          </w:p>
          <w:p>
            <w:pPr>
              <w:spacing w:line="360" w:lineRule="auto"/>
              <w:ind w:firstLine="420" w:firstLineChars="200"/>
            </w:pPr>
            <w:r>
              <w:rPr>
                <w:rFonts w:hint="eastAsia"/>
              </w:rPr>
              <w:t>2）当废气处理设施处在易燃易爆环境中时，设备的防爆等级应达到规定的要求。</w:t>
            </w:r>
          </w:p>
          <w:p>
            <w:pPr>
              <w:spacing w:line="360" w:lineRule="auto"/>
              <w:ind w:firstLine="420" w:firstLineChars="200"/>
            </w:pPr>
            <w:r>
              <w:rPr>
                <w:rFonts w:hint="eastAsia"/>
              </w:rPr>
              <w:t>3）废气处理设备处应配备足够的灭火器材。</w:t>
            </w:r>
          </w:p>
          <w:p>
            <w:pPr>
              <w:spacing w:line="360" w:lineRule="auto"/>
              <w:ind w:firstLine="420" w:firstLineChars="200"/>
            </w:pPr>
            <w:r>
              <w:rPr>
                <w:rFonts w:hint="eastAsia"/>
              </w:rPr>
              <w:t>4）废气处理设备应有可靠的接地桩头。</w:t>
            </w:r>
          </w:p>
          <w:p>
            <w:pPr>
              <w:spacing w:line="360" w:lineRule="auto"/>
              <w:ind w:firstLine="420" w:firstLineChars="200"/>
            </w:pPr>
            <w:r>
              <w:rPr>
                <w:rFonts w:hint="eastAsia"/>
              </w:rPr>
              <w:t>5）定期检查废气管道连接位置是否有泄漏，及时修复破损部位。</w:t>
            </w:r>
          </w:p>
          <w:p>
            <w:pPr>
              <w:spacing w:line="360" w:lineRule="auto"/>
              <w:ind w:firstLine="420" w:firstLineChars="200"/>
            </w:pPr>
            <w:r>
              <w:rPr>
                <w:rFonts w:hint="eastAsia"/>
              </w:rPr>
              <w:t>6）仪表、设备设施定期维护和检查，防止因长期运行遭腐蚀失灵导致工艺异常。</w:t>
            </w:r>
          </w:p>
          <w:p>
            <w:pPr>
              <w:spacing w:line="360" w:lineRule="auto"/>
              <w:ind w:firstLine="420" w:firstLineChars="200"/>
            </w:pPr>
            <w:r>
              <w:rPr>
                <w:rFonts w:hint="eastAsia"/>
              </w:rPr>
              <w:t>7）设备选择时，应选择有合格资质单位制造的设备，应保证废气净化处理工程设备的质量和规格符合国家标准和行业标准。</w:t>
            </w:r>
          </w:p>
          <w:p>
            <w:pPr>
              <w:spacing w:line="360" w:lineRule="auto"/>
              <w:ind w:firstLine="420" w:firstLineChars="200"/>
            </w:pPr>
            <w:r>
              <w:rPr>
                <w:rFonts w:hint="eastAsia"/>
              </w:rPr>
              <w:t>8）治理系统与主体生产装置之间的管道系统应安装阻火器（防火阀），阻火器性能应符合GB13347的规定。</w:t>
            </w:r>
          </w:p>
          <w:p>
            <w:pPr>
              <w:spacing w:line="360" w:lineRule="auto"/>
              <w:ind w:firstLine="420" w:firstLineChars="200"/>
            </w:pPr>
            <w:r>
              <w:rPr>
                <w:rFonts w:hint="eastAsia"/>
              </w:rPr>
              <w:t>9）经过治理后的污染物排放应符合国家或地方相关大气污染物排放标准的规定。</w:t>
            </w:r>
          </w:p>
          <w:p>
            <w:pPr>
              <w:spacing w:line="360" w:lineRule="auto"/>
              <w:ind w:firstLine="420" w:firstLineChars="200"/>
            </w:pPr>
            <w:r>
              <w:rPr>
                <w:rFonts w:hint="eastAsia"/>
              </w:rPr>
              <w:t>10）应按照有关规定和标准合理设计废气工程的安全监测系统，包括自动监测、报警、紧急停车系统。</w:t>
            </w:r>
          </w:p>
          <w:p>
            <w:pPr>
              <w:spacing w:line="360" w:lineRule="auto"/>
              <w:ind w:firstLine="420" w:firstLineChars="200"/>
            </w:pPr>
            <w:r>
              <w:rPr>
                <w:rFonts w:hint="eastAsia"/>
              </w:rPr>
              <w:t>11）治理设备不得超负荷运行。</w:t>
            </w:r>
          </w:p>
          <w:p>
            <w:pPr>
              <w:spacing w:line="360" w:lineRule="auto"/>
              <w:ind w:firstLine="420" w:firstLineChars="200"/>
            </w:pPr>
            <w:r>
              <w:rPr>
                <w:rFonts w:hint="eastAsia"/>
              </w:rPr>
              <w:t>12）保证灭火系统所用的水压、蒸汽压有足够的压力。</w:t>
            </w:r>
          </w:p>
          <w:p>
            <w:pPr>
              <w:spacing w:line="360" w:lineRule="auto"/>
              <w:ind w:firstLine="420" w:firstLineChars="200"/>
            </w:pPr>
            <w:r>
              <w:rPr>
                <w:rFonts w:hint="eastAsia"/>
              </w:rPr>
              <w:t>13）对于各梯台、平台应设置符合要求的防护栏、踢脚板。进行防锈、防腐处理。</w:t>
            </w:r>
          </w:p>
          <w:p>
            <w:pPr>
              <w:spacing w:line="360" w:lineRule="auto"/>
              <w:ind w:firstLine="422" w:firstLineChars="200"/>
              <w:rPr>
                <w:b/>
                <w:bCs/>
                <w:szCs w:val="21"/>
              </w:rPr>
            </w:pPr>
            <w:r>
              <w:rPr>
                <w:rFonts w:hint="eastAsia"/>
                <w:b/>
                <w:bCs/>
                <w:szCs w:val="21"/>
              </w:rPr>
              <w:t>八</w:t>
            </w:r>
            <w:r>
              <w:rPr>
                <w:b/>
                <w:bCs/>
                <w:szCs w:val="21"/>
              </w:rPr>
              <w:t>、环境风险分析</w:t>
            </w:r>
          </w:p>
          <w:p>
            <w:pPr>
              <w:spacing w:line="360" w:lineRule="auto"/>
              <w:ind w:firstLine="420" w:firstLineChars="200"/>
            </w:pPr>
            <w:r>
              <w:t>环境风险评价是对建设项目建设和运行期间发生的可预测突发性事件或事故（一般不包括人为破坏及自然灾害）引起有毒有害、易燃易爆等物质泄漏，或突发事件产生的新的有毒有害物质，所造成的对人身安全与环境的影响和损害，进行评估，提出防范、应急与减缓措施。</w:t>
            </w:r>
          </w:p>
          <w:p>
            <w:pPr>
              <w:tabs>
                <w:tab w:val="left" w:pos="1680"/>
              </w:tabs>
              <w:spacing w:line="360" w:lineRule="auto"/>
              <w:ind w:firstLine="420" w:firstLineChars="200"/>
            </w:pPr>
            <w:r>
              <w:t>（1）环境风险潜势初判</w:t>
            </w:r>
          </w:p>
          <w:p>
            <w:pPr>
              <w:tabs>
                <w:tab w:val="left" w:pos="1680"/>
              </w:tabs>
              <w:spacing w:line="360" w:lineRule="auto"/>
              <w:ind w:firstLine="420" w:firstLineChars="200"/>
            </w:pPr>
            <w:r>
              <w:t>根据《建设项目环境风险评价技术导则》（HJ169-2018）附录B中规定，对本项目Q值进行计算。</w:t>
            </w:r>
          </w:p>
          <w:p>
            <w:pPr>
              <w:tabs>
                <w:tab w:val="left" w:pos="1680"/>
              </w:tabs>
              <w:spacing w:line="360" w:lineRule="auto"/>
              <w:ind w:firstLine="420" w:firstLineChars="200"/>
              <w:rPr>
                <w:lang w:val="fr-FR"/>
              </w:rPr>
            </w:pPr>
            <w:r>
              <w:t xml:space="preserve">          Q=</w:t>
            </w:r>
            <w:r>
              <w:rPr>
                <w:lang w:val="fr-FR"/>
              </w:rPr>
              <w:t xml:space="preserve"> q1/Q1+q2/Q2+……+qn/Qn </w:t>
            </w:r>
          </w:p>
          <w:p>
            <w:pPr>
              <w:adjustRightInd w:val="0"/>
              <w:spacing w:line="360" w:lineRule="auto"/>
              <w:ind w:firstLine="420" w:firstLineChars="200"/>
            </w:pPr>
            <w:r>
              <w:t>式中：q1，q2，……，qn----每种危险物质的最大存在量，t；</w:t>
            </w:r>
          </w:p>
          <w:p>
            <w:pPr>
              <w:adjustRightInd w:val="0"/>
              <w:spacing w:line="360" w:lineRule="auto"/>
              <w:ind w:firstLine="420" w:firstLineChars="200"/>
            </w:pPr>
            <w:r>
              <w:t xml:space="preserve">      Q1，Q2，……，Qn----每种危险物质的临界量，t。</w:t>
            </w:r>
          </w:p>
          <w:p>
            <w:pPr>
              <w:jc w:val="center"/>
              <w:rPr>
                <w:b/>
                <w:bCs/>
                <w:szCs w:val="21"/>
              </w:rPr>
            </w:pPr>
            <w:r>
              <w:rPr>
                <w:b/>
                <w:bCs/>
                <w:szCs w:val="21"/>
              </w:rPr>
              <w:t>表4-17  Q 值划分</w:t>
            </w:r>
          </w:p>
          <w:tbl>
            <w:tblPr>
              <w:tblStyle w:val="4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94"/>
              <w:gridCol w:w="3541"/>
              <w:gridCol w:w="67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18" w:type="dxa"/>
                  <w:tcBorders>
                    <w:top w:val="single" w:color="auto" w:sz="12" w:space="0"/>
                    <w:left w:val="single" w:color="auto" w:sz="12" w:space="0"/>
                    <w:bottom w:val="single" w:color="auto" w:sz="4" w:space="0"/>
                    <w:right w:val="single" w:color="auto" w:sz="4" w:space="0"/>
                  </w:tcBorders>
                  <w:vAlign w:val="center"/>
                </w:tcPr>
                <w:p>
                  <w:pPr>
                    <w:jc w:val="center"/>
                    <w:rPr>
                      <w:b/>
                      <w:bCs/>
                      <w:szCs w:val="21"/>
                    </w:rPr>
                  </w:pPr>
                  <w:r>
                    <w:rPr>
                      <w:b/>
                      <w:bCs/>
                      <w:szCs w:val="21"/>
                    </w:rPr>
                    <w:t>序号</w:t>
                  </w:r>
                </w:p>
              </w:tc>
              <w:tc>
                <w:tcPr>
                  <w:tcW w:w="7227" w:type="dxa"/>
                  <w:gridSpan w:val="2"/>
                  <w:tcBorders>
                    <w:top w:val="single" w:color="auto" w:sz="12" w:space="0"/>
                    <w:left w:val="single" w:color="auto" w:sz="4" w:space="0"/>
                    <w:bottom w:val="single" w:color="auto" w:sz="4" w:space="0"/>
                    <w:right w:val="single" w:color="auto" w:sz="12" w:space="0"/>
                  </w:tcBorders>
                  <w:vAlign w:val="center"/>
                </w:tcPr>
                <w:p>
                  <w:pPr>
                    <w:jc w:val="center"/>
                    <w:rPr>
                      <w:b/>
                      <w:bCs/>
                      <w:szCs w:val="21"/>
                    </w:rPr>
                  </w:pPr>
                  <w:r>
                    <w:rPr>
                      <w:b/>
                      <w:bCs/>
                      <w:szCs w:val="21"/>
                    </w:rPr>
                    <w:t>Q值划分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18" w:type="dxa"/>
                  <w:tcBorders>
                    <w:top w:val="single" w:color="auto" w:sz="4" w:space="0"/>
                    <w:left w:val="single" w:color="auto" w:sz="12" w:space="0"/>
                    <w:bottom w:val="single" w:color="auto" w:sz="4" w:space="0"/>
                    <w:right w:val="single" w:color="auto" w:sz="4" w:space="0"/>
                  </w:tcBorders>
                  <w:vAlign w:val="center"/>
                </w:tcPr>
                <w:p>
                  <w:pPr>
                    <w:pStyle w:val="51"/>
                    <w:spacing w:line="240" w:lineRule="auto"/>
                    <w:rPr>
                      <w:rFonts w:ascii="Times New Roman" w:hAnsi="Times New Roman"/>
                    </w:rPr>
                  </w:pPr>
                  <w:r>
                    <w:rPr>
                      <w:rFonts w:ascii="Times New Roman" w:hAnsi="Times New Roman"/>
                    </w:rPr>
                    <w:t>1</w:t>
                  </w:r>
                </w:p>
              </w:tc>
              <w:tc>
                <w:tcPr>
                  <w:tcW w:w="2497" w:type="dxa"/>
                  <w:tcBorders>
                    <w:top w:val="single" w:color="auto" w:sz="4" w:space="0"/>
                    <w:left w:val="single" w:color="auto" w:sz="4" w:space="0"/>
                    <w:bottom w:val="single" w:color="auto" w:sz="4" w:space="0"/>
                    <w:right w:val="single" w:color="auto" w:sz="4" w:space="0"/>
                  </w:tcBorders>
                  <w:vAlign w:val="center"/>
                </w:tcPr>
                <w:p>
                  <w:pPr>
                    <w:pStyle w:val="51"/>
                    <w:spacing w:line="240" w:lineRule="auto"/>
                    <w:rPr>
                      <w:rFonts w:ascii="Times New Roman" w:hAnsi="Times New Roman"/>
                    </w:rPr>
                  </w:pPr>
                  <w:r>
                    <w:rPr>
                      <w:rFonts w:ascii="Times New Roman" w:hAnsi="Times New Roman"/>
                    </w:rPr>
                    <w:t>Q&lt;1</w:t>
                  </w:r>
                </w:p>
              </w:tc>
              <w:tc>
                <w:tcPr>
                  <w:tcW w:w="4730" w:type="dxa"/>
                  <w:tcBorders>
                    <w:top w:val="single" w:color="auto" w:sz="4" w:space="0"/>
                    <w:left w:val="single" w:color="auto" w:sz="4" w:space="0"/>
                    <w:bottom w:val="single" w:color="auto" w:sz="4" w:space="0"/>
                    <w:right w:val="single" w:color="auto" w:sz="12" w:space="0"/>
                  </w:tcBorders>
                  <w:vAlign w:val="center"/>
                </w:tcPr>
                <w:p>
                  <w:pPr>
                    <w:pStyle w:val="51"/>
                    <w:spacing w:line="240" w:lineRule="auto"/>
                    <w:rPr>
                      <w:rFonts w:ascii="Times New Roman" w:hAnsi="Times New Roman"/>
                    </w:rPr>
                  </w:pPr>
                  <w:r>
                    <w:rPr>
                      <w:rFonts w:ascii="Times New Roman" w:hAnsi="Times New Roman"/>
                    </w:rPr>
                    <w:t>环境风险潜势为Ⅰ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618" w:type="dxa"/>
                  <w:vMerge w:val="restart"/>
                  <w:tcBorders>
                    <w:top w:val="single" w:color="auto" w:sz="4" w:space="0"/>
                    <w:left w:val="single" w:color="auto" w:sz="12" w:space="0"/>
                    <w:bottom w:val="single" w:color="auto" w:sz="4" w:space="0"/>
                    <w:right w:val="single" w:color="auto" w:sz="4" w:space="0"/>
                  </w:tcBorders>
                  <w:vAlign w:val="center"/>
                </w:tcPr>
                <w:p>
                  <w:pPr>
                    <w:pStyle w:val="51"/>
                    <w:spacing w:line="240" w:lineRule="auto"/>
                    <w:rPr>
                      <w:rFonts w:ascii="Times New Roman" w:hAnsi="Times New Roman"/>
                    </w:rPr>
                  </w:pPr>
                  <w:r>
                    <w:rPr>
                      <w:rFonts w:ascii="Times New Roman" w:hAnsi="Times New Roman"/>
                    </w:rPr>
                    <w:t>2</w:t>
                  </w:r>
                </w:p>
              </w:tc>
              <w:tc>
                <w:tcPr>
                  <w:tcW w:w="2497" w:type="dxa"/>
                  <w:vMerge w:val="restart"/>
                  <w:tcBorders>
                    <w:top w:val="single" w:color="auto" w:sz="4" w:space="0"/>
                    <w:left w:val="single" w:color="auto" w:sz="4" w:space="0"/>
                    <w:bottom w:val="single" w:color="auto" w:sz="4" w:space="0"/>
                    <w:right w:val="single" w:color="auto" w:sz="4" w:space="0"/>
                  </w:tcBorders>
                  <w:vAlign w:val="center"/>
                </w:tcPr>
                <w:p>
                  <w:pPr>
                    <w:pStyle w:val="51"/>
                    <w:spacing w:line="240" w:lineRule="auto"/>
                    <w:rPr>
                      <w:rFonts w:ascii="Times New Roman" w:hAnsi="Times New Roman"/>
                    </w:rPr>
                  </w:pPr>
                  <w:r>
                    <w:rPr>
                      <w:rFonts w:ascii="Times New Roman" w:hAnsi="Times New Roman"/>
                    </w:rPr>
                    <w:t>Q≧1</w:t>
                  </w:r>
                </w:p>
              </w:tc>
              <w:tc>
                <w:tcPr>
                  <w:tcW w:w="4730" w:type="dxa"/>
                  <w:tcBorders>
                    <w:top w:val="single" w:color="auto" w:sz="4" w:space="0"/>
                    <w:left w:val="single" w:color="auto" w:sz="4" w:space="0"/>
                    <w:bottom w:val="single" w:color="auto" w:sz="4" w:space="0"/>
                    <w:right w:val="single" w:color="auto" w:sz="12" w:space="0"/>
                  </w:tcBorders>
                  <w:vAlign w:val="center"/>
                </w:tcPr>
                <w:p>
                  <w:pPr>
                    <w:pStyle w:val="51"/>
                    <w:spacing w:line="240" w:lineRule="auto"/>
                    <w:rPr>
                      <w:rFonts w:ascii="Times New Roman" w:hAnsi="Times New Roman"/>
                    </w:rPr>
                  </w:pPr>
                  <w:r>
                    <w:rPr>
                      <w:rFonts w:ascii="Times New Roman" w:hAnsi="Times New Roman"/>
                    </w:rPr>
                    <w:t>1≤Q＜10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18" w:type="dxa"/>
                  <w:vMerge w:val="continue"/>
                  <w:tcBorders>
                    <w:top w:val="single" w:color="auto" w:sz="4" w:space="0"/>
                    <w:left w:val="single" w:color="auto" w:sz="12" w:space="0"/>
                    <w:bottom w:val="single" w:color="auto" w:sz="4" w:space="0"/>
                    <w:right w:val="single" w:color="auto" w:sz="4" w:space="0"/>
                  </w:tcBorders>
                  <w:vAlign w:val="center"/>
                </w:tcPr>
                <w:p>
                  <w:pPr>
                    <w:pStyle w:val="51"/>
                    <w:spacing w:line="240" w:lineRule="auto"/>
                    <w:rPr>
                      <w:rFonts w:ascii="Times New Roman" w:hAnsi="Times New Roman"/>
                    </w:rPr>
                  </w:pPr>
                </w:p>
              </w:tc>
              <w:tc>
                <w:tcPr>
                  <w:tcW w:w="2497" w:type="dxa"/>
                  <w:vMerge w:val="continue"/>
                  <w:tcBorders>
                    <w:top w:val="single" w:color="auto" w:sz="4" w:space="0"/>
                    <w:left w:val="single" w:color="auto" w:sz="4" w:space="0"/>
                    <w:bottom w:val="single" w:color="auto" w:sz="4" w:space="0"/>
                    <w:right w:val="single" w:color="auto" w:sz="4" w:space="0"/>
                  </w:tcBorders>
                  <w:vAlign w:val="center"/>
                </w:tcPr>
                <w:p>
                  <w:pPr>
                    <w:pStyle w:val="51"/>
                    <w:spacing w:line="240" w:lineRule="auto"/>
                    <w:rPr>
                      <w:rFonts w:ascii="Times New Roman" w:hAnsi="Times New Roman"/>
                    </w:rPr>
                  </w:pPr>
                </w:p>
              </w:tc>
              <w:tc>
                <w:tcPr>
                  <w:tcW w:w="4730" w:type="dxa"/>
                  <w:tcBorders>
                    <w:top w:val="single" w:color="auto" w:sz="4" w:space="0"/>
                    <w:left w:val="single" w:color="auto" w:sz="4" w:space="0"/>
                    <w:bottom w:val="single" w:color="auto" w:sz="4" w:space="0"/>
                    <w:right w:val="single" w:color="auto" w:sz="12" w:space="0"/>
                  </w:tcBorders>
                  <w:vAlign w:val="center"/>
                </w:tcPr>
                <w:p>
                  <w:pPr>
                    <w:pStyle w:val="51"/>
                    <w:spacing w:line="240" w:lineRule="auto"/>
                    <w:rPr>
                      <w:rFonts w:ascii="Times New Roman" w:hAnsi="Times New Roman"/>
                    </w:rPr>
                  </w:pPr>
                  <w:r>
                    <w:rPr>
                      <w:rFonts w:ascii="Times New Roman" w:hAnsi="Times New Roman"/>
                    </w:rPr>
                    <w:t>10≤Q＜100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18" w:type="dxa"/>
                  <w:vMerge w:val="continue"/>
                  <w:tcBorders>
                    <w:top w:val="single" w:color="auto" w:sz="4" w:space="0"/>
                    <w:left w:val="single" w:color="auto" w:sz="12" w:space="0"/>
                    <w:bottom w:val="single" w:color="auto" w:sz="12" w:space="0"/>
                    <w:right w:val="single" w:color="auto" w:sz="4" w:space="0"/>
                  </w:tcBorders>
                  <w:vAlign w:val="center"/>
                </w:tcPr>
                <w:p>
                  <w:pPr>
                    <w:pStyle w:val="51"/>
                    <w:spacing w:line="240" w:lineRule="auto"/>
                    <w:rPr>
                      <w:rFonts w:ascii="Times New Roman" w:hAnsi="Times New Roman"/>
                    </w:rPr>
                  </w:pPr>
                </w:p>
              </w:tc>
              <w:tc>
                <w:tcPr>
                  <w:tcW w:w="2497" w:type="dxa"/>
                  <w:vMerge w:val="continue"/>
                  <w:tcBorders>
                    <w:top w:val="single" w:color="auto" w:sz="4" w:space="0"/>
                    <w:left w:val="single" w:color="auto" w:sz="4" w:space="0"/>
                    <w:bottom w:val="single" w:color="auto" w:sz="12" w:space="0"/>
                    <w:right w:val="single" w:color="auto" w:sz="4" w:space="0"/>
                  </w:tcBorders>
                  <w:vAlign w:val="center"/>
                </w:tcPr>
                <w:p>
                  <w:pPr>
                    <w:pStyle w:val="51"/>
                    <w:spacing w:line="240" w:lineRule="auto"/>
                    <w:rPr>
                      <w:rFonts w:ascii="Times New Roman" w:hAnsi="Times New Roman"/>
                    </w:rPr>
                  </w:pPr>
                </w:p>
              </w:tc>
              <w:tc>
                <w:tcPr>
                  <w:tcW w:w="4730" w:type="dxa"/>
                  <w:tcBorders>
                    <w:top w:val="single" w:color="auto" w:sz="4" w:space="0"/>
                    <w:left w:val="single" w:color="auto" w:sz="4" w:space="0"/>
                    <w:bottom w:val="single" w:color="auto" w:sz="12" w:space="0"/>
                    <w:right w:val="single" w:color="auto" w:sz="12" w:space="0"/>
                  </w:tcBorders>
                  <w:vAlign w:val="center"/>
                </w:tcPr>
                <w:p>
                  <w:pPr>
                    <w:pStyle w:val="51"/>
                    <w:spacing w:line="240" w:lineRule="auto"/>
                    <w:rPr>
                      <w:rFonts w:ascii="Times New Roman" w:hAnsi="Times New Roman"/>
                    </w:rPr>
                  </w:pPr>
                  <w:r>
                    <w:rPr>
                      <w:rFonts w:ascii="Times New Roman" w:hAnsi="Times New Roman"/>
                    </w:rPr>
                    <w:t>Q≥100</w:t>
                  </w:r>
                </w:p>
              </w:tc>
            </w:tr>
          </w:tbl>
          <w:p>
            <w:pPr>
              <w:tabs>
                <w:tab w:val="left" w:pos="1152"/>
                <w:tab w:val="left" w:pos="1680"/>
              </w:tabs>
              <w:spacing w:line="360" w:lineRule="auto"/>
              <w:ind w:firstLine="420" w:firstLineChars="200"/>
            </w:pPr>
            <w:r>
              <w:t>本项目所识别的危险物质为危废暂存间的废润滑油和废润滑油桶，根据企业提供的资料，废润滑油的最大存在量为0.5t，废润滑油桶的最大存在量为0.025t，临界量为2500t。</w:t>
            </w:r>
          </w:p>
          <w:p>
            <w:pPr>
              <w:jc w:val="center"/>
              <w:rPr>
                <w:b/>
                <w:bCs/>
                <w:szCs w:val="21"/>
              </w:rPr>
            </w:pPr>
            <w:r>
              <w:rPr>
                <w:b/>
                <w:bCs/>
                <w:szCs w:val="21"/>
              </w:rPr>
              <w:t>表4-18  重点关注的危险物质数量与临界量的比值（Q）确定</w:t>
            </w:r>
          </w:p>
          <w:tbl>
            <w:tblPr>
              <w:tblStyle w:val="4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406"/>
              <w:gridCol w:w="3040"/>
              <w:gridCol w:w="3039"/>
              <w:gridCol w:w="305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358" w:type="pct"/>
                  <w:tcBorders>
                    <w:tl2br w:val="nil"/>
                    <w:tr2bl w:val="nil"/>
                  </w:tcBorders>
                  <w:noWrap/>
                  <w:vAlign w:val="center"/>
                </w:tcPr>
                <w:p>
                  <w:pPr>
                    <w:jc w:val="center"/>
                    <w:rPr>
                      <w:b/>
                      <w:bCs/>
                      <w:szCs w:val="21"/>
                    </w:rPr>
                  </w:pPr>
                  <w:r>
                    <w:rPr>
                      <w:b/>
                      <w:bCs/>
                      <w:szCs w:val="21"/>
                    </w:rPr>
                    <w:t>危险物质分布点名称</w:t>
                  </w:r>
                </w:p>
              </w:tc>
              <w:tc>
                <w:tcPr>
                  <w:tcW w:w="1212" w:type="pct"/>
                  <w:tcBorders>
                    <w:tl2br w:val="nil"/>
                    <w:tr2bl w:val="nil"/>
                  </w:tcBorders>
                  <w:vAlign w:val="center"/>
                </w:tcPr>
                <w:p>
                  <w:pPr>
                    <w:jc w:val="center"/>
                    <w:rPr>
                      <w:b/>
                      <w:bCs/>
                      <w:szCs w:val="21"/>
                    </w:rPr>
                  </w:pPr>
                  <w:r>
                    <w:rPr>
                      <w:b/>
                      <w:bCs/>
                      <w:szCs w:val="21"/>
                    </w:rPr>
                    <w:t>危险物质</w:t>
                  </w:r>
                </w:p>
              </w:tc>
              <w:tc>
                <w:tcPr>
                  <w:tcW w:w="1212" w:type="pct"/>
                  <w:tcBorders>
                    <w:tl2br w:val="nil"/>
                    <w:tr2bl w:val="nil"/>
                  </w:tcBorders>
                  <w:vAlign w:val="center"/>
                </w:tcPr>
                <w:p>
                  <w:pPr>
                    <w:jc w:val="center"/>
                    <w:rPr>
                      <w:b/>
                      <w:bCs/>
                      <w:szCs w:val="21"/>
                    </w:rPr>
                  </w:pPr>
                  <w:r>
                    <w:rPr>
                      <w:b/>
                      <w:bCs/>
                      <w:szCs w:val="21"/>
                    </w:rPr>
                    <w:t>最大存在量/t</w:t>
                  </w:r>
                </w:p>
              </w:tc>
              <w:tc>
                <w:tcPr>
                  <w:tcW w:w="1217" w:type="pct"/>
                  <w:tcBorders>
                    <w:tl2br w:val="nil"/>
                    <w:tr2bl w:val="nil"/>
                  </w:tcBorders>
                  <w:vAlign w:val="center"/>
                </w:tcPr>
                <w:p>
                  <w:pPr>
                    <w:jc w:val="center"/>
                    <w:rPr>
                      <w:b/>
                      <w:bCs/>
                      <w:szCs w:val="21"/>
                    </w:rPr>
                  </w:pPr>
                  <w:r>
                    <w:rPr>
                      <w:b/>
                      <w:bCs/>
                      <w:szCs w:val="21"/>
                    </w:rPr>
                    <w:t>临界量/t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8" w:type="pct"/>
                  <w:tcBorders>
                    <w:tl2br w:val="nil"/>
                    <w:tr2bl w:val="nil"/>
                  </w:tcBorders>
                  <w:noWrap/>
                  <w:vAlign w:val="center"/>
                </w:tcPr>
                <w:p>
                  <w:pPr>
                    <w:pStyle w:val="51"/>
                    <w:spacing w:line="240" w:lineRule="auto"/>
                    <w:rPr>
                      <w:rFonts w:ascii="Times New Roman" w:hAnsi="Times New Roman"/>
                    </w:rPr>
                  </w:pPr>
                  <w:r>
                    <w:rPr>
                      <w:rFonts w:ascii="Times New Roman" w:hAnsi="Times New Roman"/>
                    </w:rPr>
                    <w:t>危废暂存间</w:t>
                  </w:r>
                </w:p>
              </w:tc>
              <w:tc>
                <w:tcPr>
                  <w:tcW w:w="1212" w:type="pct"/>
                  <w:tcBorders>
                    <w:tl2br w:val="nil"/>
                    <w:tr2bl w:val="nil"/>
                  </w:tcBorders>
                  <w:vAlign w:val="center"/>
                </w:tcPr>
                <w:p>
                  <w:pPr>
                    <w:pStyle w:val="51"/>
                    <w:spacing w:line="240" w:lineRule="auto"/>
                    <w:rPr>
                      <w:rFonts w:ascii="Times New Roman" w:hAnsi="Times New Roman"/>
                    </w:rPr>
                  </w:pPr>
                  <w:r>
                    <w:rPr>
                      <w:rFonts w:ascii="Times New Roman" w:hAnsi="Times New Roman"/>
                    </w:rPr>
                    <w:t>废润滑油</w:t>
                  </w:r>
                </w:p>
              </w:tc>
              <w:tc>
                <w:tcPr>
                  <w:tcW w:w="1212" w:type="pct"/>
                  <w:tcBorders>
                    <w:tl2br w:val="nil"/>
                    <w:tr2bl w:val="nil"/>
                  </w:tcBorders>
                  <w:vAlign w:val="center"/>
                </w:tcPr>
                <w:p>
                  <w:pPr>
                    <w:pStyle w:val="51"/>
                    <w:spacing w:line="240" w:lineRule="auto"/>
                    <w:rPr>
                      <w:rFonts w:ascii="Times New Roman" w:hAnsi="Times New Roman"/>
                    </w:rPr>
                  </w:pPr>
                  <w:r>
                    <w:rPr>
                      <w:rFonts w:ascii="Times New Roman" w:hAnsi="Times New Roman"/>
                    </w:rPr>
                    <w:t>0.5</w:t>
                  </w:r>
                </w:p>
              </w:tc>
              <w:tc>
                <w:tcPr>
                  <w:tcW w:w="1217" w:type="pct"/>
                  <w:tcBorders>
                    <w:tl2br w:val="nil"/>
                    <w:tr2bl w:val="nil"/>
                  </w:tcBorders>
                  <w:vAlign w:val="center"/>
                </w:tcPr>
                <w:p>
                  <w:pPr>
                    <w:pStyle w:val="51"/>
                    <w:spacing w:line="240" w:lineRule="auto"/>
                    <w:rPr>
                      <w:rFonts w:ascii="Times New Roman" w:hAnsi="Times New Roman"/>
                    </w:rPr>
                  </w:pPr>
                  <w:r>
                    <w:rPr>
                      <w:rFonts w:ascii="Times New Roman" w:hAnsi="Times New Roman"/>
                    </w:rPr>
                    <w:t>2500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3385" w:type="dxa"/>
                  <w:tcBorders>
                    <w:tl2br w:val="nil"/>
                    <w:tr2bl w:val="nil"/>
                  </w:tcBorders>
                  <w:noWrap/>
                  <w:vAlign w:val="center"/>
                </w:tcPr>
                <w:p>
                  <w:pPr>
                    <w:pStyle w:val="51"/>
                    <w:spacing w:line="240" w:lineRule="auto"/>
                    <w:rPr>
                      <w:rFonts w:ascii="Times New Roman" w:hAnsi="Times New Roman"/>
                    </w:rPr>
                  </w:pPr>
                  <w:r>
                    <w:rPr>
                      <w:rFonts w:ascii="Times New Roman" w:hAnsi="Times New Roman"/>
                    </w:rPr>
                    <w:t>危废暂存间</w:t>
                  </w:r>
                </w:p>
              </w:tc>
              <w:tc>
                <w:tcPr>
                  <w:tcW w:w="3021" w:type="dxa"/>
                  <w:tcBorders>
                    <w:tl2br w:val="nil"/>
                    <w:tr2bl w:val="nil"/>
                  </w:tcBorders>
                  <w:vAlign w:val="center"/>
                </w:tcPr>
                <w:p>
                  <w:pPr>
                    <w:pStyle w:val="51"/>
                    <w:spacing w:line="240" w:lineRule="auto"/>
                    <w:rPr>
                      <w:rFonts w:ascii="Times New Roman" w:hAnsi="Times New Roman"/>
                    </w:rPr>
                  </w:pPr>
                  <w:r>
                    <w:rPr>
                      <w:rFonts w:ascii="Times New Roman" w:hAnsi="Times New Roman"/>
                    </w:rPr>
                    <w:t>废润滑油桶</w:t>
                  </w:r>
                </w:p>
              </w:tc>
              <w:tc>
                <w:tcPr>
                  <w:tcW w:w="1212" w:type="pct"/>
                  <w:tcBorders>
                    <w:tl2br w:val="nil"/>
                    <w:tr2bl w:val="nil"/>
                  </w:tcBorders>
                  <w:vAlign w:val="center"/>
                </w:tcPr>
                <w:p>
                  <w:pPr>
                    <w:jc w:val="center"/>
                  </w:pPr>
                  <w:r>
                    <w:t>0.025</w:t>
                  </w:r>
                </w:p>
              </w:tc>
              <w:tc>
                <w:tcPr>
                  <w:tcW w:w="1217" w:type="pct"/>
                  <w:tcBorders>
                    <w:tl2br w:val="nil"/>
                    <w:tr2bl w:val="nil"/>
                  </w:tcBorders>
                  <w:vAlign w:val="center"/>
                </w:tcPr>
                <w:p>
                  <w:pPr>
                    <w:jc w:val="center"/>
                  </w:pPr>
                  <w:r>
                    <w:t>2500</w:t>
                  </w:r>
                </w:p>
              </w:tc>
            </w:tr>
          </w:tbl>
          <w:p>
            <w:pPr>
              <w:pStyle w:val="39"/>
            </w:pPr>
            <w:r>
              <w:t>根据Q值的计算，本项目Q=0.00021，属于Q＜1的情况。</w:t>
            </w:r>
          </w:p>
          <w:p>
            <w:pPr>
              <w:tabs>
                <w:tab w:val="left" w:pos="1152"/>
                <w:tab w:val="left" w:pos="1680"/>
              </w:tabs>
              <w:spacing w:line="360" w:lineRule="auto"/>
              <w:ind w:firstLine="420" w:firstLineChars="200"/>
            </w:pPr>
            <w:r>
              <w:t>（2）评价等级划分</w:t>
            </w:r>
          </w:p>
          <w:p>
            <w:pPr>
              <w:tabs>
                <w:tab w:val="left" w:pos="1152"/>
                <w:tab w:val="left" w:pos="1680"/>
              </w:tabs>
              <w:spacing w:line="360" w:lineRule="auto"/>
              <w:ind w:firstLine="420" w:firstLineChars="200"/>
            </w:pPr>
            <w:r>
              <w:t>根据《建设项目环境风险评价技术导则》（HJ169-2018）可知，环境风险评价等级划分见下表：</w:t>
            </w:r>
          </w:p>
          <w:p>
            <w:pPr>
              <w:jc w:val="center"/>
              <w:rPr>
                <w:b/>
                <w:bCs/>
                <w:szCs w:val="21"/>
              </w:rPr>
            </w:pPr>
            <w:r>
              <w:rPr>
                <w:b/>
                <w:bCs/>
                <w:szCs w:val="21"/>
              </w:rPr>
              <w:t>表4-19  评价工作等级</w:t>
            </w:r>
          </w:p>
          <w:tbl>
            <w:tblPr>
              <w:tblStyle w:val="4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508"/>
              <w:gridCol w:w="2508"/>
              <w:gridCol w:w="2508"/>
              <w:gridCol w:w="2508"/>
              <w:gridCol w:w="25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769" w:type="dxa"/>
                  <w:tcBorders>
                    <w:top w:val="single" w:color="auto" w:sz="12" w:space="0"/>
                    <w:left w:val="single" w:color="auto" w:sz="12" w:space="0"/>
                    <w:bottom w:val="single" w:color="auto" w:sz="4" w:space="0"/>
                    <w:right w:val="single" w:color="auto" w:sz="4" w:space="0"/>
                  </w:tcBorders>
                </w:tcPr>
                <w:p>
                  <w:pPr>
                    <w:pStyle w:val="51"/>
                    <w:spacing w:line="240" w:lineRule="auto"/>
                    <w:rPr>
                      <w:rFonts w:ascii="Times New Roman" w:hAnsi="Times New Roman"/>
                    </w:rPr>
                  </w:pPr>
                  <w:r>
                    <w:rPr>
                      <w:rFonts w:ascii="Times New Roman" w:hAnsi="Times New Roman"/>
                    </w:rPr>
                    <w:t>环境风险潜势</w:t>
                  </w:r>
                </w:p>
              </w:tc>
              <w:tc>
                <w:tcPr>
                  <w:tcW w:w="1769" w:type="dxa"/>
                  <w:tcBorders>
                    <w:top w:val="single" w:color="auto" w:sz="12" w:space="0"/>
                    <w:left w:val="single" w:color="auto" w:sz="4" w:space="0"/>
                    <w:bottom w:val="single" w:color="auto" w:sz="4" w:space="0"/>
                    <w:right w:val="single" w:color="auto" w:sz="4" w:space="0"/>
                  </w:tcBorders>
                </w:tcPr>
                <w:p>
                  <w:pPr>
                    <w:pStyle w:val="51"/>
                    <w:spacing w:line="240" w:lineRule="auto"/>
                    <w:rPr>
                      <w:rFonts w:ascii="Times New Roman" w:hAnsi="Times New Roman"/>
                    </w:rPr>
                  </w:pPr>
                  <w:r>
                    <w:rPr>
                      <w:rFonts w:ascii="Times New Roman" w:hAnsi="Times New Roman"/>
                    </w:rPr>
                    <w:t>IV、IV+</w:t>
                  </w:r>
                </w:p>
              </w:tc>
              <w:tc>
                <w:tcPr>
                  <w:tcW w:w="1769" w:type="dxa"/>
                  <w:tcBorders>
                    <w:top w:val="single" w:color="auto" w:sz="12" w:space="0"/>
                    <w:left w:val="single" w:color="auto" w:sz="4" w:space="0"/>
                    <w:bottom w:val="single" w:color="auto" w:sz="4" w:space="0"/>
                    <w:right w:val="single" w:color="auto" w:sz="4" w:space="0"/>
                  </w:tcBorders>
                </w:tcPr>
                <w:p>
                  <w:pPr>
                    <w:pStyle w:val="51"/>
                    <w:spacing w:line="240" w:lineRule="auto"/>
                    <w:rPr>
                      <w:rFonts w:ascii="Times New Roman" w:hAnsi="Times New Roman"/>
                    </w:rPr>
                  </w:pPr>
                  <w:r>
                    <w:rPr>
                      <w:rFonts w:ascii="Times New Roman" w:hAnsi="Times New Roman"/>
                    </w:rPr>
                    <w:t>III</w:t>
                  </w:r>
                </w:p>
              </w:tc>
              <w:tc>
                <w:tcPr>
                  <w:tcW w:w="1769" w:type="dxa"/>
                  <w:tcBorders>
                    <w:top w:val="single" w:color="auto" w:sz="12" w:space="0"/>
                    <w:left w:val="single" w:color="auto" w:sz="4" w:space="0"/>
                    <w:bottom w:val="single" w:color="auto" w:sz="4" w:space="0"/>
                    <w:right w:val="single" w:color="auto" w:sz="4" w:space="0"/>
                  </w:tcBorders>
                </w:tcPr>
                <w:p>
                  <w:pPr>
                    <w:pStyle w:val="51"/>
                    <w:spacing w:line="240" w:lineRule="auto"/>
                    <w:rPr>
                      <w:rFonts w:ascii="Times New Roman" w:hAnsi="Times New Roman"/>
                    </w:rPr>
                  </w:pPr>
                  <w:r>
                    <w:rPr>
                      <w:rFonts w:ascii="Times New Roman" w:hAnsi="Times New Roman"/>
                    </w:rPr>
                    <w:t>II</w:t>
                  </w:r>
                </w:p>
              </w:tc>
              <w:tc>
                <w:tcPr>
                  <w:tcW w:w="1769" w:type="dxa"/>
                  <w:tcBorders>
                    <w:top w:val="single" w:color="auto" w:sz="12" w:space="0"/>
                    <w:left w:val="single" w:color="auto" w:sz="4" w:space="0"/>
                    <w:bottom w:val="single" w:color="auto" w:sz="4" w:space="0"/>
                    <w:right w:val="single" w:color="auto" w:sz="12" w:space="0"/>
                  </w:tcBorders>
                </w:tcPr>
                <w:p>
                  <w:pPr>
                    <w:pStyle w:val="51"/>
                    <w:spacing w:line="240" w:lineRule="auto"/>
                    <w:rPr>
                      <w:rFonts w:ascii="Times New Roman" w:hAnsi="Times New Roman"/>
                    </w:rPr>
                  </w:pPr>
                  <w:r>
                    <w:rPr>
                      <w:rFonts w:ascii="Times New Roman" w:hAnsi="Times New Roman"/>
                    </w:rPr>
                    <w:t>I</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769" w:type="dxa"/>
                  <w:tcBorders>
                    <w:top w:val="single" w:color="auto" w:sz="4" w:space="0"/>
                    <w:left w:val="single" w:color="auto" w:sz="12" w:space="0"/>
                    <w:bottom w:val="single" w:color="auto" w:sz="12" w:space="0"/>
                    <w:right w:val="single" w:color="auto" w:sz="4" w:space="0"/>
                  </w:tcBorders>
                </w:tcPr>
                <w:p>
                  <w:pPr>
                    <w:pStyle w:val="51"/>
                    <w:spacing w:line="240" w:lineRule="auto"/>
                    <w:rPr>
                      <w:rFonts w:ascii="Times New Roman" w:hAnsi="Times New Roman"/>
                    </w:rPr>
                  </w:pPr>
                  <w:r>
                    <w:rPr>
                      <w:rFonts w:ascii="Times New Roman" w:hAnsi="Times New Roman"/>
                    </w:rPr>
                    <w:t>评价工作等级</w:t>
                  </w:r>
                </w:p>
              </w:tc>
              <w:tc>
                <w:tcPr>
                  <w:tcW w:w="1769" w:type="dxa"/>
                  <w:tcBorders>
                    <w:top w:val="single" w:color="auto" w:sz="4" w:space="0"/>
                    <w:left w:val="single" w:color="auto" w:sz="4" w:space="0"/>
                    <w:bottom w:val="single" w:color="auto" w:sz="12" w:space="0"/>
                    <w:right w:val="single" w:color="auto" w:sz="4" w:space="0"/>
                  </w:tcBorders>
                </w:tcPr>
                <w:p>
                  <w:pPr>
                    <w:pStyle w:val="51"/>
                    <w:spacing w:line="240" w:lineRule="auto"/>
                    <w:rPr>
                      <w:rFonts w:ascii="Times New Roman" w:hAnsi="Times New Roman"/>
                    </w:rPr>
                  </w:pPr>
                  <w:r>
                    <w:rPr>
                      <w:rFonts w:ascii="Times New Roman" w:hAnsi="Times New Roman"/>
                    </w:rPr>
                    <w:t>一</w:t>
                  </w:r>
                </w:p>
              </w:tc>
              <w:tc>
                <w:tcPr>
                  <w:tcW w:w="1769" w:type="dxa"/>
                  <w:tcBorders>
                    <w:top w:val="single" w:color="auto" w:sz="4" w:space="0"/>
                    <w:left w:val="single" w:color="auto" w:sz="4" w:space="0"/>
                    <w:bottom w:val="single" w:color="auto" w:sz="12" w:space="0"/>
                    <w:right w:val="single" w:color="auto" w:sz="4" w:space="0"/>
                  </w:tcBorders>
                </w:tcPr>
                <w:p>
                  <w:pPr>
                    <w:pStyle w:val="51"/>
                    <w:spacing w:line="240" w:lineRule="auto"/>
                    <w:rPr>
                      <w:rFonts w:ascii="Times New Roman" w:hAnsi="Times New Roman"/>
                    </w:rPr>
                  </w:pPr>
                  <w:r>
                    <w:rPr>
                      <w:rFonts w:ascii="Times New Roman" w:hAnsi="Times New Roman"/>
                    </w:rPr>
                    <w:t>二</w:t>
                  </w:r>
                </w:p>
              </w:tc>
              <w:tc>
                <w:tcPr>
                  <w:tcW w:w="1769" w:type="dxa"/>
                  <w:tcBorders>
                    <w:top w:val="single" w:color="auto" w:sz="4" w:space="0"/>
                    <w:left w:val="single" w:color="auto" w:sz="4" w:space="0"/>
                    <w:bottom w:val="single" w:color="auto" w:sz="12" w:space="0"/>
                    <w:right w:val="single" w:color="auto" w:sz="4" w:space="0"/>
                  </w:tcBorders>
                </w:tcPr>
                <w:p>
                  <w:pPr>
                    <w:pStyle w:val="51"/>
                    <w:spacing w:line="240" w:lineRule="auto"/>
                    <w:rPr>
                      <w:rFonts w:ascii="Times New Roman" w:hAnsi="Times New Roman"/>
                    </w:rPr>
                  </w:pPr>
                  <w:r>
                    <w:rPr>
                      <w:rFonts w:ascii="Times New Roman" w:hAnsi="Times New Roman"/>
                    </w:rPr>
                    <w:t>三</w:t>
                  </w:r>
                </w:p>
              </w:tc>
              <w:tc>
                <w:tcPr>
                  <w:tcW w:w="1769" w:type="dxa"/>
                  <w:tcBorders>
                    <w:top w:val="single" w:color="auto" w:sz="4" w:space="0"/>
                    <w:left w:val="single" w:color="auto" w:sz="4" w:space="0"/>
                    <w:bottom w:val="single" w:color="auto" w:sz="12" w:space="0"/>
                    <w:right w:val="single" w:color="auto" w:sz="12" w:space="0"/>
                  </w:tcBorders>
                </w:tcPr>
                <w:p>
                  <w:pPr>
                    <w:pStyle w:val="51"/>
                    <w:spacing w:line="240" w:lineRule="auto"/>
                    <w:rPr>
                      <w:rFonts w:ascii="Times New Roman" w:hAnsi="Times New Roman"/>
                    </w:rPr>
                  </w:pPr>
                  <w:r>
                    <w:rPr>
                      <w:rFonts w:ascii="Times New Roman" w:hAnsi="Times New Roman"/>
                    </w:rPr>
                    <w:t>简单分析a</w:t>
                  </w:r>
                </w:p>
              </w:tc>
            </w:tr>
          </w:tbl>
          <w:p>
            <w:pPr>
              <w:spacing w:line="360" w:lineRule="auto"/>
              <w:ind w:firstLine="420" w:firstLineChars="200"/>
            </w:pPr>
            <w:r>
              <w:t>a是相对于详细评价工作内容而言，在描述危险物质、环境影响途径、环境危害后果、风险防范措施等方面给出定性的说明。</w:t>
            </w:r>
          </w:p>
          <w:p>
            <w:pPr>
              <w:spacing w:line="360" w:lineRule="auto"/>
              <w:ind w:firstLine="420" w:firstLineChars="200"/>
            </w:pPr>
            <w:r>
              <w:t>（3）环境风险识别及风险分析</w:t>
            </w:r>
          </w:p>
          <w:p>
            <w:pPr>
              <w:spacing w:line="360" w:lineRule="auto"/>
              <w:ind w:firstLine="420" w:firstLineChars="200"/>
            </w:pPr>
            <w:r>
              <w:t>①项目可能发生的风险是危废暂存间废润滑油流出危废暂存间，流入土壤或者流入水体，对土壤环境和水环境造成影响。</w:t>
            </w:r>
          </w:p>
          <w:p>
            <w:pPr>
              <w:pStyle w:val="39"/>
              <w:spacing w:after="0" w:line="360" w:lineRule="auto"/>
              <w:ind w:left="0" w:leftChars="0"/>
            </w:pPr>
            <w:r>
              <w:t>泄漏的影响主要表现在：发生危险废物泄漏事故时，污染物可能会进入雨水系统以及土壤环境，造成附近的水体污染和土壤污染；如果造成渗漏，会对下游地下水产生污染。本项目火灾事故引发的次生污染CO、消防废水、泄露的物料等将会对大气、水环境及人群健康产生影响。泄露的物料、消防废水如不能完全收集并处理达标，将会对区域污水处理厂造成冲击，进而影响周围地表水，加之防渗措施不当，会造成地下水环境污染。</w:t>
            </w:r>
          </w:p>
          <w:p>
            <w:pPr>
              <w:adjustRightInd w:val="0"/>
              <w:snapToGrid w:val="0"/>
              <w:spacing w:line="360" w:lineRule="auto"/>
              <w:ind w:firstLine="420" w:firstLineChars="200"/>
            </w:pPr>
            <w:r>
              <w:t>（4）环境风险防范措施</w:t>
            </w:r>
          </w:p>
          <w:p>
            <w:pPr>
              <w:spacing w:line="360" w:lineRule="auto"/>
              <w:ind w:firstLine="420" w:firstLineChars="200"/>
            </w:pPr>
            <w:r>
              <w:t>1）项目存在发生泄漏和火灾的危险，在生产过程中</w:t>
            </w:r>
            <w:r>
              <w:rPr>
                <w:rFonts w:hint="eastAsia"/>
              </w:rPr>
              <w:t>需要</w:t>
            </w:r>
            <w:r>
              <w:t>相应的防范措施：</w:t>
            </w:r>
          </w:p>
          <w:p>
            <w:pPr>
              <w:pStyle w:val="143"/>
              <w:tabs>
                <w:tab w:val="left" w:pos="1922"/>
              </w:tabs>
              <w:spacing w:line="360" w:lineRule="auto"/>
              <w:jc w:val="left"/>
            </w:pPr>
            <w:r>
              <w:t>①严禁烟火，加强管理，严格操作规范，制定一系列的防火规章制度。</w:t>
            </w:r>
          </w:p>
          <w:p>
            <w:pPr>
              <w:pStyle w:val="39"/>
              <w:spacing w:after="0" w:line="360" w:lineRule="auto"/>
              <w:ind w:left="0" w:leftChars="0"/>
            </w:pPr>
            <w:r>
              <w:t>②按照《建筑灭火器配置设计规范》（GB50140-2005）规定，配置相应类型和数量的灭火器（干粉灭火器等），并在火灾危险场所设置报警装置。消防器材应当设置在明显和便于取用的地点，周围不准堆放物品和杂物。车间的消防设施、器材应当由专人管理，负责检查、维修、保养、更换和添置，保证完好有效，严禁圈占、埋压和挪用。对消防器材应当经常进行检查，保持完整好用。本项目建成后会根据实际情况配备相应的灭火器材，满足消防的需求。</w:t>
            </w:r>
          </w:p>
          <w:p>
            <w:pPr>
              <w:pStyle w:val="39"/>
              <w:spacing w:after="0" w:line="360" w:lineRule="auto"/>
              <w:ind w:left="0" w:leftChars="0"/>
            </w:pPr>
            <w:r>
              <w:t>③原料和产品的使用、储存、运输、管理要按照国家标准和要求，进行设计、</w:t>
            </w:r>
            <w:r>
              <w:rPr>
                <w:rFonts w:hint="eastAsia"/>
              </w:rPr>
              <w:t>施工</w:t>
            </w:r>
            <w:r>
              <w:t>、运行，设置卫生应急措施，减少对环境、人员产生影响；</w:t>
            </w:r>
          </w:p>
          <w:p>
            <w:pPr>
              <w:pStyle w:val="39"/>
              <w:spacing w:after="0" w:line="360" w:lineRule="auto"/>
              <w:ind w:left="0" w:leftChars="0"/>
            </w:pPr>
            <w:r>
              <w:t>④电气和仪表专业设计按照《爆炸危险环境电力装置设计规范》（GB5008-2014）执行，将能产生电火花的设备放在远离现场的配电室内，并采用密闭电器；</w:t>
            </w:r>
          </w:p>
          <w:p>
            <w:pPr>
              <w:pStyle w:val="39"/>
              <w:spacing w:after="0" w:line="360" w:lineRule="auto"/>
              <w:ind w:left="0" w:leftChars="0"/>
            </w:pPr>
            <w:r>
              <w:t>⑤项目以“预防为主、防控结合”的指导思想，建立安全、及时、有效的污染综合预防与控制体系，确保事故状态下的废水全部处于受控状态，事故废水得到有效处理后达标排放，防止对周围地表水和地下水造成污染。</w:t>
            </w:r>
          </w:p>
          <w:p>
            <w:pPr>
              <w:spacing w:line="360" w:lineRule="auto"/>
              <w:ind w:firstLine="420" w:firstLineChars="200"/>
            </w:pPr>
            <w:r>
              <w:t>2）危废暂存间泄漏风险防范措施：</w:t>
            </w:r>
          </w:p>
          <w:p>
            <w:pPr>
              <w:pStyle w:val="39"/>
              <w:spacing w:after="0" w:line="360" w:lineRule="auto"/>
              <w:ind w:left="0" w:leftChars="0"/>
            </w:pPr>
            <w:r>
              <w:t>①危废暂存间按《</w:t>
            </w:r>
            <w:r>
              <w:rPr>
                <w:rFonts w:hint="eastAsia"/>
              </w:rPr>
              <w:t>危险废物识别标志设置技术规范</w:t>
            </w:r>
            <w:r>
              <w:t>》（</w:t>
            </w:r>
            <w:r>
              <w:rPr>
                <w:rFonts w:hint="eastAsia"/>
              </w:rPr>
              <w:t>HJ1276-2022</w:t>
            </w:r>
            <w:r>
              <w:t>）</w:t>
            </w:r>
            <w:r>
              <w:rPr>
                <w:rFonts w:hint="eastAsia"/>
              </w:rPr>
              <w:t>的规</w:t>
            </w:r>
            <w:r>
              <w:t>定设置警示标志；</w:t>
            </w:r>
          </w:p>
          <w:p>
            <w:pPr>
              <w:pStyle w:val="39"/>
              <w:spacing w:after="0" w:line="360" w:lineRule="auto"/>
              <w:ind w:left="0" w:leftChars="0"/>
            </w:pPr>
            <w:r>
              <w:t>②危废暂存间配备消防器材、应急水管等，并设有围堰等防护设施；</w:t>
            </w:r>
          </w:p>
          <w:p>
            <w:pPr>
              <w:pStyle w:val="39"/>
              <w:spacing w:after="0" w:line="360" w:lineRule="auto"/>
              <w:ind w:left="0" w:leftChars="0"/>
            </w:pPr>
            <w:r>
              <w:t>③废物贮存设施内清理出来的泄漏物，一律按危险废物处理；</w:t>
            </w:r>
          </w:p>
          <w:p>
            <w:pPr>
              <w:pStyle w:val="39"/>
              <w:spacing w:after="0" w:line="360" w:lineRule="auto"/>
              <w:ind w:left="0" w:leftChars="0"/>
            </w:pPr>
            <w:r>
              <w:t>④危废暂存间场地必须有耐腐蚀的硬化地面，且表面无裂隙；</w:t>
            </w:r>
          </w:p>
          <w:p>
            <w:pPr>
              <w:pStyle w:val="39"/>
              <w:spacing w:after="0" w:line="360" w:lineRule="auto"/>
              <w:ind w:left="0" w:leftChars="0"/>
            </w:pPr>
            <w:r>
              <w:t>⑤危废暂存间防渗层的渗透系数小于1.0×10-10cm/s。</w:t>
            </w:r>
          </w:p>
          <w:p>
            <w:pPr>
              <w:pStyle w:val="39"/>
              <w:spacing w:after="0" w:line="360" w:lineRule="auto"/>
              <w:ind w:left="0" w:leftChars="0"/>
            </w:pPr>
            <w:r>
              <w:t>⑥不相容的危险废物必须分开存放，并设有隔离间隔断。</w:t>
            </w:r>
          </w:p>
          <w:p>
            <w:pPr>
              <w:pStyle w:val="39"/>
              <w:spacing w:after="0" w:line="360" w:lineRule="auto"/>
              <w:ind w:left="0" w:leftChars="0"/>
            </w:pPr>
            <w:r>
              <w:t>3）应急预案</w:t>
            </w:r>
          </w:p>
          <w:p>
            <w:pPr>
              <w:spacing w:line="360" w:lineRule="auto"/>
              <w:ind w:firstLine="420" w:firstLineChars="200"/>
            </w:pPr>
            <w:r>
              <w:t>①应急救援组织机构、人员和职责</w:t>
            </w:r>
          </w:p>
          <w:p>
            <w:pPr>
              <w:spacing w:line="360" w:lineRule="auto"/>
              <w:ind w:firstLine="420" w:firstLineChars="200"/>
            </w:pPr>
            <w:r>
              <w:t>项目可依托现有的应急救援机构及人员，由总经理担任事故应急救援小组组长，组员现场操作人员组成。</w:t>
            </w:r>
          </w:p>
          <w:p>
            <w:pPr>
              <w:spacing w:line="360" w:lineRule="auto"/>
              <w:ind w:firstLine="420" w:firstLineChars="200"/>
            </w:pPr>
            <w:r>
              <w:t>②报警、通讯联络的选择</w:t>
            </w:r>
          </w:p>
          <w:p>
            <w:pPr>
              <w:spacing w:line="360" w:lineRule="auto"/>
              <w:ind w:firstLine="420" w:firstLineChars="200"/>
            </w:pPr>
            <w:r>
              <w:t>a.当出现紧急状态征兆时，任何发现者都有责任立即发出预警警报。</w:t>
            </w:r>
          </w:p>
          <w:p>
            <w:pPr>
              <w:spacing w:line="360" w:lineRule="auto"/>
              <w:ind w:firstLine="420" w:firstLineChars="200"/>
            </w:pPr>
            <w:r>
              <w:t>b.经确认紧急状态出现时，由现场的应急指挥负责人发出现场应急警报。</w:t>
            </w:r>
          </w:p>
          <w:p>
            <w:pPr>
              <w:spacing w:line="360" w:lineRule="auto"/>
              <w:ind w:firstLine="420" w:firstLineChars="200"/>
            </w:pPr>
            <w:r>
              <w:t>c.一旦现场应急警报确认后，现场应急救援负责人随同其他管理人员，应立即到总经理办公室，成立临时指挥中心。</w:t>
            </w:r>
          </w:p>
          <w:p>
            <w:pPr>
              <w:spacing w:line="360" w:lineRule="auto"/>
              <w:ind w:firstLine="420" w:firstLineChars="200"/>
            </w:pPr>
            <w:r>
              <w:t>d.将现场发生的紧急情况及时向上级报告。</w:t>
            </w:r>
          </w:p>
          <w:p>
            <w:pPr>
              <w:spacing w:line="360" w:lineRule="auto"/>
              <w:ind w:firstLine="420" w:firstLineChars="200"/>
            </w:pPr>
            <w:r>
              <w:t>e.由事故发现者/操作人员/经理（或现场应急救援指挥者）均可视情况的紧急程度向外紧急求援或报告。</w:t>
            </w:r>
          </w:p>
          <w:p>
            <w:pPr>
              <w:spacing w:line="360" w:lineRule="auto"/>
              <w:ind w:firstLine="420" w:firstLineChars="200"/>
            </w:pPr>
            <w:r>
              <w:t>f.发生紧急状态后，发现者应立即与有关部门联系。</w:t>
            </w:r>
          </w:p>
          <w:p>
            <w:pPr>
              <w:spacing w:line="360" w:lineRule="auto"/>
              <w:ind w:firstLine="420" w:firstLineChars="200"/>
            </w:pPr>
            <w:r>
              <w:t>4）事故发生后应采取的处理措施</w:t>
            </w:r>
          </w:p>
          <w:p>
            <w:pPr>
              <w:spacing w:line="360" w:lineRule="auto"/>
              <w:ind w:firstLine="420" w:firstLineChars="200"/>
            </w:pPr>
            <w:r>
              <w:t>①当发生紧急状态预警时，现场人员应在现场明显摆放应急防护用品的位置，取得并佩戴相应的应急防护用品。</w:t>
            </w:r>
          </w:p>
          <w:p>
            <w:pPr>
              <w:spacing w:line="360" w:lineRule="auto"/>
              <w:ind w:firstLine="420" w:firstLineChars="200"/>
            </w:pPr>
            <w:r>
              <w:t>②打开通风装置，进行换气。</w:t>
            </w:r>
          </w:p>
          <w:p>
            <w:pPr>
              <w:spacing w:line="360" w:lineRule="auto"/>
              <w:ind w:firstLine="420" w:firstLineChars="200"/>
            </w:pPr>
            <w:r>
              <w:t>③利用现场储备的消防器材，对着火源进行灭火。在允许和必要的情况下，用水对现场的泄漏点进行冷却。</w:t>
            </w:r>
          </w:p>
          <w:p>
            <w:pPr>
              <w:spacing w:line="360" w:lineRule="auto"/>
              <w:ind w:firstLine="420" w:firstLineChars="200"/>
            </w:pPr>
            <w:r>
              <w:t>5）人员紧急疏散、撤离</w:t>
            </w:r>
          </w:p>
          <w:p>
            <w:pPr>
              <w:spacing w:line="360" w:lineRule="auto"/>
              <w:ind w:firstLine="420" w:firstLineChars="200"/>
            </w:pPr>
            <w:r>
              <w:t>人员撤离的前提是必须在人员安全有保障的前提下进行，在紧急状态下，危险区域内的人员沿着撤离路线，转移到安全区域。现场应急救援负责人安排人员到达安全区域的人员立即进行清点，清点采取点名登记的方式进行。对受伤人员进行紧急救护，必要时呼叫救护车辆和送医院进行救护，并取得相应的医疗报告。当紧急</w:t>
            </w:r>
            <w:r>
              <w:rPr>
                <w:rFonts w:hint="eastAsia"/>
              </w:rPr>
              <w:t>事件</w:t>
            </w:r>
            <w:r>
              <w:t>出现时，外来人员的接待人员负责保证外来人员的安全撤离和安全区域的清点。</w:t>
            </w:r>
          </w:p>
          <w:p>
            <w:pPr>
              <w:spacing w:line="360" w:lineRule="auto"/>
              <w:ind w:firstLine="420" w:firstLineChars="200"/>
            </w:pPr>
            <w:r>
              <w:t>6）事故区的隔离</w:t>
            </w:r>
          </w:p>
          <w:p>
            <w:pPr>
              <w:spacing w:line="360" w:lineRule="auto"/>
              <w:ind w:firstLine="420" w:firstLineChars="200"/>
            </w:pPr>
            <w:r>
              <w:t>出现紧急状态时，根据事故区域进行区域隔离。</w:t>
            </w:r>
          </w:p>
          <w:p>
            <w:pPr>
              <w:spacing w:line="360" w:lineRule="auto"/>
              <w:ind w:firstLine="420" w:firstLineChars="200"/>
            </w:pPr>
            <w:r>
              <w:t>7）检测、抢险、救援及控制措施</w:t>
            </w:r>
          </w:p>
          <w:p>
            <w:pPr>
              <w:spacing w:line="360" w:lineRule="auto"/>
              <w:ind w:firstLine="420" w:firstLineChars="200"/>
            </w:pPr>
            <w:r>
              <w:t>现场的自动消防报警和灭火系统和可燃气体报警系统的检测，由经过评估</w:t>
            </w:r>
            <w:r>
              <w:rPr>
                <w:rFonts w:hint="eastAsia"/>
              </w:rPr>
              <w:t>过</w:t>
            </w:r>
            <w:r>
              <w:t>且有资质的检验单位至少每年进行一次，检测报告抄送当地消防部门或安全监督部门。</w:t>
            </w:r>
          </w:p>
          <w:p>
            <w:pPr>
              <w:spacing w:line="360" w:lineRule="auto"/>
              <w:ind w:firstLine="420" w:firstLineChars="200"/>
            </w:pPr>
            <w:r>
              <w:t>现场的抢险与救援，在人员安全有保障的前提下，现场受过应急救援培训的人员、在应急救援负责人组织下进行有秩序的救援。</w:t>
            </w:r>
          </w:p>
          <w:p>
            <w:pPr>
              <w:spacing w:line="360" w:lineRule="auto"/>
              <w:ind w:firstLine="420" w:firstLineChars="200"/>
            </w:pPr>
            <w:r>
              <w:t>8）应急救援保障</w:t>
            </w:r>
          </w:p>
          <w:p>
            <w:pPr>
              <w:spacing w:line="360" w:lineRule="auto"/>
              <w:ind w:firstLine="420" w:firstLineChars="200"/>
            </w:pPr>
            <w:r>
              <w:t>项目应配备应急物资，包括应急材料和应急设备，如急救药箱、呼吸器、报警器、消防器材等。</w:t>
            </w:r>
          </w:p>
          <w:p>
            <w:pPr>
              <w:spacing w:line="360" w:lineRule="auto"/>
              <w:ind w:firstLine="420" w:firstLineChars="200"/>
            </w:pPr>
            <w:r>
              <w:t>9）事故应急救援关闭程序</w:t>
            </w:r>
          </w:p>
          <w:p>
            <w:pPr>
              <w:spacing w:line="360" w:lineRule="auto"/>
              <w:ind w:firstLine="420" w:firstLineChars="200"/>
            </w:pPr>
            <w:r>
              <w:t>现场应急救援负责人确认现场的环境已达到恢复到安全状况时，可宣布紧急状态解除。</w:t>
            </w:r>
          </w:p>
          <w:p>
            <w:pPr>
              <w:spacing w:line="360" w:lineRule="auto"/>
              <w:ind w:firstLine="420" w:firstLineChars="200"/>
            </w:pPr>
            <w:r>
              <w:t>10）应急培训计划</w:t>
            </w:r>
          </w:p>
          <w:p>
            <w:pPr>
              <w:spacing w:line="360" w:lineRule="auto"/>
              <w:ind w:firstLine="420" w:firstLineChars="200"/>
            </w:pPr>
            <w:r>
              <w:t>由行政部门安排应急培训计划，包括应急人员的培训、员工应急响应的培训、社区或周边人员应急响应知识的宣传。</w:t>
            </w:r>
          </w:p>
          <w:p>
            <w:pPr>
              <w:spacing w:line="360" w:lineRule="auto"/>
              <w:ind w:firstLine="420" w:firstLineChars="200"/>
            </w:pPr>
            <w:r>
              <w:t>11）演练计划</w:t>
            </w:r>
          </w:p>
          <w:p>
            <w:pPr>
              <w:spacing w:line="360" w:lineRule="auto"/>
              <w:ind w:firstLine="420" w:firstLineChars="200"/>
            </w:pPr>
            <w:r>
              <w:t>应急演练应每年举行一次。日常工作中，通过加强管理和教育培训，强化制度，加强管理和巡视，制定详尽的应急预案和预防措施，并加强演练，防患于未然。在建设单位完善并严格落实各项防范措施和应急预案后，其环境风险处于可接受水平。</w:t>
            </w:r>
          </w:p>
          <w:p>
            <w:pPr>
              <w:spacing w:line="360" w:lineRule="auto"/>
              <w:ind w:firstLine="420" w:firstLineChars="200"/>
            </w:pPr>
            <w:r>
              <w:t>12）应急预案制定与修订</w:t>
            </w:r>
          </w:p>
          <w:p>
            <w:pPr>
              <w:spacing w:line="360" w:lineRule="auto"/>
              <w:ind w:firstLine="420" w:firstLineChars="200"/>
            </w:pPr>
            <w:r>
              <w:t>①应急预案由安环部负责组织各相关单位编制、修订，经环保专家评审后备案。备案后的预案经总经理签署后实施，与本预案相关的生产、储存单位应长期保存、定期学习预案内容并组织进行演练。当企业生产装置发生变化时，安环部要根据装置的危险程度及时修订、完善企业综合预案。在演练中有严重不符合实际内容的，要及时组织相关单位对事件应急预案进行实时修订，以保证预案具有可操作性，保障预案的可持续改进。</w:t>
            </w:r>
          </w:p>
          <w:p>
            <w:pPr>
              <w:spacing w:line="360" w:lineRule="auto"/>
              <w:ind w:firstLine="420" w:firstLineChars="200"/>
            </w:pPr>
            <w:r>
              <w:t>②应急预案演练结束后，企业应当对应急预案演练效果进行评估，撰写应急预案演练评估报告，分析存在的问题，对应急预案提出修订意见，并及时修订完善。如演练未发现问题，企业结合环境应急预案实施情况，至少每三年对环境应急预案进行一次回顾性评估。有下列情形之一的，及时修订：</w:t>
            </w:r>
          </w:p>
          <w:p>
            <w:pPr>
              <w:spacing w:line="360" w:lineRule="auto"/>
              <w:ind w:firstLine="420" w:firstLineChars="200"/>
            </w:pPr>
            <w:r>
              <w:t>（一）本单位生产工艺和技术发生变化的；</w:t>
            </w:r>
          </w:p>
          <w:p>
            <w:pPr>
              <w:spacing w:line="360" w:lineRule="auto"/>
              <w:ind w:firstLine="420" w:firstLineChars="200"/>
            </w:pPr>
            <w:r>
              <w:t>（二）相关单位和人员发生变化或者应急组织指挥体系或职责调整的；</w:t>
            </w:r>
          </w:p>
          <w:p>
            <w:pPr>
              <w:spacing w:line="360" w:lineRule="auto"/>
              <w:ind w:firstLine="420" w:firstLineChars="200"/>
            </w:pPr>
            <w:r>
              <w:t>（三）周围环境或者环境敏感点发生变化的；</w:t>
            </w:r>
          </w:p>
          <w:p>
            <w:pPr>
              <w:spacing w:line="360" w:lineRule="auto"/>
              <w:ind w:firstLine="420" w:firstLineChars="200"/>
            </w:pPr>
            <w:r>
              <w:t>（四）环境应急预案依据的法律、法规、规章等发生变化的；</w:t>
            </w:r>
          </w:p>
          <w:p>
            <w:pPr>
              <w:spacing w:line="360" w:lineRule="auto"/>
              <w:ind w:firstLine="420" w:firstLineChars="200"/>
            </w:pPr>
            <w:r>
              <w:t>（五）生态环境主管部门或者企业事业单位认为应当适时修订的其他情形。</w:t>
            </w:r>
          </w:p>
          <w:p>
            <w:pPr>
              <w:spacing w:line="360" w:lineRule="auto"/>
              <w:ind w:firstLine="420" w:firstLineChars="200"/>
            </w:pPr>
            <w:r>
              <w:t>（5）小结</w:t>
            </w:r>
          </w:p>
          <w:p>
            <w:pPr>
              <w:spacing w:line="360" w:lineRule="auto"/>
              <w:ind w:firstLine="420" w:firstLineChars="200"/>
            </w:pPr>
            <w:r>
              <w:t>该项目环境风险潜势为Ⅰ，在日常工作中仍须严格执行国家的技术规范和操作规程要求，在认真落实工程拟采取的事故对策后，工程的事故对周围影响处于可接受水平。</w:t>
            </w:r>
          </w:p>
          <w:p>
            <w:pPr>
              <w:spacing w:line="360" w:lineRule="auto"/>
              <w:ind w:firstLine="422" w:firstLineChars="200"/>
              <w:rPr>
                <w:b/>
                <w:bCs/>
                <w:szCs w:val="21"/>
              </w:rPr>
            </w:pPr>
            <w:r>
              <w:rPr>
                <w:rFonts w:hint="eastAsia"/>
                <w:b/>
                <w:bCs/>
                <w:szCs w:val="21"/>
              </w:rPr>
              <w:t>九</w:t>
            </w:r>
            <w:r>
              <w:rPr>
                <w:b/>
                <w:bCs/>
                <w:szCs w:val="21"/>
              </w:rPr>
              <w:t>、排污口规范化管理</w:t>
            </w:r>
          </w:p>
          <w:p>
            <w:pPr>
              <w:spacing w:line="360" w:lineRule="auto"/>
              <w:ind w:firstLine="422"/>
            </w:pPr>
            <w:r>
              <w:t>1、排污口标志</w:t>
            </w:r>
          </w:p>
          <w:p>
            <w:pPr>
              <w:spacing w:line="360" w:lineRule="auto"/>
              <w:ind w:firstLine="422"/>
            </w:pPr>
            <w:r>
              <w:t>本项目排污口标志按照GB1556.2-1995《环境保护图形标志—排放口（源）》、GB15562.2《环境保护图形标志--固体废物贮存(处置)场》修改单中的有关规定执行。</w:t>
            </w:r>
          </w:p>
          <w:p>
            <w:pPr>
              <w:spacing w:line="360" w:lineRule="auto"/>
              <w:ind w:firstLine="422"/>
            </w:pPr>
            <w:r>
              <w:t>标志牌应设置在与之功能相应的醒目处，标志牌必须保持清晰、完整，当发现损坏、颜色污染或有变化、褪色之类的情况应及时修复或更换，检查时间至少每年一次。</w:t>
            </w:r>
          </w:p>
          <w:p>
            <w:pPr>
              <w:spacing w:line="360" w:lineRule="auto"/>
              <w:ind w:firstLine="422"/>
            </w:pPr>
            <w:r>
              <w:t>排污口按照《固定污染源废气监测点位设置技术规范》（DB 37T 3535-2019）的相关要求进行设置。</w:t>
            </w:r>
          </w:p>
          <w:p>
            <w:pPr>
              <w:spacing w:line="360" w:lineRule="auto"/>
              <w:ind w:firstLine="422"/>
            </w:pPr>
            <w:r>
              <w:t>（1）基本原则</w:t>
            </w:r>
          </w:p>
          <w:p>
            <w:pPr>
              <w:spacing w:line="360" w:lineRule="auto"/>
              <w:ind w:firstLine="422"/>
            </w:pPr>
            <w:r>
              <w:t>①向环境排放污染物的排污口必须规范化；</w:t>
            </w:r>
          </w:p>
          <w:p>
            <w:pPr>
              <w:spacing w:line="360" w:lineRule="auto"/>
              <w:ind w:firstLine="422"/>
            </w:pPr>
            <w:r>
              <w:t>②排污口应便于采样与计量检测，便于日常现场监督检查。</w:t>
            </w:r>
          </w:p>
          <w:p>
            <w:pPr>
              <w:spacing w:line="360" w:lineRule="auto"/>
              <w:ind w:firstLine="422"/>
            </w:pPr>
            <w:r>
              <w:t>（2）技术要求</w:t>
            </w:r>
          </w:p>
          <w:p>
            <w:pPr>
              <w:spacing w:line="360" w:lineRule="auto"/>
              <w:ind w:firstLine="422"/>
            </w:pPr>
            <w:r>
              <w:t>①排污口的设置必须合理确定，进行规范化管理；</w:t>
            </w:r>
          </w:p>
          <w:p>
            <w:pPr>
              <w:spacing w:line="360" w:lineRule="auto"/>
              <w:ind w:firstLine="422"/>
            </w:pPr>
            <w:r>
              <w:t>②设置规范的、便于测量流量、流速的测速段。</w:t>
            </w:r>
          </w:p>
          <w:p>
            <w:pPr>
              <w:spacing w:line="360" w:lineRule="auto"/>
              <w:ind w:firstLine="422"/>
            </w:pPr>
            <w:r>
              <w:t>（3）立标管理</w:t>
            </w:r>
          </w:p>
          <w:p>
            <w:pPr>
              <w:spacing w:line="360" w:lineRule="auto"/>
              <w:ind w:firstLine="422"/>
            </w:pPr>
            <w:r>
              <w:t>污染物排放口，应按国家《环境保护图形标志—固体废物贮存（处置）场》（GB 15562.2-1995）修改单的公告（公告 2023年 第5号）</w:t>
            </w:r>
            <w:r>
              <w:rPr>
                <w:rFonts w:hint="eastAsia"/>
              </w:rPr>
              <w:t>和《危险废物识别标志设置技术规范》（HJ 1276-2022）的规范要求</w:t>
            </w:r>
            <w:r>
              <w:t>，设置国家环保总局统一制作的环境保护图形标志牌。环境保护图形标志见下图。</w:t>
            </w:r>
          </w:p>
          <w:tbl>
            <w:tblPr>
              <w:tblStyle w:val="40"/>
              <w:tblW w:w="10890" w:type="dxa"/>
              <w:jc w:val="center"/>
              <w:tblLayout w:type="fixed"/>
              <w:tblCellMar>
                <w:top w:w="0" w:type="dxa"/>
                <w:left w:w="108" w:type="dxa"/>
                <w:bottom w:w="0" w:type="dxa"/>
                <w:right w:w="108" w:type="dxa"/>
              </w:tblCellMar>
            </w:tblPr>
            <w:tblGrid>
              <w:gridCol w:w="2316"/>
              <w:gridCol w:w="2076"/>
              <w:gridCol w:w="2166"/>
              <w:gridCol w:w="2016"/>
              <w:gridCol w:w="2316"/>
            </w:tblGrid>
            <w:tr>
              <w:tblPrEx>
                <w:tblCellMar>
                  <w:top w:w="0" w:type="dxa"/>
                  <w:left w:w="108" w:type="dxa"/>
                  <w:bottom w:w="0" w:type="dxa"/>
                  <w:right w:w="108" w:type="dxa"/>
                </w:tblCellMar>
              </w:tblPrEx>
              <w:trPr>
                <w:trHeight w:val="1876" w:hRule="atLeast"/>
                <w:jc w:val="center"/>
              </w:trPr>
              <w:tc>
                <w:tcPr>
                  <w:tcW w:w="2316" w:type="dxa"/>
                  <w:vAlign w:val="center"/>
                </w:tcPr>
                <w:p>
                  <w:pPr>
                    <w:spacing w:line="360" w:lineRule="auto"/>
                    <w:jc w:val="center"/>
                  </w:pPr>
                  <w:r>
                    <w:drawing>
                      <wp:inline distT="0" distB="0" distL="0" distR="0">
                        <wp:extent cx="1000125" cy="1028700"/>
                        <wp:effectExtent l="0" t="0" r="952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1000125" cy="1028700"/>
                                </a:xfrm>
                                <a:prstGeom prst="rect">
                                  <a:avLst/>
                                </a:prstGeom>
                                <a:noFill/>
                                <a:ln>
                                  <a:noFill/>
                                </a:ln>
                              </pic:spPr>
                            </pic:pic>
                          </a:graphicData>
                        </a:graphic>
                      </wp:inline>
                    </w:drawing>
                  </w:r>
                </w:p>
              </w:tc>
              <w:tc>
                <w:tcPr>
                  <w:tcW w:w="2076" w:type="dxa"/>
                  <w:vAlign w:val="center"/>
                </w:tcPr>
                <w:p>
                  <w:pPr>
                    <w:spacing w:line="360" w:lineRule="auto"/>
                    <w:jc w:val="center"/>
                  </w:pPr>
                  <w:r>
                    <w:drawing>
                      <wp:inline distT="0" distB="0" distL="0" distR="0">
                        <wp:extent cx="1104900" cy="1057275"/>
                        <wp:effectExtent l="0" t="0" r="0" b="952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1104900" cy="1057275"/>
                                </a:xfrm>
                                <a:prstGeom prst="rect">
                                  <a:avLst/>
                                </a:prstGeom>
                                <a:noFill/>
                                <a:ln>
                                  <a:noFill/>
                                </a:ln>
                              </pic:spPr>
                            </pic:pic>
                          </a:graphicData>
                        </a:graphic>
                      </wp:inline>
                    </w:drawing>
                  </w:r>
                </w:p>
              </w:tc>
              <w:tc>
                <w:tcPr>
                  <w:tcW w:w="2166" w:type="dxa"/>
                  <w:vAlign w:val="center"/>
                </w:tcPr>
                <w:p>
                  <w:pPr>
                    <w:spacing w:line="360" w:lineRule="auto"/>
                    <w:jc w:val="center"/>
                  </w:pPr>
                  <w:r>
                    <w:drawing>
                      <wp:inline distT="0" distB="0" distL="0" distR="0">
                        <wp:extent cx="1123950" cy="1076325"/>
                        <wp:effectExtent l="0" t="0" r="0" b="952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1123950" cy="1076325"/>
                                </a:xfrm>
                                <a:prstGeom prst="rect">
                                  <a:avLst/>
                                </a:prstGeom>
                                <a:noFill/>
                                <a:ln>
                                  <a:noFill/>
                                </a:ln>
                              </pic:spPr>
                            </pic:pic>
                          </a:graphicData>
                        </a:graphic>
                      </wp:inline>
                    </w:drawing>
                  </w:r>
                </w:p>
              </w:tc>
              <w:tc>
                <w:tcPr>
                  <w:tcW w:w="2016" w:type="dxa"/>
                  <w:vAlign w:val="center"/>
                </w:tcPr>
                <w:p>
                  <w:pPr>
                    <w:spacing w:line="360" w:lineRule="auto"/>
                    <w:jc w:val="center"/>
                  </w:pPr>
                  <w:r>
                    <w:drawing>
                      <wp:inline distT="0" distB="0" distL="0" distR="0">
                        <wp:extent cx="1076325" cy="1019175"/>
                        <wp:effectExtent l="0" t="0" r="9525" b="95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1076325" cy="1019175"/>
                                </a:xfrm>
                                <a:prstGeom prst="rect">
                                  <a:avLst/>
                                </a:prstGeom>
                                <a:noFill/>
                                <a:ln>
                                  <a:noFill/>
                                </a:ln>
                              </pic:spPr>
                            </pic:pic>
                          </a:graphicData>
                        </a:graphic>
                      </wp:inline>
                    </w:drawing>
                  </w:r>
                </w:p>
              </w:tc>
              <w:tc>
                <w:tcPr>
                  <w:tcW w:w="2316" w:type="dxa"/>
                  <w:vAlign w:val="center"/>
                </w:tcPr>
                <w:p>
                  <w:pPr>
                    <w:spacing w:line="360" w:lineRule="auto"/>
                    <w:jc w:val="center"/>
                  </w:pPr>
                  <w:r>
                    <w:rPr>
                      <w:rFonts w:hint="eastAsia"/>
                    </w:rPr>
                    <w:drawing>
                      <wp:inline distT="0" distB="0" distL="114300" distR="114300">
                        <wp:extent cx="1131570" cy="968375"/>
                        <wp:effectExtent l="0" t="0" r="11430" b="3175"/>
                        <wp:docPr id="57" name="图片 57" descr="1706593403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706593403386"/>
                                <pic:cNvPicPr>
                                  <a:picLocks noChangeAspect="1"/>
                                </pic:cNvPicPr>
                              </pic:nvPicPr>
                              <pic:blipFill>
                                <a:blip r:embed="rId25"/>
                                <a:stretch>
                                  <a:fillRect/>
                                </a:stretch>
                              </pic:blipFill>
                              <pic:spPr>
                                <a:xfrm>
                                  <a:off x="0" y="0"/>
                                  <a:ext cx="1131570" cy="968375"/>
                                </a:xfrm>
                                <a:prstGeom prst="rect">
                                  <a:avLst/>
                                </a:prstGeom>
                              </pic:spPr>
                            </pic:pic>
                          </a:graphicData>
                        </a:graphic>
                      </wp:inline>
                    </w:drawing>
                  </w:r>
                </w:p>
              </w:tc>
            </w:tr>
            <w:tr>
              <w:tblPrEx>
                <w:tblCellMar>
                  <w:top w:w="0" w:type="dxa"/>
                  <w:left w:w="108" w:type="dxa"/>
                  <w:bottom w:w="0" w:type="dxa"/>
                  <w:right w:w="108" w:type="dxa"/>
                </w:tblCellMar>
              </w:tblPrEx>
              <w:trPr>
                <w:jc w:val="center"/>
              </w:trPr>
              <w:tc>
                <w:tcPr>
                  <w:tcW w:w="2316" w:type="dxa"/>
                  <w:vAlign w:val="center"/>
                </w:tcPr>
                <w:p>
                  <w:pPr>
                    <w:spacing w:line="360" w:lineRule="auto"/>
                    <w:ind w:firstLine="420" w:firstLineChars="200"/>
                    <w:jc w:val="center"/>
                  </w:pPr>
                  <w:r>
                    <w:t>污水排放口</w:t>
                  </w:r>
                </w:p>
              </w:tc>
              <w:tc>
                <w:tcPr>
                  <w:tcW w:w="2076" w:type="dxa"/>
                  <w:vAlign w:val="center"/>
                </w:tcPr>
                <w:p>
                  <w:pPr>
                    <w:spacing w:line="360" w:lineRule="auto"/>
                    <w:ind w:firstLine="315" w:firstLineChars="150"/>
                    <w:jc w:val="center"/>
                  </w:pPr>
                  <w:r>
                    <w:t>污水排放口</w:t>
                  </w:r>
                </w:p>
              </w:tc>
              <w:tc>
                <w:tcPr>
                  <w:tcW w:w="2166" w:type="dxa"/>
                  <w:vAlign w:val="center"/>
                </w:tcPr>
                <w:p>
                  <w:pPr>
                    <w:spacing w:line="360" w:lineRule="auto"/>
                    <w:ind w:firstLine="315" w:firstLineChars="150"/>
                    <w:jc w:val="center"/>
                  </w:pPr>
                  <w:r>
                    <w:t>废气排放口</w:t>
                  </w:r>
                </w:p>
              </w:tc>
              <w:tc>
                <w:tcPr>
                  <w:tcW w:w="2016" w:type="dxa"/>
                  <w:vAlign w:val="center"/>
                </w:tcPr>
                <w:p>
                  <w:pPr>
                    <w:spacing w:line="360" w:lineRule="auto"/>
                    <w:ind w:firstLine="315" w:firstLineChars="150"/>
                    <w:jc w:val="center"/>
                  </w:pPr>
                  <w:r>
                    <w:t>废气排放口</w:t>
                  </w:r>
                </w:p>
              </w:tc>
              <w:tc>
                <w:tcPr>
                  <w:tcW w:w="2316" w:type="dxa"/>
                  <w:vAlign w:val="center"/>
                </w:tcPr>
                <w:p>
                  <w:pPr>
                    <w:spacing w:line="360" w:lineRule="auto"/>
                    <w:jc w:val="center"/>
                  </w:pPr>
                  <w:r>
                    <w:t>危险废物</w:t>
                  </w:r>
                </w:p>
              </w:tc>
            </w:tr>
            <w:tr>
              <w:tblPrEx>
                <w:tblCellMar>
                  <w:top w:w="0" w:type="dxa"/>
                  <w:left w:w="108" w:type="dxa"/>
                  <w:bottom w:w="0" w:type="dxa"/>
                  <w:right w:w="108" w:type="dxa"/>
                </w:tblCellMar>
              </w:tblPrEx>
              <w:trPr>
                <w:jc w:val="center"/>
              </w:trPr>
              <w:tc>
                <w:tcPr>
                  <w:tcW w:w="2316" w:type="dxa"/>
                  <w:vAlign w:val="center"/>
                </w:tcPr>
                <w:p>
                  <w:pPr>
                    <w:spacing w:line="360" w:lineRule="auto"/>
                    <w:jc w:val="center"/>
                  </w:pPr>
                  <w:r>
                    <w:drawing>
                      <wp:inline distT="0" distB="0" distL="0" distR="0">
                        <wp:extent cx="1323975" cy="1114425"/>
                        <wp:effectExtent l="0" t="0" r="9525" b="952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323975" cy="1114425"/>
                                </a:xfrm>
                                <a:prstGeom prst="rect">
                                  <a:avLst/>
                                </a:prstGeom>
                                <a:noFill/>
                                <a:ln>
                                  <a:noFill/>
                                </a:ln>
                              </pic:spPr>
                            </pic:pic>
                          </a:graphicData>
                        </a:graphic>
                      </wp:inline>
                    </w:drawing>
                  </w:r>
                </w:p>
              </w:tc>
              <w:tc>
                <w:tcPr>
                  <w:tcW w:w="2076" w:type="dxa"/>
                  <w:vAlign w:val="center"/>
                </w:tcPr>
                <w:p>
                  <w:pPr>
                    <w:spacing w:line="360" w:lineRule="auto"/>
                    <w:jc w:val="center"/>
                  </w:pPr>
                  <w:r>
                    <w:drawing>
                      <wp:inline distT="0" distB="0" distL="0" distR="0">
                        <wp:extent cx="1171575" cy="1057275"/>
                        <wp:effectExtent l="0" t="0" r="9525" b="952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171575" cy="1057275"/>
                                </a:xfrm>
                                <a:prstGeom prst="rect">
                                  <a:avLst/>
                                </a:prstGeom>
                                <a:noFill/>
                                <a:ln>
                                  <a:noFill/>
                                </a:ln>
                              </pic:spPr>
                            </pic:pic>
                          </a:graphicData>
                        </a:graphic>
                      </wp:inline>
                    </w:drawing>
                  </w:r>
                </w:p>
              </w:tc>
              <w:tc>
                <w:tcPr>
                  <w:tcW w:w="2166" w:type="dxa"/>
                  <w:vAlign w:val="center"/>
                </w:tcPr>
                <w:p>
                  <w:pPr>
                    <w:spacing w:line="360" w:lineRule="auto"/>
                    <w:jc w:val="center"/>
                  </w:pPr>
                  <w:r>
                    <w:drawing>
                      <wp:inline distT="0" distB="0" distL="0" distR="0">
                        <wp:extent cx="1228725" cy="1152525"/>
                        <wp:effectExtent l="0" t="0" r="9525" b="952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228725" cy="1152525"/>
                                </a:xfrm>
                                <a:prstGeom prst="rect">
                                  <a:avLst/>
                                </a:prstGeom>
                                <a:noFill/>
                                <a:ln>
                                  <a:noFill/>
                                </a:ln>
                              </pic:spPr>
                            </pic:pic>
                          </a:graphicData>
                        </a:graphic>
                      </wp:inline>
                    </w:drawing>
                  </w:r>
                </w:p>
              </w:tc>
              <w:tc>
                <w:tcPr>
                  <w:tcW w:w="2016" w:type="dxa"/>
                  <w:vAlign w:val="center"/>
                </w:tcPr>
                <w:p>
                  <w:pPr>
                    <w:spacing w:line="360" w:lineRule="auto"/>
                    <w:jc w:val="center"/>
                  </w:pPr>
                  <w:r>
                    <w:drawing>
                      <wp:inline distT="0" distB="0" distL="0" distR="0">
                        <wp:extent cx="1143000" cy="102870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143000" cy="1028700"/>
                                </a:xfrm>
                                <a:prstGeom prst="rect">
                                  <a:avLst/>
                                </a:prstGeom>
                                <a:noFill/>
                                <a:ln>
                                  <a:noFill/>
                                </a:ln>
                              </pic:spPr>
                            </pic:pic>
                          </a:graphicData>
                        </a:graphic>
                      </wp:inline>
                    </w:drawing>
                  </w:r>
                </w:p>
              </w:tc>
              <w:tc>
                <w:tcPr>
                  <w:tcW w:w="2316" w:type="dxa"/>
                  <w:vAlign w:val="center"/>
                </w:tcPr>
                <w:p>
                  <w:pPr>
                    <w:spacing w:line="360" w:lineRule="auto"/>
                    <w:ind w:firstLine="422"/>
                    <w:jc w:val="center"/>
                  </w:pPr>
                </w:p>
              </w:tc>
            </w:tr>
            <w:tr>
              <w:tblPrEx>
                <w:tblCellMar>
                  <w:top w:w="0" w:type="dxa"/>
                  <w:left w:w="108" w:type="dxa"/>
                  <w:bottom w:w="0" w:type="dxa"/>
                  <w:right w:w="108" w:type="dxa"/>
                </w:tblCellMar>
              </w:tblPrEx>
              <w:trPr>
                <w:jc w:val="center"/>
              </w:trPr>
              <w:tc>
                <w:tcPr>
                  <w:tcW w:w="2316" w:type="dxa"/>
                  <w:vAlign w:val="center"/>
                </w:tcPr>
                <w:p>
                  <w:pPr>
                    <w:spacing w:line="360" w:lineRule="auto"/>
                    <w:ind w:firstLine="315" w:firstLineChars="150"/>
                    <w:jc w:val="center"/>
                  </w:pPr>
                  <w:r>
                    <w:t>噪声排放源</w:t>
                  </w:r>
                </w:p>
              </w:tc>
              <w:tc>
                <w:tcPr>
                  <w:tcW w:w="2076" w:type="dxa"/>
                  <w:vAlign w:val="center"/>
                </w:tcPr>
                <w:p>
                  <w:pPr>
                    <w:spacing w:line="360" w:lineRule="auto"/>
                    <w:ind w:firstLine="422"/>
                    <w:jc w:val="center"/>
                  </w:pPr>
                  <w:r>
                    <w:t>噪声排放源</w:t>
                  </w:r>
                </w:p>
              </w:tc>
              <w:tc>
                <w:tcPr>
                  <w:tcW w:w="2166" w:type="dxa"/>
                  <w:vAlign w:val="center"/>
                </w:tcPr>
                <w:p>
                  <w:pPr>
                    <w:spacing w:line="360" w:lineRule="auto"/>
                    <w:ind w:firstLine="315" w:firstLineChars="150"/>
                    <w:jc w:val="center"/>
                  </w:pPr>
                  <w:r>
                    <w:t>一般固体废物</w:t>
                  </w:r>
                </w:p>
              </w:tc>
              <w:tc>
                <w:tcPr>
                  <w:tcW w:w="2016" w:type="dxa"/>
                  <w:vAlign w:val="center"/>
                </w:tcPr>
                <w:p>
                  <w:pPr>
                    <w:spacing w:line="360" w:lineRule="auto"/>
                    <w:ind w:firstLine="105" w:firstLineChars="50"/>
                    <w:jc w:val="center"/>
                  </w:pPr>
                  <w:r>
                    <w:t>一般固体废物</w:t>
                  </w:r>
                </w:p>
              </w:tc>
              <w:tc>
                <w:tcPr>
                  <w:tcW w:w="2316" w:type="dxa"/>
                  <w:vAlign w:val="center"/>
                </w:tcPr>
                <w:p>
                  <w:pPr>
                    <w:spacing w:line="360" w:lineRule="auto"/>
                    <w:ind w:firstLine="422"/>
                    <w:jc w:val="center"/>
                  </w:pPr>
                </w:p>
              </w:tc>
            </w:tr>
          </w:tbl>
          <w:p>
            <w:pPr>
              <w:ind w:firstLine="422"/>
            </w:pPr>
          </w:p>
          <w:p>
            <w:pPr>
              <w:spacing w:line="360" w:lineRule="auto"/>
              <w:ind w:firstLine="422"/>
              <w:rPr>
                <w:szCs w:val="21"/>
              </w:rPr>
            </w:pPr>
            <w:r>
              <w:rPr>
                <w:szCs w:val="21"/>
              </w:rPr>
              <w:t>标志牌应设置在与之功能相应的醒目处，标志牌必须保持清晰、完整，当发现损坏、颜色污染或有变化、褪色之类的情况应及时修复或更换，检查时间至少每年一次。</w:t>
            </w:r>
          </w:p>
          <w:p>
            <w:pPr>
              <w:spacing w:line="360" w:lineRule="auto"/>
              <w:ind w:firstLine="422"/>
              <w:rPr>
                <w:b/>
                <w:szCs w:val="21"/>
              </w:rPr>
            </w:pPr>
            <w:r>
              <w:rPr>
                <w:szCs w:val="21"/>
              </w:rPr>
              <w:t>排污口按照《排污口规范化整治技术要求》（试行）及《山东省污水排放口环境信息公开技术规范》（DB37/T2463-2014）的相关要求进行设置</w:t>
            </w:r>
            <w:r>
              <w:rPr>
                <w:rFonts w:hint="eastAsia"/>
                <w:szCs w:val="21"/>
              </w:rPr>
              <w:t>。</w:t>
            </w:r>
          </w:p>
          <w:p>
            <w:pPr>
              <w:jc w:val="center"/>
              <w:rPr>
                <w:b/>
                <w:szCs w:val="21"/>
              </w:rPr>
            </w:pPr>
            <w:r>
              <w:rPr>
                <w:b/>
                <w:szCs w:val="21"/>
              </w:rPr>
              <w:t>表4-20    环境保护图形标志的形状及颜色表</w:t>
            </w:r>
          </w:p>
          <w:tbl>
            <w:tblPr>
              <w:tblStyle w:val="40"/>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431"/>
              <w:gridCol w:w="2248"/>
              <w:gridCol w:w="3432"/>
              <w:gridCol w:w="34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trPr>
              <w:tc>
                <w:tcPr>
                  <w:tcW w:w="3388" w:type="dxa"/>
                  <w:tcBorders>
                    <w:tl2br w:val="nil"/>
                    <w:tr2bl w:val="nil"/>
                  </w:tcBorders>
                  <w:vAlign w:val="center"/>
                </w:tcPr>
                <w:p>
                  <w:pPr>
                    <w:jc w:val="center"/>
                    <w:rPr>
                      <w:b/>
                      <w:bCs/>
                      <w:kern w:val="0"/>
                      <w:szCs w:val="21"/>
                    </w:rPr>
                  </w:pPr>
                  <w:r>
                    <w:rPr>
                      <w:b/>
                      <w:bCs/>
                      <w:kern w:val="0"/>
                      <w:szCs w:val="21"/>
                    </w:rPr>
                    <w:t>标志名称</w:t>
                  </w:r>
                </w:p>
              </w:tc>
              <w:tc>
                <w:tcPr>
                  <w:tcW w:w="2220" w:type="dxa"/>
                  <w:tcBorders>
                    <w:tl2br w:val="nil"/>
                    <w:tr2bl w:val="nil"/>
                  </w:tcBorders>
                  <w:vAlign w:val="center"/>
                </w:tcPr>
                <w:p>
                  <w:pPr>
                    <w:jc w:val="center"/>
                    <w:rPr>
                      <w:b/>
                      <w:bCs/>
                      <w:kern w:val="0"/>
                      <w:szCs w:val="21"/>
                    </w:rPr>
                  </w:pPr>
                  <w:r>
                    <w:rPr>
                      <w:b/>
                      <w:bCs/>
                      <w:kern w:val="0"/>
                      <w:szCs w:val="21"/>
                    </w:rPr>
                    <w:t>形状</w:t>
                  </w:r>
                </w:p>
              </w:tc>
              <w:tc>
                <w:tcPr>
                  <w:tcW w:w="3389" w:type="dxa"/>
                  <w:tcBorders>
                    <w:tl2br w:val="nil"/>
                    <w:tr2bl w:val="nil"/>
                  </w:tcBorders>
                  <w:vAlign w:val="center"/>
                </w:tcPr>
                <w:p>
                  <w:pPr>
                    <w:jc w:val="center"/>
                    <w:rPr>
                      <w:b/>
                      <w:bCs/>
                      <w:kern w:val="0"/>
                      <w:szCs w:val="21"/>
                    </w:rPr>
                  </w:pPr>
                  <w:r>
                    <w:rPr>
                      <w:b/>
                      <w:bCs/>
                      <w:kern w:val="0"/>
                      <w:szCs w:val="21"/>
                    </w:rPr>
                    <w:t>背景颜色</w:t>
                  </w:r>
                </w:p>
              </w:tc>
              <w:tc>
                <w:tcPr>
                  <w:tcW w:w="3389" w:type="dxa"/>
                  <w:tcBorders>
                    <w:tl2br w:val="nil"/>
                    <w:tr2bl w:val="nil"/>
                  </w:tcBorders>
                  <w:vAlign w:val="center"/>
                </w:tcPr>
                <w:p>
                  <w:pPr>
                    <w:jc w:val="center"/>
                    <w:rPr>
                      <w:b/>
                      <w:bCs/>
                      <w:kern w:val="0"/>
                      <w:szCs w:val="21"/>
                    </w:rPr>
                  </w:pPr>
                  <w:r>
                    <w:rPr>
                      <w:b/>
                      <w:bCs/>
                      <w:kern w:val="0"/>
                      <w:szCs w:val="21"/>
                    </w:rPr>
                    <w:t>图形颜色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88" w:type="dxa"/>
                  <w:tcBorders>
                    <w:tl2br w:val="nil"/>
                    <w:tr2bl w:val="nil"/>
                  </w:tcBorders>
                  <w:vAlign w:val="center"/>
                </w:tcPr>
                <w:p>
                  <w:pPr>
                    <w:pStyle w:val="51"/>
                    <w:spacing w:line="240" w:lineRule="auto"/>
                    <w:rPr>
                      <w:rFonts w:ascii="Times New Roman" w:hAnsi="Times New Roman"/>
                    </w:rPr>
                  </w:pPr>
                  <w:r>
                    <w:rPr>
                      <w:rFonts w:ascii="Times New Roman" w:hAnsi="Times New Roman"/>
                    </w:rPr>
                    <w:t>警告标志</w:t>
                  </w:r>
                </w:p>
              </w:tc>
              <w:tc>
                <w:tcPr>
                  <w:tcW w:w="2220" w:type="dxa"/>
                  <w:tcBorders>
                    <w:tl2br w:val="nil"/>
                    <w:tr2bl w:val="nil"/>
                  </w:tcBorders>
                  <w:vAlign w:val="center"/>
                </w:tcPr>
                <w:p>
                  <w:pPr>
                    <w:pStyle w:val="51"/>
                    <w:spacing w:line="240" w:lineRule="auto"/>
                    <w:rPr>
                      <w:rFonts w:ascii="Times New Roman" w:hAnsi="Times New Roman"/>
                    </w:rPr>
                  </w:pPr>
                  <w:r>
                    <w:rPr>
                      <w:rFonts w:ascii="Times New Roman" w:hAnsi="Times New Roman"/>
                    </w:rPr>
                    <w:t>三角形边框</w:t>
                  </w:r>
                </w:p>
              </w:tc>
              <w:tc>
                <w:tcPr>
                  <w:tcW w:w="3389" w:type="dxa"/>
                  <w:tcBorders>
                    <w:tl2br w:val="nil"/>
                    <w:tr2bl w:val="nil"/>
                  </w:tcBorders>
                  <w:vAlign w:val="center"/>
                </w:tcPr>
                <w:p>
                  <w:pPr>
                    <w:pStyle w:val="51"/>
                    <w:spacing w:line="240" w:lineRule="auto"/>
                    <w:rPr>
                      <w:rFonts w:ascii="Times New Roman" w:hAnsi="Times New Roman"/>
                    </w:rPr>
                  </w:pPr>
                  <w:r>
                    <w:rPr>
                      <w:rFonts w:ascii="Times New Roman" w:hAnsi="Times New Roman"/>
                    </w:rPr>
                    <w:t>黄色</w:t>
                  </w:r>
                </w:p>
              </w:tc>
              <w:tc>
                <w:tcPr>
                  <w:tcW w:w="3389" w:type="dxa"/>
                  <w:tcBorders>
                    <w:tl2br w:val="nil"/>
                    <w:tr2bl w:val="nil"/>
                  </w:tcBorders>
                  <w:vAlign w:val="center"/>
                </w:tcPr>
                <w:p>
                  <w:pPr>
                    <w:pStyle w:val="51"/>
                    <w:spacing w:line="240" w:lineRule="auto"/>
                    <w:rPr>
                      <w:rFonts w:ascii="Times New Roman" w:hAnsi="Times New Roman"/>
                    </w:rPr>
                  </w:pPr>
                  <w:r>
                    <w:rPr>
                      <w:rFonts w:ascii="Times New Roman" w:hAnsi="Times New Roman"/>
                    </w:rPr>
                    <w:t>黑色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88" w:type="dxa"/>
                  <w:tcBorders>
                    <w:tl2br w:val="nil"/>
                    <w:tr2bl w:val="nil"/>
                  </w:tcBorders>
                  <w:vAlign w:val="center"/>
                </w:tcPr>
                <w:p>
                  <w:pPr>
                    <w:pStyle w:val="51"/>
                    <w:spacing w:line="240" w:lineRule="auto"/>
                    <w:rPr>
                      <w:rFonts w:ascii="Times New Roman" w:hAnsi="Times New Roman"/>
                    </w:rPr>
                  </w:pPr>
                  <w:r>
                    <w:rPr>
                      <w:rFonts w:ascii="Times New Roman" w:hAnsi="Times New Roman"/>
                    </w:rPr>
                    <w:t>提示标志</w:t>
                  </w:r>
                </w:p>
              </w:tc>
              <w:tc>
                <w:tcPr>
                  <w:tcW w:w="2220" w:type="dxa"/>
                  <w:tcBorders>
                    <w:tl2br w:val="nil"/>
                    <w:tr2bl w:val="nil"/>
                  </w:tcBorders>
                  <w:vAlign w:val="center"/>
                </w:tcPr>
                <w:p>
                  <w:pPr>
                    <w:pStyle w:val="51"/>
                    <w:spacing w:line="240" w:lineRule="auto"/>
                    <w:rPr>
                      <w:rFonts w:ascii="Times New Roman" w:hAnsi="Times New Roman"/>
                    </w:rPr>
                  </w:pPr>
                  <w:r>
                    <w:rPr>
                      <w:rFonts w:ascii="Times New Roman" w:hAnsi="Times New Roman"/>
                    </w:rPr>
                    <w:t>正方形边框</w:t>
                  </w:r>
                </w:p>
              </w:tc>
              <w:tc>
                <w:tcPr>
                  <w:tcW w:w="3389" w:type="dxa"/>
                  <w:tcBorders>
                    <w:tl2br w:val="nil"/>
                    <w:tr2bl w:val="nil"/>
                  </w:tcBorders>
                  <w:vAlign w:val="center"/>
                </w:tcPr>
                <w:p>
                  <w:pPr>
                    <w:pStyle w:val="51"/>
                    <w:spacing w:line="240" w:lineRule="auto"/>
                    <w:rPr>
                      <w:rFonts w:ascii="Times New Roman" w:hAnsi="Times New Roman"/>
                    </w:rPr>
                  </w:pPr>
                  <w:r>
                    <w:rPr>
                      <w:rFonts w:ascii="Times New Roman" w:hAnsi="Times New Roman"/>
                    </w:rPr>
                    <w:t>绿色</w:t>
                  </w:r>
                </w:p>
              </w:tc>
              <w:tc>
                <w:tcPr>
                  <w:tcW w:w="3389" w:type="dxa"/>
                  <w:tcBorders>
                    <w:tl2br w:val="nil"/>
                    <w:tr2bl w:val="nil"/>
                  </w:tcBorders>
                  <w:vAlign w:val="center"/>
                </w:tcPr>
                <w:p>
                  <w:pPr>
                    <w:pStyle w:val="51"/>
                    <w:spacing w:line="240" w:lineRule="auto"/>
                    <w:rPr>
                      <w:rFonts w:ascii="Times New Roman" w:hAnsi="Times New Roman"/>
                    </w:rPr>
                  </w:pPr>
                  <w:r>
                    <w:rPr>
                      <w:rFonts w:ascii="Times New Roman" w:hAnsi="Times New Roman"/>
                    </w:rPr>
                    <w:t>白色</w:t>
                  </w:r>
                </w:p>
              </w:tc>
            </w:tr>
          </w:tbl>
          <w:p>
            <w:pPr>
              <w:spacing w:line="360" w:lineRule="auto"/>
              <w:ind w:firstLine="422"/>
              <w:rPr>
                <w:szCs w:val="21"/>
              </w:rPr>
            </w:pPr>
            <w:r>
              <w:rPr>
                <w:szCs w:val="21"/>
              </w:rPr>
              <w:t>2、日常环境管理制度</w:t>
            </w:r>
          </w:p>
          <w:p>
            <w:pPr>
              <w:spacing w:line="360" w:lineRule="auto"/>
              <w:ind w:firstLine="422"/>
              <w:rPr>
                <w:szCs w:val="21"/>
              </w:rPr>
            </w:pPr>
            <w:r>
              <w:rPr>
                <w:szCs w:val="21"/>
              </w:rPr>
              <w:t>（1）企业应建立日常环境管理制度。</w:t>
            </w:r>
          </w:p>
          <w:p>
            <w:pPr>
              <w:spacing w:line="360" w:lineRule="auto"/>
              <w:ind w:firstLine="422"/>
              <w:rPr>
                <w:szCs w:val="21"/>
              </w:rPr>
            </w:pPr>
            <w:r>
              <w:rPr>
                <w:szCs w:val="21"/>
              </w:rPr>
              <w:t>（2）建立日常环境管理台账。针对项目运行过程产生的废水、噪声、固废、环境风险等方面建立规范的环境管理台账，台账内容应包括环保设施设备清单、专业操作及维护人员配备、环保设施运行及维护费用、环保设施运行记录、事故检修计划、耗材消耗、污染物排放或处置量、环保设施稳定运行保障计划等。</w:t>
            </w:r>
          </w:p>
          <w:p>
            <w:pPr>
              <w:spacing w:line="360" w:lineRule="auto"/>
              <w:ind w:firstLine="422"/>
              <w:rPr>
                <w:szCs w:val="21"/>
              </w:rPr>
            </w:pPr>
            <w:r>
              <w:rPr>
                <w:szCs w:val="21"/>
              </w:rPr>
              <w:t>（3）进行各类固废台账统计。</w:t>
            </w:r>
          </w:p>
          <w:p>
            <w:pPr>
              <w:spacing w:line="360" w:lineRule="auto"/>
              <w:ind w:firstLine="422"/>
              <w:rPr>
                <w:szCs w:val="21"/>
              </w:rPr>
            </w:pPr>
            <w:r>
              <w:rPr>
                <w:szCs w:val="21"/>
              </w:rPr>
              <w:t>（4）做好各项环保设施日常运行、维护及费用记录；建立定期检查、维修和维修后验收制度，保证设备、设施完好，运转率达到考核要求。</w:t>
            </w:r>
          </w:p>
          <w:p>
            <w:pPr>
              <w:spacing w:line="360" w:lineRule="auto"/>
              <w:ind w:firstLine="422"/>
              <w:rPr>
                <w:szCs w:val="21"/>
              </w:rPr>
            </w:pPr>
            <w:r>
              <w:rPr>
                <w:szCs w:val="21"/>
              </w:rPr>
              <w:t>（5）在日常生产过程应贯彻全过程清洁生产原则，定期开展清洁生产审核工作。</w:t>
            </w:r>
          </w:p>
          <w:p>
            <w:pPr>
              <w:spacing w:line="360" w:lineRule="auto"/>
              <w:ind w:firstLine="422"/>
              <w:rPr>
                <w:szCs w:val="21"/>
              </w:rPr>
            </w:pPr>
            <w:r>
              <w:rPr>
                <w:szCs w:val="21"/>
              </w:rPr>
              <w:t>（6）对员工进行环保法律、法规教育和宣传，提高员工环保意识，对环保岗位进行培训考核。</w:t>
            </w:r>
          </w:p>
          <w:p>
            <w:pPr>
              <w:spacing w:line="360" w:lineRule="auto"/>
              <w:ind w:firstLine="422"/>
              <w:rPr>
                <w:szCs w:val="21"/>
              </w:rPr>
            </w:pPr>
            <w:r>
              <w:rPr>
                <w:szCs w:val="21"/>
              </w:rPr>
              <w:t>（7）厂区需在现有绿化措施的基础上进一步完善，以满足山东省环境保护厅《关于加强建设项目特征污染物监管和绿色生态屏障建设的通知》（鲁环评函[2013]138号）的要求。</w:t>
            </w:r>
          </w:p>
          <w:p>
            <w:pPr>
              <w:ind w:firstLine="422"/>
            </w:pPr>
          </w:p>
        </w:tc>
      </w:tr>
    </w:tbl>
    <w:p>
      <w:pPr>
        <w:pStyle w:val="34"/>
        <w:ind w:firstLine="602"/>
        <w:jc w:val="center"/>
        <w:outlineLvl w:val="0"/>
        <w:rPr>
          <w:rFonts w:ascii="Times New Roman" w:hAnsi="Times New Roman" w:eastAsia="黑体"/>
          <w:snapToGrid w:val="0"/>
          <w:sz w:val="30"/>
          <w:szCs w:val="30"/>
        </w:rPr>
      </w:pPr>
    </w:p>
    <w:p>
      <w:pPr>
        <w:pStyle w:val="34"/>
        <w:ind w:firstLine="480"/>
        <w:jc w:val="both"/>
        <w:outlineLvl w:val="0"/>
        <w:rPr>
          <w:rFonts w:ascii="Times New Roman" w:hAnsi="Times New Roman"/>
          <w:b/>
          <w:bCs/>
          <w:szCs w:val="24"/>
        </w:rPr>
        <w:sectPr>
          <w:pgSz w:w="16840" w:h="11907" w:orient="landscape"/>
          <w:pgMar w:top="1531" w:right="1701" w:bottom="1531" w:left="2127" w:header="851" w:footer="851" w:gutter="0"/>
          <w:cols w:space="720" w:num="1"/>
          <w:docGrid w:linePitch="312" w:charSpace="0"/>
        </w:sectPr>
      </w:pPr>
    </w:p>
    <w:p>
      <w:pPr>
        <w:pStyle w:val="34"/>
        <w:ind w:firstLine="602"/>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五、环境保护措施监督检查清单</w:t>
      </w:r>
    </w:p>
    <w:tbl>
      <w:tblPr>
        <w:tblStyle w:val="40"/>
        <w:tblW w:w="921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60"/>
        <w:gridCol w:w="1500"/>
        <w:gridCol w:w="1119"/>
        <w:gridCol w:w="2473"/>
        <w:gridCol w:w="276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2" w:hRule="atLeast"/>
          <w:jc w:val="center"/>
        </w:trPr>
        <w:tc>
          <w:tcPr>
            <w:tcW w:w="1360" w:type="dxa"/>
            <w:tcBorders>
              <w:tl2br w:val="single" w:color="auto" w:sz="4" w:space="0"/>
            </w:tcBorders>
          </w:tcPr>
          <w:p>
            <w:pPr>
              <w:adjustRightInd w:val="0"/>
              <w:snapToGrid w:val="0"/>
              <w:ind w:firstLine="630" w:firstLineChars="300"/>
              <w:rPr>
                <w:szCs w:val="21"/>
              </w:rPr>
            </w:pPr>
            <w:r>
              <w:rPr>
                <w:szCs w:val="21"/>
              </w:rPr>
              <w:t>内容</w:t>
            </w:r>
          </w:p>
          <w:p>
            <w:pPr>
              <w:adjustRightInd w:val="0"/>
              <w:snapToGrid w:val="0"/>
              <w:rPr>
                <w:szCs w:val="21"/>
              </w:rPr>
            </w:pPr>
          </w:p>
          <w:p>
            <w:pPr>
              <w:adjustRightInd w:val="0"/>
              <w:snapToGrid w:val="0"/>
              <w:rPr>
                <w:szCs w:val="21"/>
              </w:rPr>
            </w:pPr>
          </w:p>
          <w:p>
            <w:pPr>
              <w:adjustRightInd w:val="0"/>
              <w:snapToGrid w:val="0"/>
              <w:rPr>
                <w:szCs w:val="21"/>
              </w:rPr>
            </w:pPr>
            <w:r>
              <w:rPr>
                <w:szCs w:val="21"/>
              </w:rPr>
              <w:t>要素</w:t>
            </w:r>
          </w:p>
        </w:tc>
        <w:tc>
          <w:tcPr>
            <w:tcW w:w="1500" w:type="dxa"/>
            <w:vAlign w:val="center"/>
          </w:tcPr>
          <w:p>
            <w:pPr>
              <w:adjustRightInd w:val="0"/>
              <w:snapToGrid w:val="0"/>
              <w:jc w:val="center"/>
              <w:rPr>
                <w:szCs w:val="21"/>
              </w:rPr>
            </w:pPr>
            <w:r>
              <w:rPr>
                <w:szCs w:val="21"/>
              </w:rPr>
              <w:t>排放口(编号、</w:t>
            </w:r>
          </w:p>
          <w:p>
            <w:pPr>
              <w:adjustRightInd w:val="0"/>
              <w:snapToGrid w:val="0"/>
              <w:jc w:val="center"/>
              <w:rPr>
                <w:szCs w:val="21"/>
              </w:rPr>
            </w:pPr>
            <w:r>
              <w:rPr>
                <w:szCs w:val="21"/>
              </w:rPr>
              <w:t>名称)/污染源</w:t>
            </w:r>
          </w:p>
        </w:tc>
        <w:tc>
          <w:tcPr>
            <w:tcW w:w="1119" w:type="dxa"/>
            <w:vAlign w:val="center"/>
          </w:tcPr>
          <w:p>
            <w:pPr>
              <w:adjustRightInd w:val="0"/>
              <w:snapToGrid w:val="0"/>
              <w:jc w:val="center"/>
              <w:rPr>
                <w:szCs w:val="21"/>
              </w:rPr>
            </w:pPr>
            <w:r>
              <w:rPr>
                <w:szCs w:val="21"/>
              </w:rPr>
              <w:t>污染物项目</w:t>
            </w:r>
          </w:p>
        </w:tc>
        <w:tc>
          <w:tcPr>
            <w:tcW w:w="2473" w:type="dxa"/>
            <w:vAlign w:val="center"/>
          </w:tcPr>
          <w:p>
            <w:pPr>
              <w:adjustRightInd w:val="0"/>
              <w:snapToGrid w:val="0"/>
              <w:jc w:val="center"/>
              <w:rPr>
                <w:szCs w:val="21"/>
              </w:rPr>
            </w:pPr>
            <w:r>
              <w:rPr>
                <w:szCs w:val="21"/>
              </w:rPr>
              <w:t>环境保护措施</w:t>
            </w:r>
          </w:p>
        </w:tc>
        <w:tc>
          <w:tcPr>
            <w:tcW w:w="2767" w:type="dxa"/>
            <w:vAlign w:val="center"/>
          </w:tcPr>
          <w:p>
            <w:pPr>
              <w:adjustRightInd w:val="0"/>
              <w:snapToGrid w:val="0"/>
              <w:jc w:val="center"/>
              <w:rPr>
                <w:szCs w:val="21"/>
              </w:rPr>
            </w:pPr>
            <w:r>
              <w:rPr>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2" w:hRule="atLeast"/>
          <w:jc w:val="center"/>
        </w:trPr>
        <w:tc>
          <w:tcPr>
            <w:tcW w:w="1360" w:type="dxa"/>
            <w:vMerge w:val="restart"/>
            <w:vAlign w:val="center"/>
          </w:tcPr>
          <w:p>
            <w:pPr>
              <w:adjustRightInd w:val="0"/>
              <w:snapToGrid w:val="0"/>
              <w:jc w:val="center"/>
              <w:rPr>
                <w:szCs w:val="21"/>
              </w:rPr>
            </w:pPr>
            <w:r>
              <w:rPr>
                <w:szCs w:val="21"/>
              </w:rPr>
              <w:t>大气环境</w:t>
            </w:r>
          </w:p>
        </w:tc>
        <w:tc>
          <w:tcPr>
            <w:tcW w:w="1500" w:type="dxa"/>
            <w:vAlign w:val="center"/>
          </w:tcPr>
          <w:p>
            <w:pPr>
              <w:adjustRightInd w:val="0"/>
              <w:snapToGrid w:val="0"/>
              <w:jc w:val="center"/>
              <w:rPr>
                <w:szCs w:val="21"/>
              </w:rPr>
            </w:pPr>
            <w:r>
              <w:rPr>
                <w:szCs w:val="21"/>
              </w:rPr>
              <w:t>DA001</w:t>
            </w:r>
          </w:p>
        </w:tc>
        <w:tc>
          <w:tcPr>
            <w:tcW w:w="1119" w:type="dxa"/>
            <w:vAlign w:val="center"/>
          </w:tcPr>
          <w:p>
            <w:pPr>
              <w:adjustRightInd w:val="0"/>
              <w:snapToGrid w:val="0"/>
              <w:jc w:val="center"/>
              <w:rPr>
                <w:szCs w:val="21"/>
              </w:rPr>
            </w:pPr>
            <w:r>
              <w:rPr>
                <w:szCs w:val="21"/>
                <w:lang w:val="de-DE"/>
              </w:rPr>
              <w:t>颗粒物</w:t>
            </w:r>
          </w:p>
        </w:tc>
        <w:tc>
          <w:tcPr>
            <w:tcW w:w="2473" w:type="dxa"/>
            <w:vAlign w:val="center"/>
          </w:tcPr>
          <w:p>
            <w:pPr>
              <w:adjustRightInd w:val="0"/>
              <w:snapToGrid w:val="0"/>
              <w:jc w:val="center"/>
              <w:rPr>
                <w:szCs w:val="21"/>
              </w:rPr>
            </w:pPr>
            <w:r>
              <w:rPr>
                <w:szCs w:val="21"/>
                <w:lang w:val="de-DE"/>
              </w:rPr>
              <w:t>布袋除尘器</w:t>
            </w:r>
          </w:p>
        </w:tc>
        <w:tc>
          <w:tcPr>
            <w:tcW w:w="2767" w:type="dxa"/>
            <w:vAlign w:val="center"/>
          </w:tcPr>
          <w:p>
            <w:pPr>
              <w:adjustRightInd w:val="0"/>
              <w:snapToGrid w:val="0"/>
              <w:jc w:val="center"/>
              <w:rPr>
                <w:szCs w:val="21"/>
              </w:rPr>
            </w:pPr>
            <w:r>
              <w:rPr>
                <w:szCs w:val="21"/>
              </w:rPr>
              <w:t>《区域性大气污染物综合排放标准》（DB37/2376-2019）表1重点控制区排放限值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2" w:hRule="atLeast"/>
          <w:jc w:val="center"/>
        </w:trPr>
        <w:tc>
          <w:tcPr>
            <w:tcW w:w="1360" w:type="dxa"/>
            <w:vMerge w:val="continue"/>
            <w:vAlign w:val="center"/>
          </w:tcPr>
          <w:p>
            <w:pPr>
              <w:adjustRightInd w:val="0"/>
              <w:snapToGrid w:val="0"/>
              <w:ind w:firstLine="422"/>
              <w:jc w:val="center"/>
              <w:rPr>
                <w:szCs w:val="21"/>
              </w:rPr>
            </w:pPr>
          </w:p>
        </w:tc>
        <w:tc>
          <w:tcPr>
            <w:tcW w:w="1500" w:type="dxa"/>
            <w:vAlign w:val="center"/>
          </w:tcPr>
          <w:p>
            <w:pPr>
              <w:adjustRightInd w:val="0"/>
              <w:snapToGrid w:val="0"/>
              <w:jc w:val="center"/>
              <w:rPr>
                <w:szCs w:val="21"/>
              </w:rPr>
            </w:pPr>
            <w:r>
              <w:rPr>
                <w:szCs w:val="21"/>
              </w:rPr>
              <w:t>生产车间</w:t>
            </w:r>
          </w:p>
        </w:tc>
        <w:tc>
          <w:tcPr>
            <w:tcW w:w="1119" w:type="dxa"/>
            <w:vAlign w:val="center"/>
          </w:tcPr>
          <w:p>
            <w:pPr>
              <w:adjustRightInd w:val="0"/>
              <w:snapToGrid w:val="0"/>
              <w:jc w:val="center"/>
              <w:rPr>
                <w:szCs w:val="21"/>
                <w:lang w:val="de-DE"/>
              </w:rPr>
            </w:pPr>
            <w:r>
              <w:rPr>
                <w:szCs w:val="21"/>
              </w:rPr>
              <w:t>颗粒物</w:t>
            </w:r>
          </w:p>
        </w:tc>
        <w:tc>
          <w:tcPr>
            <w:tcW w:w="2473" w:type="dxa"/>
            <w:vAlign w:val="center"/>
          </w:tcPr>
          <w:p>
            <w:pPr>
              <w:adjustRightInd w:val="0"/>
              <w:snapToGrid w:val="0"/>
              <w:jc w:val="center"/>
              <w:rPr>
                <w:szCs w:val="21"/>
                <w:lang w:val="de-DE"/>
              </w:rPr>
            </w:pPr>
            <w:r>
              <w:rPr>
                <w:szCs w:val="21"/>
              </w:rPr>
              <w:t>车间密闭</w:t>
            </w:r>
            <w:r>
              <w:rPr>
                <w:rFonts w:hint="eastAsia"/>
                <w:szCs w:val="21"/>
              </w:rPr>
              <w:t>、仓顶除尘器</w:t>
            </w:r>
          </w:p>
        </w:tc>
        <w:tc>
          <w:tcPr>
            <w:tcW w:w="2767" w:type="dxa"/>
            <w:vAlign w:val="center"/>
          </w:tcPr>
          <w:p>
            <w:pPr>
              <w:adjustRightInd w:val="0"/>
              <w:snapToGrid w:val="0"/>
              <w:jc w:val="center"/>
              <w:rPr>
                <w:szCs w:val="21"/>
              </w:rPr>
            </w:pPr>
            <w:r>
              <w:rPr>
                <w:szCs w:val="21"/>
              </w:rPr>
              <w:t>《大气污染物综合排放标准》（GB16297-1996）表2无组织排放监控浓度限值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2" w:hRule="atLeast"/>
          <w:jc w:val="center"/>
        </w:trPr>
        <w:tc>
          <w:tcPr>
            <w:tcW w:w="1360" w:type="dxa"/>
            <w:vMerge w:val="restart"/>
            <w:vAlign w:val="center"/>
          </w:tcPr>
          <w:p>
            <w:pPr>
              <w:adjustRightInd w:val="0"/>
              <w:snapToGrid w:val="0"/>
              <w:jc w:val="center"/>
              <w:rPr>
                <w:szCs w:val="21"/>
              </w:rPr>
            </w:pPr>
            <w:r>
              <w:rPr>
                <w:szCs w:val="21"/>
              </w:rPr>
              <w:t>地表水环境</w:t>
            </w:r>
          </w:p>
        </w:tc>
        <w:tc>
          <w:tcPr>
            <w:tcW w:w="1500" w:type="dxa"/>
            <w:vMerge w:val="restart"/>
            <w:vAlign w:val="center"/>
          </w:tcPr>
          <w:p>
            <w:pPr>
              <w:adjustRightInd w:val="0"/>
              <w:snapToGrid w:val="0"/>
              <w:jc w:val="center"/>
              <w:rPr>
                <w:szCs w:val="21"/>
              </w:rPr>
            </w:pPr>
            <w:r>
              <w:rPr>
                <w:szCs w:val="21"/>
              </w:rPr>
              <w:t>生活污水</w:t>
            </w:r>
          </w:p>
        </w:tc>
        <w:tc>
          <w:tcPr>
            <w:tcW w:w="1119" w:type="dxa"/>
            <w:vAlign w:val="center"/>
          </w:tcPr>
          <w:p>
            <w:pPr>
              <w:adjustRightInd w:val="0"/>
              <w:snapToGrid w:val="0"/>
              <w:jc w:val="center"/>
              <w:rPr>
                <w:szCs w:val="21"/>
              </w:rPr>
            </w:pPr>
            <w:r>
              <w:rPr>
                <w:szCs w:val="21"/>
              </w:rPr>
              <w:t>COD</w:t>
            </w:r>
          </w:p>
        </w:tc>
        <w:tc>
          <w:tcPr>
            <w:tcW w:w="2473" w:type="dxa"/>
            <w:vMerge w:val="restart"/>
            <w:vAlign w:val="center"/>
          </w:tcPr>
          <w:p>
            <w:pPr>
              <w:adjustRightInd w:val="0"/>
              <w:snapToGrid w:val="0"/>
              <w:jc w:val="center"/>
              <w:rPr>
                <w:szCs w:val="21"/>
              </w:rPr>
            </w:pPr>
            <w:r>
              <w:rPr>
                <w:szCs w:val="21"/>
              </w:rPr>
              <w:t>化粪池处理后环卫部门定期清运</w:t>
            </w:r>
          </w:p>
        </w:tc>
        <w:tc>
          <w:tcPr>
            <w:tcW w:w="2767" w:type="dxa"/>
            <w:vMerge w:val="restart"/>
            <w:vAlign w:val="center"/>
          </w:tcPr>
          <w:p>
            <w:pPr>
              <w:adjustRightInd w:val="0"/>
              <w:snapToGrid w:val="0"/>
              <w:jc w:val="center"/>
              <w:rPr>
                <w:szCs w:val="21"/>
              </w:rPr>
            </w:pPr>
            <w:r>
              <w:rPr>
                <w:szCs w:val="21"/>
              </w:rPr>
              <w:t>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2" w:hRule="atLeast"/>
          <w:jc w:val="center"/>
        </w:trPr>
        <w:tc>
          <w:tcPr>
            <w:tcW w:w="1360" w:type="dxa"/>
            <w:vMerge w:val="continue"/>
            <w:vAlign w:val="center"/>
          </w:tcPr>
          <w:p>
            <w:pPr>
              <w:adjustRightInd w:val="0"/>
              <w:snapToGrid w:val="0"/>
              <w:jc w:val="center"/>
              <w:rPr>
                <w:szCs w:val="21"/>
              </w:rPr>
            </w:pPr>
          </w:p>
        </w:tc>
        <w:tc>
          <w:tcPr>
            <w:tcW w:w="1500" w:type="dxa"/>
            <w:vMerge w:val="continue"/>
            <w:vAlign w:val="center"/>
          </w:tcPr>
          <w:p>
            <w:pPr>
              <w:adjustRightInd w:val="0"/>
              <w:snapToGrid w:val="0"/>
              <w:jc w:val="center"/>
              <w:rPr>
                <w:szCs w:val="21"/>
              </w:rPr>
            </w:pPr>
          </w:p>
        </w:tc>
        <w:tc>
          <w:tcPr>
            <w:tcW w:w="1119" w:type="dxa"/>
            <w:vAlign w:val="center"/>
          </w:tcPr>
          <w:p>
            <w:pPr>
              <w:adjustRightInd w:val="0"/>
              <w:snapToGrid w:val="0"/>
              <w:jc w:val="center"/>
              <w:rPr>
                <w:szCs w:val="21"/>
              </w:rPr>
            </w:pPr>
            <w:r>
              <w:rPr>
                <w:szCs w:val="21"/>
              </w:rPr>
              <w:t>NH</w:t>
            </w:r>
            <w:r>
              <w:rPr>
                <w:szCs w:val="21"/>
                <w:vertAlign w:val="subscript"/>
              </w:rPr>
              <w:t>3</w:t>
            </w:r>
            <w:r>
              <w:rPr>
                <w:szCs w:val="21"/>
              </w:rPr>
              <w:t>-N</w:t>
            </w:r>
          </w:p>
        </w:tc>
        <w:tc>
          <w:tcPr>
            <w:tcW w:w="2473" w:type="dxa"/>
            <w:vMerge w:val="continue"/>
            <w:vAlign w:val="center"/>
          </w:tcPr>
          <w:p>
            <w:pPr>
              <w:adjustRightInd w:val="0"/>
              <w:snapToGrid w:val="0"/>
              <w:jc w:val="center"/>
              <w:rPr>
                <w:szCs w:val="21"/>
              </w:rPr>
            </w:pPr>
          </w:p>
        </w:tc>
        <w:tc>
          <w:tcPr>
            <w:tcW w:w="2767"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2" w:hRule="atLeast"/>
          <w:jc w:val="center"/>
        </w:trPr>
        <w:tc>
          <w:tcPr>
            <w:tcW w:w="1360" w:type="dxa"/>
            <w:vAlign w:val="center"/>
          </w:tcPr>
          <w:p>
            <w:pPr>
              <w:adjustRightInd w:val="0"/>
              <w:snapToGrid w:val="0"/>
              <w:jc w:val="center"/>
              <w:rPr>
                <w:szCs w:val="21"/>
              </w:rPr>
            </w:pPr>
            <w:r>
              <w:rPr>
                <w:szCs w:val="21"/>
              </w:rPr>
              <w:t>声环境</w:t>
            </w:r>
          </w:p>
        </w:tc>
        <w:tc>
          <w:tcPr>
            <w:tcW w:w="1500" w:type="dxa"/>
            <w:vAlign w:val="center"/>
          </w:tcPr>
          <w:p>
            <w:pPr>
              <w:adjustRightInd w:val="0"/>
              <w:snapToGrid w:val="0"/>
              <w:jc w:val="center"/>
              <w:rPr>
                <w:szCs w:val="21"/>
              </w:rPr>
            </w:pPr>
            <w:r>
              <w:rPr>
                <w:szCs w:val="21"/>
              </w:rPr>
              <w:t>生产设备等</w:t>
            </w:r>
          </w:p>
        </w:tc>
        <w:tc>
          <w:tcPr>
            <w:tcW w:w="1119" w:type="dxa"/>
            <w:vAlign w:val="center"/>
          </w:tcPr>
          <w:p>
            <w:pPr>
              <w:adjustRightInd w:val="0"/>
              <w:snapToGrid w:val="0"/>
              <w:jc w:val="center"/>
              <w:rPr>
                <w:szCs w:val="21"/>
              </w:rPr>
            </w:pPr>
            <w:r>
              <w:rPr>
                <w:szCs w:val="21"/>
              </w:rPr>
              <w:t>机械噪声</w:t>
            </w:r>
          </w:p>
        </w:tc>
        <w:tc>
          <w:tcPr>
            <w:tcW w:w="2473" w:type="dxa"/>
            <w:vAlign w:val="center"/>
          </w:tcPr>
          <w:p>
            <w:pPr>
              <w:adjustRightInd w:val="0"/>
              <w:snapToGrid w:val="0"/>
              <w:jc w:val="center"/>
              <w:rPr>
                <w:szCs w:val="21"/>
              </w:rPr>
            </w:pPr>
            <w:r>
              <w:rPr>
                <w:szCs w:val="21"/>
              </w:rPr>
              <w:t>基础减震，厂房隔声、距离衰减等</w:t>
            </w:r>
          </w:p>
        </w:tc>
        <w:tc>
          <w:tcPr>
            <w:tcW w:w="2767" w:type="dxa"/>
            <w:vAlign w:val="center"/>
          </w:tcPr>
          <w:p>
            <w:pPr>
              <w:adjustRightInd w:val="0"/>
              <w:snapToGrid w:val="0"/>
              <w:jc w:val="center"/>
              <w:rPr>
                <w:szCs w:val="21"/>
              </w:rPr>
            </w:pPr>
            <w:r>
              <w:rPr>
                <w:szCs w:val="21"/>
              </w:rPr>
              <w:t>《工业企业厂界环境噪声排放标准》（GB12348-2008）中的2类标准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360" w:type="dxa"/>
            <w:vAlign w:val="center"/>
          </w:tcPr>
          <w:p>
            <w:pPr>
              <w:adjustRightInd w:val="0"/>
              <w:snapToGrid w:val="0"/>
              <w:jc w:val="center"/>
              <w:rPr>
                <w:szCs w:val="21"/>
              </w:rPr>
            </w:pPr>
            <w:r>
              <w:rPr>
                <w:szCs w:val="21"/>
              </w:rPr>
              <w:t>电磁辐射</w:t>
            </w:r>
          </w:p>
        </w:tc>
        <w:tc>
          <w:tcPr>
            <w:tcW w:w="7859" w:type="dxa"/>
            <w:gridSpan w:val="4"/>
            <w:vAlign w:val="center"/>
          </w:tcPr>
          <w:p>
            <w:pPr>
              <w:adjustRightInd w:val="0"/>
              <w:snapToGrid w:val="0"/>
              <w:jc w:val="center"/>
              <w:rPr>
                <w:szCs w:val="21"/>
              </w:rPr>
            </w:pPr>
            <w:r>
              <w:rPr>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1360" w:type="dxa"/>
            <w:vMerge w:val="restart"/>
            <w:vAlign w:val="center"/>
          </w:tcPr>
          <w:p>
            <w:pPr>
              <w:adjustRightInd w:val="0"/>
              <w:snapToGrid w:val="0"/>
              <w:jc w:val="center"/>
              <w:rPr>
                <w:szCs w:val="21"/>
              </w:rPr>
            </w:pPr>
          </w:p>
          <w:p>
            <w:pPr>
              <w:adjustRightInd w:val="0"/>
              <w:snapToGrid w:val="0"/>
              <w:jc w:val="center"/>
              <w:rPr>
                <w:szCs w:val="21"/>
              </w:rPr>
            </w:pPr>
            <w:r>
              <w:rPr>
                <w:szCs w:val="21"/>
              </w:rPr>
              <w:t>固体废物</w:t>
            </w:r>
          </w:p>
        </w:tc>
        <w:tc>
          <w:tcPr>
            <w:tcW w:w="2619" w:type="dxa"/>
            <w:gridSpan w:val="2"/>
            <w:vAlign w:val="center"/>
          </w:tcPr>
          <w:p>
            <w:pPr>
              <w:adjustRightInd w:val="0"/>
              <w:snapToGrid w:val="0"/>
              <w:jc w:val="center"/>
              <w:rPr>
                <w:szCs w:val="21"/>
              </w:rPr>
            </w:pPr>
            <w:r>
              <w:rPr>
                <w:szCs w:val="21"/>
              </w:rPr>
              <w:t>废包装袋</w:t>
            </w:r>
          </w:p>
        </w:tc>
        <w:tc>
          <w:tcPr>
            <w:tcW w:w="2473" w:type="dxa"/>
            <w:vMerge w:val="restart"/>
            <w:vAlign w:val="center"/>
          </w:tcPr>
          <w:p>
            <w:pPr>
              <w:adjustRightInd w:val="0"/>
              <w:snapToGrid w:val="0"/>
              <w:jc w:val="center"/>
              <w:rPr>
                <w:szCs w:val="21"/>
              </w:rPr>
            </w:pPr>
            <w:r>
              <w:rPr>
                <w:color w:val="0000FF"/>
              </w:rPr>
              <w:t>集中收集后</w:t>
            </w:r>
            <w:r>
              <w:rPr>
                <w:rFonts w:hint="eastAsia"/>
                <w:color w:val="0000FF"/>
              </w:rPr>
              <w:t>外售给有资质的单位进行处理</w:t>
            </w:r>
          </w:p>
        </w:tc>
        <w:tc>
          <w:tcPr>
            <w:tcW w:w="2767" w:type="dxa"/>
            <w:vMerge w:val="restart"/>
            <w:vAlign w:val="center"/>
          </w:tcPr>
          <w:p>
            <w:pPr>
              <w:adjustRightInd w:val="0"/>
              <w:snapToGrid w:val="0"/>
              <w:jc w:val="center"/>
              <w:rPr>
                <w:szCs w:val="21"/>
              </w:rPr>
            </w:pPr>
            <w:r>
              <w:rPr>
                <w:szCs w:val="21"/>
              </w:rPr>
              <w:t>《中华人民共和国固体废物污染环境防治法》和《一般工业固体废物管理台账制定指南（试行）》（公告2021年第82号）要求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60" w:type="dxa"/>
            <w:vMerge w:val="continue"/>
            <w:vAlign w:val="center"/>
          </w:tcPr>
          <w:p>
            <w:pPr>
              <w:adjustRightInd w:val="0"/>
              <w:snapToGrid w:val="0"/>
              <w:jc w:val="center"/>
              <w:rPr>
                <w:szCs w:val="21"/>
              </w:rPr>
            </w:pPr>
          </w:p>
        </w:tc>
        <w:tc>
          <w:tcPr>
            <w:tcW w:w="2619" w:type="dxa"/>
            <w:gridSpan w:val="2"/>
            <w:vAlign w:val="center"/>
          </w:tcPr>
          <w:p>
            <w:pPr>
              <w:adjustRightInd w:val="0"/>
              <w:snapToGrid w:val="0"/>
              <w:jc w:val="center"/>
              <w:rPr>
                <w:szCs w:val="21"/>
              </w:rPr>
            </w:pPr>
            <w:r>
              <w:rPr>
                <w:szCs w:val="21"/>
              </w:rPr>
              <w:t>废布袋</w:t>
            </w:r>
          </w:p>
        </w:tc>
        <w:tc>
          <w:tcPr>
            <w:tcW w:w="2473" w:type="dxa"/>
            <w:vMerge w:val="continue"/>
            <w:vAlign w:val="center"/>
          </w:tcPr>
          <w:p>
            <w:pPr>
              <w:adjustRightInd w:val="0"/>
              <w:snapToGrid w:val="0"/>
              <w:jc w:val="center"/>
              <w:rPr>
                <w:szCs w:val="21"/>
              </w:rPr>
            </w:pPr>
          </w:p>
        </w:tc>
        <w:tc>
          <w:tcPr>
            <w:tcW w:w="2767"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360" w:type="dxa"/>
            <w:vMerge w:val="continue"/>
            <w:vAlign w:val="center"/>
          </w:tcPr>
          <w:p>
            <w:pPr>
              <w:adjustRightInd w:val="0"/>
              <w:snapToGrid w:val="0"/>
              <w:jc w:val="center"/>
              <w:rPr>
                <w:szCs w:val="21"/>
              </w:rPr>
            </w:pPr>
          </w:p>
        </w:tc>
        <w:tc>
          <w:tcPr>
            <w:tcW w:w="2619" w:type="dxa"/>
            <w:gridSpan w:val="2"/>
            <w:vAlign w:val="center"/>
          </w:tcPr>
          <w:p>
            <w:pPr>
              <w:adjustRightInd w:val="0"/>
              <w:snapToGrid w:val="0"/>
              <w:jc w:val="center"/>
              <w:rPr>
                <w:szCs w:val="21"/>
              </w:rPr>
            </w:pPr>
            <w:r>
              <w:rPr>
                <w:szCs w:val="21"/>
              </w:rPr>
              <w:t>废润滑油</w:t>
            </w:r>
          </w:p>
        </w:tc>
        <w:tc>
          <w:tcPr>
            <w:tcW w:w="2473" w:type="dxa"/>
            <w:vMerge w:val="restart"/>
            <w:vAlign w:val="center"/>
          </w:tcPr>
          <w:p>
            <w:pPr>
              <w:adjustRightInd w:val="0"/>
              <w:snapToGrid w:val="0"/>
              <w:jc w:val="center"/>
              <w:rPr>
                <w:szCs w:val="21"/>
              </w:rPr>
            </w:pPr>
            <w:r>
              <w:rPr>
                <w:szCs w:val="21"/>
              </w:rPr>
              <w:t>暂存于危废暂存间，委托资质单位安全处置</w:t>
            </w:r>
          </w:p>
        </w:tc>
        <w:tc>
          <w:tcPr>
            <w:tcW w:w="2767" w:type="dxa"/>
            <w:vMerge w:val="restart"/>
            <w:vAlign w:val="center"/>
          </w:tcPr>
          <w:p>
            <w:pPr>
              <w:adjustRightInd w:val="0"/>
              <w:snapToGrid w:val="0"/>
              <w:jc w:val="center"/>
              <w:rPr>
                <w:szCs w:val="21"/>
              </w:rPr>
            </w:pPr>
            <w:r>
              <w:rPr>
                <w:szCs w:val="21"/>
              </w:rPr>
              <w:t>《危险废物贮存污染控制标准》（GB18597-2023）和《危险废物转移管理办法》要求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360" w:type="dxa"/>
            <w:vMerge w:val="continue"/>
            <w:vAlign w:val="center"/>
          </w:tcPr>
          <w:p>
            <w:pPr>
              <w:adjustRightInd w:val="0"/>
              <w:snapToGrid w:val="0"/>
              <w:jc w:val="center"/>
              <w:rPr>
                <w:szCs w:val="21"/>
              </w:rPr>
            </w:pPr>
          </w:p>
        </w:tc>
        <w:tc>
          <w:tcPr>
            <w:tcW w:w="2619" w:type="dxa"/>
            <w:gridSpan w:val="2"/>
            <w:vAlign w:val="center"/>
          </w:tcPr>
          <w:p>
            <w:pPr>
              <w:adjustRightInd w:val="0"/>
              <w:snapToGrid w:val="0"/>
              <w:jc w:val="center"/>
              <w:rPr>
                <w:szCs w:val="21"/>
              </w:rPr>
            </w:pPr>
            <w:r>
              <w:rPr>
                <w:szCs w:val="21"/>
              </w:rPr>
              <w:t>废润滑油桶</w:t>
            </w:r>
          </w:p>
        </w:tc>
        <w:tc>
          <w:tcPr>
            <w:tcW w:w="2473" w:type="dxa"/>
            <w:vMerge w:val="continue"/>
            <w:vAlign w:val="center"/>
          </w:tcPr>
          <w:p>
            <w:pPr>
              <w:adjustRightInd w:val="0"/>
              <w:snapToGrid w:val="0"/>
              <w:jc w:val="center"/>
              <w:rPr>
                <w:szCs w:val="21"/>
              </w:rPr>
            </w:pPr>
          </w:p>
        </w:tc>
        <w:tc>
          <w:tcPr>
            <w:tcW w:w="2767"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360" w:type="dxa"/>
            <w:vMerge w:val="continue"/>
            <w:vAlign w:val="center"/>
          </w:tcPr>
          <w:p>
            <w:pPr>
              <w:adjustRightInd w:val="0"/>
              <w:snapToGrid w:val="0"/>
              <w:jc w:val="center"/>
              <w:rPr>
                <w:szCs w:val="21"/>
              </w:rPr>
            </w:pPr>
          </w:p>
        </w:tc>
        <w:tc>
          <w:tcPr>
            <w:tcW w:w="2619" w:type="dxa"/>
            <w:gridSpan w:val="2"/>
            <w:vAlign w:val="center"/>
          </w:tcPr>
          <w:p>
            <w:pPr>
              <w:adjustRightInd w:val="0"/>
              <w:snapToGrid w:val="0"/>
              <w:jc w:val="center"/>
              <w:rPr>
                <w:szCs w:val="21"/>
              </w:rPr>
            </w:pPr>
            <w:r>
              <w:rPr>
                <w:szCs w:val="21"/>
              </w:rPr>
              <w:t>生活垃圾</w:t>
            </w:r>
          </w:p>
        </w:tc>
        <w:tc>
          <w:tcPr>
            <w:tcW w:w="2473" w:type="dxa"/>
            <w:vAlign w:val="center"/>
          </w:tcPr>
          <w:p>
            <w:pPr>
              <w:adjustRightInd w:val="0"/>
              <w:snapToGrid w:val="0"/>
              <w:jc w:val="center"/>
              <w:rPr>
                <w:szCs w:val="21"/>
              </w:rPr>
            </w:pPr>
            <w:r>
              <w:rPr>
                <w:szCs w:val="21"/>
              </w:rPr>
              <w:t>环卫部门定期清运</w:t>
            </w:r>
          </w:p>
        </w:tc>
        <w:tc>
          <w:tcPr>
            <w:tcW w:w="2767" w:type="dxa"/>
            <w:vAlign w:val="center"/>
          </w:tcPr>
          <w:p>
            <w:pPr>
              <w:adjustRightInd w:val="0"/>
              <w:snapToGrid w:val="0"/>
              <w:jc w:val="center"/>
              <w:rPr>
                <w:szCs w:val="21"/>
              </w:rPr>
            </w:pPr>
            <w:r>
              <w:rPr>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2" w:hRule="atLeast"/>
          <w:jc w:val="center"/>
        </w:trPr>
        <w:tc>
          <w:tcPr>
            <w:tcW w:w="1360" w:type="dxa"/>
            <w:vAlign w:val="center"/>
          </w:tcPr>
          <w:p>
            <w:pPr>
              <w:adjustRightInd w:val="0"/>
              <w:snapToGrid w:val="0"/>
              <w:jc w:val="center"/>
              <w:rPr>
                <w:szCs w:val="21"/>
              </w:rPr>
            </w:pPr>
            <w:r>
              <w:rPr>
                <w:szCs w:val="21"/>
              </w:rPr>
              <w:t>土壤及地下水污染防治措施</w:t>
            </w:r>
          </w:p>
        </w:tc>
        <w:tc>
          <w:tcPr>
            <w:tcW w:w="7859" w:type="dxa"/>
            <w:gridSpan w:val="4"/>
            <w:vAlign w:val="center"/>
          </w:tcPr>
          <w:p>
            <w:pPr>
              <w:adjustRightInd w:val="0"/>
              <w:snapToGrid w:val="0"/>
              <w:jc w:val="center"/>
              <w:rPr>
                <w:szCs w:val="21"/>
              </w:rPr>
            </w:pPr>
            <w:r>
              <w:rPr>
                <w:szCs w:val="21"/>
              </w:rPr>
              <w:t>化粪池、危废暂存间、罐区设置为重点防渗区，</w:t>
            </w:r>
            <w:r>
              <w:t>生产车间、包装车间、原料仓库、成品仓库、一般固废暂存处</w:t>
            </w:r>
            <w:r>
              <w:rPr>
                <w:szCs w:val="21"/>
              </w:rPr>
              <w:t>设置为一般防渗区，办公楼、厂内道路等设置为简单防渗区。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360" w:type="dxa"/>
            <w:vAlign w:val="center"/>
          </w:tcPr>
          <w:p>
            <w:pPr>
              <w:adjustRightInd w:val="0"/>
              <w:snapToGrid w:val="0"/>
              <w:jc w:val="center"/>
              <w:rPr>
                <w:szCs w:val="21"/>
              </w:rPr>
            </w:pPr>
            <w:r>
              <w:rPr>
                <w:szCs w:val="21"/>
              </w:rPr>
              <w:t>生态保护</w:t>
            </w:r>
          </w:p>
          <w:p>
            <w:pPr>
              <w:adjustRightInd w:val="0"/>
              <w:snapToGrid w:val="0"/>
              <w:jc w:val="center"/>
              <w:rPr>
                <w:szCs w:val="21"/>
              </w:rPr>
            </w:pPr>
            <w:r>
              <w:rPr>
                <w:szCs w:val="21"/>
              </w:rPr>
              <w:t>措施</w:t>
            </w:r>
          </w:p>
        </w:tc>
        <w:tc>
          <w:tcPr>
            <w:tcW w:w="7859" w:type="dxa"/>
            <w:gridSpan w:val="4"/>
            <w:vAlign w:val="center"/>
          </w:tcPr>
          <w:p>
            <w:pPr>
              <w:adjustRightInd w:val="0"/>
              <w:snapToGrid w:val="0"/>
              <w:jc w:val="center"/>
              <w:rPr>
                <w:szCs w:val="21"/>
              </w:rPr>
            </w:pPr>
            <w:r>
              <w:rPr>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1360" w:type="dxa"/>
            <w:vAlign w:val="center"/>
          </w:tcPr>
          <w:p>
            <w:pPr>
              <w:adjustRightInd w:val="0"/>
              <w:snapToGrid w:val="0"/>
              <w:jc w:val="center"/>
              <w:rPr>
                <w:szCs w:val="21"/>
              </w:rPr>
            </w:pPr>
            <w:r>
              <w:rPr>
                <w:szCs w:val="21"/>
              </w:rPr>
              <w:t>环境风险</w:t>
            </w:r>
          </w:p>
          <w:p>
            <w:pPr>
              <w:adjustRightInd w:val="0"/>
              <w:snapToGrid w:val="0"/>
              <w:jc w:val="center"/>
              <w:rPr>
                <w:szCs w:val="21"/>
              </w:rPr>
            </w:pPr>
            <w:r>
              <w:rPr>
                <w:szCs w:val="21"/>
              </w:rPr>
              <w:t>防范措施</w:t>
            </w:r>
          </w:p>
        </w:tc>
        <w:tc>
          <w:tcPr>
            <w:tcW w:w="7859" w:type="dxa"/>
            <w:gridSpan w:val="4"/>
            <w:vAlign w:val="center"/>
          </w:tcPr>
          <w:p>
            <w:pPr>
              <w:adjustRightInd w:val="0"/>
              <w:snapToGrid w:val="0"/>
              <w:ind w:firstLine="420" w:firstLineChars="200"/>
              <w:jc w:val="left"/>
              <w:rPr>
                <w:szCs w:val="21"/>
              </w:rPr>
            </w:pPr>
            <w:r>
              <w:rPr>
                <w:szCs w:val="21"/>
              </w:rPr>
              <w:t>1）加强日常巡检工作，定期对环保设备进行检修，及时发现、处理故障，严格落实各项安全与环保措施，防止事故造成的环境污染。</w:t>
            </w:r>
          </w:p>
          <w:p>
            <w:pPr>
              <w:adjustRightInd w:val="0"/>
              <w:snapToGrid w:val="0"/>
              <w:ind w:firstLine="420" w:firstLineChars="200"/>
              <w:jc w:val="left"/>
              <w:rPr>
                <w:szCs w:val="21"/>
              </w:rPr>
            </w:pPr>
            <w:r>
              <w:rPr>
                <w:szCs w:val="21"/>
              </w:rPr>
              <w:t>2）严禁烟火，加强管理，严格操作规范，制定一系列的防火规章制度。</w:t>
            </w:r>
          </w:p>
          <w:p>
            <w:pPr>
              <w:adjustRightInd w:val="0"/>
              <w:snapToGrid w:val="0"/>
              <w:ind w:firstLine="420" w:firstLineChars="200"/>
              <w:jc w:val="left"/>
              <w:rPr>
                <w:szCs w:val="21"/>
              </w:rPr>
            </w:pPr>
            <w:r>
              <w:rPr>
                <w:szCs w:val="21"/>
              </w:rPr>
              <w:t>3）严格执行劳动部《生产设备安全卫生设计总则》等有关法规。</w:t>
            </w:r>
          </w:p>
          <w:p>
            <w:pPr>
              <w:adjustRightInd w:val="0"/>
              <w:snapToGrid w:val="0"/>
              <w:ind w:firstLine="420" w:firstLineChars="200"/>
              <w:jc w:val="left"/>
              <w:rPr>
                <w:szCs w:val="21"/>
              </w:rPr>
            </w:pPr>
            <w:r>
              <w:rPr>
                <w:szCs w:val="21"/>
              </w:rPr>
              <w:t>4）厂区按《建筑灭火器配置设计规范》配置手提式干粉灭火器和推车式干粉灭火器。</w:t>
            </w:r>
          </w:p>
          <w:p>
            <w:pPr>
              <w:adjustRightInd w:val="0"/>
              <w:snapToGrid w:val="0"/>
              <w:ind w:firstLine="420" w:firstLineChars="200"/>
              <w:jc w:val="left"/>
              <w:rPr>
                <w:szCs w:val="21"/>
              </w:rPr>
            </w:pPr>
            <w:r>
              <w:rPr>
                <w:szCs w:val="21"/>
              </w:rPr>
              <w:t>5）操作人员必须经过专门培训，做到持证上岗，并且严格遵守操作规程。</w:t>
            </w:r>
          </w:p>
          <w:p>
            <w:pPr>
              <w:adjustRightInd w:val="0"/>
              <w:snapToGrid w:val="0"/>
              <w:ind w:firstLine="420" w:firstLineChars="200"/>
              <w:jc w:val="left"/>
              <w:rPr>
                <w:szCs w:val="21"/>
              </w:rPr>
            </w:pPr>
            <w:r>
              <w:rPr>
                <w:szCs w:val="21"/>
              </w:rPr>
              <w:t>6）各种生产设备应定期检修保养，确保设备正常运行。</w:t>
            </w:r>
          </w:p>
          <w:p>
            <w:pPr>
              <w:adjustRightInd w:val="0"/>
              <w:snapToGrid w:val="0"/>
              <w:ind w:firstLine="420" w:firstLineChars="200"/>
              <w:jc w:val="left"/>
              <w:rPr>
                <w:szCs w:val="21"/>
              </w:rPr>
            </w:pPr>
            <w:r>
              <w:rPr>
                <w:szCs w:val="21"/>
              </w:rPr>
              <w:t>7）电气和仪表专业设计按照《爆炸危险环境电力装置设计规范》（GB5008-2014）执行，将能产生电火花的设备放在远离现场的配电室内，并采用密闭电器。</w:t>
            </w:r>
          </w:p>
          <w:p>
            <w:pPr>
              <w:adjustRightInd w:val="0"/>
              <w:snapToGrid w:val="0"/>
              <w:ind w:firstLine="420" w:firstLineChars="200"/>
              <w:jc w:val="left"/>
              <w:rPr>
                <w:szCs w:val="21"/>
              </w:rPr>
            </w:pPr>
            <w:r>
              <w:rPr>
                <w:szCs w:val="21"/>
              </w:rPr>
              <w:t>8）对安全及环保管理人员进行安全与环保知识培训，熟悉国家安全生产方针、政策、法规、标准，增强安全意识和法制观念，掌握安全卫生基本知识，具有一定的安全管理和决策能力。</w:t>
            </w:r>
          </w:p>
          <w:p>
            <w:pPr>
              <w:adjustRightInd w:val="0"/>
              <w:snapToGrid w:val="0"/>
              <w:jc w:val="center"/>
              <w:rPr>
                <w:szCs w:val="21"/>
              </w:rPr>
            </w:pPr>
            <w:r>
              <w:rPr>
                <w:szCs w:val="21"/>
              </w:rPr>
              <w:t>9）发生火灾事故应立即上报企业负责人，切断火源，隔离现场，疏散周围群众。需要紧急撤离的情况，应按照统一的撤退信号和方法及时撤退。通过消防灭火，采用干粉、二氧化碳等灭火器灭火，降低燃烧强度。扑灭火灾后，应继续洒水降温、消灭余火，同时需对火灾现场进行保护，接受事故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60" w:type="dxa"/>
            <w:vAlign w:val="center"/>
          </w:tcPr>
          <w:p>
            <w:pPr>
              <w:adjustRightInd w:val="0"/>
              <w:snapToGrid w:val="0"/>
              <w:jc w:val="center"/>
              <w:rPr>
                <w:szCs w:val="21"/>
              </w:rPr>
            </w:pPr>
            <w:r>
              <w:rPr>
                <w:szCs w:val="21"/>
              </w:rPr>
              <w:t>其他环境</w:t>
            </w:r>
          </w:p>
          <w:p>
            <w:pPr>
              <w:adjustRightInd w:val="0"/>
              <w:snapToGrid w:val="0"/>
              <w:jc w:val="center"/>
              <w:rPr>
                <w:spacing w:val="-8"/>
                <w:szCs w:val="21"/>
              </w:rPr>
            </w:pPr>
            <w:r>
              <w:rPr>
                <w:szCs w:val="21"/>
              </w:rPr>
              <w:t>管理要求</w:t>
            </w:r>
          </w:p>
        </w:tc>
        <w:tc>
          <w:tcPr>
            <w:tcW w:w="7859" w:type="dxa"/>
            <w:gridSpan w:val="4"/>
            <w:vAlign w:val="center"/>
          </w:tcPr>
          <w:p>
            <w:pPr>
              <w:adjustRightInd w:val="0"/>
              <w:snapToGrid w:val="0"/>
              <w:ind w:firstLine="420" w:firstLineChars="200"/>
              <w:rPr>
                <w:szCs w:val="21"/>
              </w:rPr>
            </w:pPr>
          </w:p>
          <w:p>
            <w:pPr>
              <w:pStyle w:val="26"/>
              <w:tabs>
                <w:tab w:val="left" w:pos="1470"/>
              </w:tabs>
              <w:spacing w:line="240" w:lineRule="auto"/>
              <w:ind w:firstLine="420"/>
              <w:rPr>
                <w:color w:val="auto"/>
                <w:sz w:val="21"/>
                <w:szCs w:val="21"/>
              </w:rPr>
            </w:pPr>
            <w:r>
              <w:rPr>
                <w:color w:val="auto"/>
                <w:sz w:val="21"/>
                <w:szCs w:val="21"/>
              </w:rPr>
              <w:t>1、环境管理</w:t>
            </w:r>
          </w:p>
          <w:p>
            <w:pPr>
              <w:pStyle w:val="26"/>
              <w:tabs>
                <w:tab w:val="left" w:pos="1470"/>
              </w:tabs>
              <w:spacing w:line="240" w:lineRule="auto"/>
              <w:ind w:firstLine="420"/>
              <w:rPr>
                <w:color w:val="auto"/>
                <w:sz w:val="21"/>
                <w:szCs w:val="21"/>
              </w:rPr>
            </w:pPr>
            <w:r>
              <w:rPr>
                <w:color w:val="auto"/>
                <w:sz w:val="21"/>
                <w:szCs w:val="21"/>
              </w:rPr>
              <w:t>1）环境保护机构的设置</w:t>
            </w:r>
          </w:p>
          <w:p>
            <w:pPr>
              <w:pStyle w:val="26"/>
              <w:tabs>
                <w:tab w:val="left" w:pos="1470"/>
              </w:tabs>
              <w:spacing w:line="240" w:lineRule="auto"/>
              <w:ind w:firstLine="420"/>
              <w:rPr>
                <w:color w:val="auto"/>
                <w:sz w:val="21"/>
                <w:szCs w:val="21"/>
              </w:rPr>
            </w:pPr>
            <w:r>
              <w:rPr>
                <w:color w:val="auto"/>
                <w:sz w:val="21"/>
                <w:szCs w:val="21"/>
              </w:rPr>
              <w:t>根据《建设项目环境保护设计规定》有关要求，应设置环境管理机构，定员1人。也可委托第三方进行日常监测，为环境管理提供可靠的依据。</w:t>
            </w:r>
          </w:p>
          <w:p>
            <w:pPr>
              <w:pStyle w:val="26"/>
              <w:tabs>
                <w:tab w:val="left" w:pos="1470"/>
              </w:tabs>
              <w:spacing w:line="240" w:lineRule="auto"/>
              <w:ind w:firstLine="420"/>
              <w:rPr>
                <w:color w:val="auto"/>
                <w:sz w:val="21"/>
                <w:szCs w:val="21"/>
              </w:rPr>
            </w:pPr>
            <w:r>
              <w:rPr>
                <w:color w:val="auto"/>
                <w:sz w:val="21"/>
                <w:szCs w:val="21"/>
              </w:rPr>
              <w:t>建设单位委托具有监测资质单位进行定期监测。</w:t>
            </w:r>
          </w:p>
          <w:p>
            <w:pPr>
              <w:pStyle w:val="26"/>
              <w:tabs>
                <w:tab w:val="left" w:pos="1470"/>
              </w:tabs>
              <w:spacing w:line="240" w:lineRule="auto"/>
              <w:ind w:firstLine="420"/>
              <w:rPr>
                <w:color w:val="auto"/>
                <w:sz w:val="21"/>
                <w:szCs w:val="21"/>
              </w:rPr>
            </w:pPr>
            <w:r>
              <w:rPr>
                <w:color w:val="auto"/>
                <w:sz w:val="21"/>
                <w:szCs w:val="21"/>
              </w:rPr>
              <w:t>2）环境管理要点</w:t>
            </w:r>
          </w:p>
          <w:p>
            <w:pPr>
              <w:pStyle w:val="26"/>
              <w:tabs>
                <w:tab w:val="left" w:pos="1470"/>
              </w:tabs>
              <w:spacing w:line="240" w:lineRule="auto"/>
              <w:ind w:firstLine="420"/>
              <w:rPr>
                <w:color w:val="auto"/>
                <w:sz w:val="21"/>
                <w:szCs w:val="21"/>
              </w:rPr>
            </w:pPr>
            <w:r>
              <w:rPr>
                <w:color w:val="auto"/>
                <w:sz w:val="21"/>
                <w:szCs w:val="21"/>
              </w:rPr>
              <w:t>①“三同时”验收</w:t>
            </w:r>
          </w:p>
          <w:p>
            <w:pPr>
              <w:pStyle w:val="26"/>
              <w:tabs>
                <w:tab w:val="left" w:pos="1470"/>
              </w:tabs>
              <w:spacing w:line="240" w:lineRule="auto"/>
              <w:ind w:firstLine="420"/>
              <w:rPr>
                <w:color w:val="auto"/>
                <w:sz w:val="21"/>
                <w:szCs w:val="21"/>
              </w:rPr>
            </w:pPr>
            <w:r>
              <w:rPr>
                <w:color w:val="auto"/>
                <w:sz w:val="21"/>
                <w:szCs w:val="21"/>
              </w:rPr>
              <w:t>根据《建设项目环境保护管理条例》及其修改决定（国务院令第682号），建设项目竣工后，建设单位应进行竣工验收，验收通过后项目方可正式投产运行。</w:t>
            </w:r>
          </w:p>
          <w:p>
            <w:pPr>
              <w:pStyle w:val="26"/>
              <w:tabs>
                <w:tab w:val="left" w:pos="1470"/>
              </w:tabs>
              <w:spacing w:line="240" w:lineRule="auto"/>
              <w:ind w:firstLine="420"/>
              <w:rPr>
                <w:color w:val="auto"/>
                <w:sz w:val="21"/>
                <w:szCs w:val="21"/>
              </w:rPr>
            </w:pPr>
            <w:r>
              <w:rPr>
                <w:color w:val="auto"/>
                <w:sz w:val="21"/>
                <w:szCs w:val="21"/>
              </w:rPr>
              <w:t>②制定环境管理文件及实施细则</w:t>
            </w:r>
          </w:p>
          <w:p>
            <w:pPr>
              <w:pStyle w:val="26"/>
              <w:tabs>
                <w:tab w:val="left" w:pos="1470"/>
              </w:tabs>
              <w:spacing w:line="240" w:lineRule="auto"/>
              <w:ind w:firstLine="420"/>
              <w:rPr>
                <w:color w:val="auto"/>
                <w:sz w:val="21"/>
                <w:szCs w:val="21"/>
              </w:rPr>
            </w:pPr>
            <w:r>
              <w:rPr>
                <w:color w:val="auto"/>
                <w:sz w:val="21"/>
                <w:szCs w:val="21"/>
              </w:rPr>
              <w:t>根据国家、地方政府对企业环境管理的基本要求，结合项目的具体情况，制定环境管理文件和实施细则。</w:t>
            </w:r>
          </w:p>
          <w:p>
            <w:pPr>
              <w:pStyle w:val="26"/>
              <w:tabs>
                <w:tab w:val="left" w:pos="1470"/>
              </w:tabs>
              <w:spacing w:line="240" w:lineRule="auto"/>
              <w:ind w:firstLine="420"/>
              <w:rPr>
                <w:color w:val="auto"/>
                <w:sz w:val="21"/>
                <w:szCs w:val="21"/>
              </w:rPr>
            </w:pPr>
            <w:r>
              <w:rPr>
                <w:color w:val="auto"/>
                <w:sz w:val="21"/>
                <w:szCs w:val="21"/>
              </w:rPr>
              <w:t>③信息公开</w:t>
            </w:r>
          </w:p>
          <w:p>
            <w:pPr>
              <w:pStyle w:val="26"/>
              <w:tabs>
                <w:tab w:val="left" w:pos="1470"/>
              </w:tabs>
              <w:spacing w:line="240" w:lineRule="auto"/>
              <w:ind w:firstLine="420"/>
              <w:rPr>
                <w:color w:val="auto"/>
                <w:sz w:val="21"/>
                <w:szCs w:val="21"/>
              </w:rPr>
            </w:pPr>
            <w:r>
              <w:rPr>
                <w:color w:val="auto"/>
                <w:sz w:val="21"/>
                <w:szCs w:val="21"/>
              </w:rPr>
              <w:t>根据《建设项目环境保护事中事后监督管理办法（试行）》要求，建设单位应当主动向社会公开建设项目环境影响评价文件、污染防治设施建设运行情况、污染物排放情况、突发环境事件应急预案及应对情况等环境信息。</w:t>
            </w:r>
          </w:p>
          <w:p>
            <w:pPr>
              <w:pStyle w:val="26"/>
              <w:tabs>
                <w:tab w:val="left" w:pos="1470"/>
              </w:tabs>
              <w:spacing w:line="240" w:lineRule="auto"/>
              <w:ind w:firstLine="420"/>
              <w:rPr>
                <w:color w:val="auto"/>
                <w:sz w:val="21"/>
                <w:szCs w:val="21"/>
              </w:rPr>
            </w:pPr>
            <w:r>
              <w:rPr>
                <w:color w:val="auto"/>
                <w:sz w:val="21"/>
                <w:szCs w:val="21"/>
              </w:rPr>
              <w:t>2、环境保护图形标志</w:t>
            </w:r>
          </w:p>
          <w:p>
            <w:pPr>
              <w:pStyle w:val="26"/>
              <w:tabs>
                <w:tab w:val="left" w:pos="1470"/>
              </w:tabs>
              <w:spacing w:line="240" w:lineRule="auto"/>
              <w:ind w:firstLine="420"/>
              <w:rPr>
                <w:color w:val="auto"/>
                <w:sz w:val="21"/>
                <w:szCs w:val="21"/>
              </w:rPr>
            </w:pPr>
            <w:r>
              <w:rPr>
                <w:color w:val="auto"/>
                <w:sz w:val="21"/>
                <w:szCs w:val="21"/>
              </w:rPr>
              <w:t>在废气排放口，噪声排放源，一般工业固废贮存处置场所应设置环境保护图形标志，图形符号分为提示图形和警告图形符号两种，分别按GB15562.1-1995、GB15562.2-1995修改单来执行。环境保护图形符号见下表。</w:t>
            </w:r>
          </w:p>
          <w:p>
            <w:pPr>
              <w:adjustRightInd w:val="0"/>
              <w:snapToGrid w:val="0"/>
              <w:ind w:firstLine="420" w:firstLineChars="200"/>
              <w:jc w:val="left"/>
              <w:rPr>
                <w:szCs w:val="21"/>
              </w:rPr>
            </w:pPr>
            <w:r>
              <w:rPr>
                <w:szCs w:val="21"/>
              </w:rPr>
              <w:t>3、建设项目竣工环境保护验收</w:t>
            </w:r>
          </w:p>
          <w:p>
            <w:pPr>
              <w:adjustRightInd w:val="0"/>
              <w:snapToGrid w:val="0"/>
              <w:ind w:firstLine="420" w:firstLineChars="200"/>
              <w:jc w:val="left"/>
              <w:rPr>
                <w:szCs w:val="21"/>
              </w:rPr>
            </w:pPr>
            <w:r>
              <w:rPr>
                <w:szCs w:val="21"/>
              </w:rPr>
              <w:t>根据《建设项目环境保护管理条例》 要求，编制环境影响报告表的建设项目竣工后，建设单位应当按照国务院环境保护行政主管部门规定的标准和程序，对配套建设的环境保护设施进行验收，编制验收报告。</w:t>
            </w:r>
          </w:p>
          <w:p>
            <w:pPr>
              <w:numPr>
                <w:ilvl w:val="0"/>
                <w:numId w:val="8"/>
              </w:numPr>
              <w:adjustRightInd w:val="0"/>
              <w:snapToGrid w:val="0"/>
              <w:ind w:firstLine="420" w:firstLineChars="200"/>
              <w:jc w:val="left"/>
              <w:rPr>
                <w:szCs w:val="21"/>
              </w:rPr>
            </w:pPr>
            <w:r>
              <w:rPr>
                <w:szCs w:val="21"/>
              </w:rPr>
              <w:t>按照《排污许可管理条例》 、《山东省生态环境厅关于加强排污许可管理工作的通知》（鲁环函〔2020〕14号）和《固定污染源排污许可分类管理名录》（2019年版）要求，企业应当在本项目投入生产或使用并产生实际排污行为之前完成排污许可登记变更。</w:t>
            </w:r>
          </w:p>
          <w:p>
            <w:pPr>
              <w:numPr>
                <w:ilvl w:val="0"/>
                <w:numId w:val="8"/>
              </w:numPr>
              <w:adjustRightInd w:val="0"/>
              <w:snapToGrid w:val="0"/>
              <w:ind w:firstLine="420" w:firstLineChars="200"/>
              <w:jc w:val="left"/>
            </w:pPr>
            <w:r>
              <w:rPr>
                <w:szCs w:val="21"/>
              </w:rPr>
              <w:t xml:space="preserve">按照计划定期开展自行监测；根据《企业事业单位环境信息公开办法》定期公开环境信息。 </w:t>
            </w:r>
          </w:p>
        </w:tc>
      </w:tr>
    </w:tbl>
    <w:p>
      <w:pPr>
        <w:pStyle w:val="39"/>
        <w:sectPr>
          <w:pgSz w:w="11907" w:h="16840"/>
          <w:pgMar w:top="1701" w:right="1531" w:bottom="2127" w:left="1531" w:header="851" w:footer="851" w:gutter="0"/>
          <w:cols w:space="720" w:num="1"/>
          <w:docGrid w:linePitch="312" w:charSpace="0"/>
        </w:sectPr>
      </w:pPr>
    </w:p>
    <w:p>
      <w:pPr>
        <w:pStyle w:val="34"/>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六、结论</w:t>
      </w:r>
    </w:p>
    <w:tbl>
      <w:tblPr>
        <w:tblStyle w:val="40"/>
        <w:tblW w:w="924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4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991" w:hRule="atLeast"/>
          <w:jc w:val="center"/>
        </w:trPr>
        <w:tc>
          <w:tcPr>
            <w:tcW w:w="9248" w:type="dxa"/>
            <w:vAlign w:val="center"/>
          </w:tcPr>
          <w:p>
            <w:pPr>
              <w:spacing w:line="360" w:lineRule="auto"/>
              <w:ind w:firstLine="420" w:firstLineChars="200"/>
            </w:pPr>
            <w:r>
              <w:t>本项目符合国家产业政策，项目选址符合用地性质要求，符合“三线一单”等相关规划要求，在各种污染防治措施落实的条件下，各项污染物达标排放，其对周围环境的影响可满足环境保护的要求。从环境保护角度分析，项目建设是可行的。</w:t>
            </w:r>
          </w:p>
          <w:p>
            <w:pPr>
              <w:pStyle w:val="39"/>
            </w:pPr>
          </w:p>
        </w:tc>
      </w:tr>
    </w:tbl>
    <w:p>
      <w:pPr>
        <w:ind w:firstLine="422"/>
        <w:sectPr>
          <w:pgSz w:w="11907" w:h="16840"/>
          <w:pgMar w:top="1701" w:right="1531" w:bottom="2127" w:left="1531" w:header="851" w:footer="851" w:gutter="0"/>
          <w:cols w:space="720" w:num="1"/>
          <w:docGrid w:linePitch="312" w:charSpace="0"/>
        </w:sectPr>
      </w:pPr>
    </w:p>
    <w:p>
      <w:pPr>
        <w:pStyle w:val="34"/>
        <w:adjustRightInd w:val="0"/>
        <w:snapToGrid w:val="0"/>
        <w:spacing w:before="0" w:beforeAutospacing="0" w:after="0" w:afterAutospacing="0" w:line="360" w:lineRule="auto"/>
        <w:ind w:firstLine="643"/>
        <w:outlineLvl w:val="0"/>
        <w:rPr>
          <w:rFonts w:ascii="Times New Roman" w:hAnsi="Times New Roman" w:eastAsia="黑体"/>
          <w:snapToGrid w:val="0"/>
          <w:sz w:val="32"/>
          <w:szCs w:val="32"/>
        </w:rPr>
      </w:pPr>
      <w:r>
        <w:rPr>
          <w:rFonts w:ascii="Times New Roman" w:hAnsi="Times New Roman" w:eastAsia="黑体"/>
          <w:snapToGrid w:val="0"/>
          <w:sz w:val="32"/>
          <w:szCs w:val="32"/>
        </w:rPr>
        <w:t>附表</w:t>
      </w:r>
    </w:p>
    <w:p>
      <w:pPr>
        <w:pStyle w:val="34"/>
        <w:adjustRightInd w:val="0"/>
        <w:snapToGrid w:val="0"/>
        <w:spacing w:before="0" w:beforeAutospacing="0" w:after="0" w:afterAutospacing="0" w:line="552" w:lineRule="auto"/>
        <w:ind w:firstLine="760"/>
        <w:jc w:val="center"/>
        <w:outlineLvl w:val="0"/>
        <w:rPr>
          <w:rFonts w:ascii="Times New Roman" w:hAnsi="Times New Roman" w:eastAsia="方正小标宋_GBK"/>
          <w:snapToGrid w:val="0"/>
          <w:sz w:val="38"/>
          <w:szCs w:val="38"/>
        </w:rPr>
      </w:pPr>
      <w:r>
        <w:rPr>
          <w:rFonts w:ascii="Times New Roman" w:hAnsi="Times New Roman" w:eastAsia="方正小标宋_GBK"/>
          <w:snapToGrid w:val="0"/>
          <w:sz w:val="38"/>
          <w:szCs w:val="38"/>
        </w:rPr>
        <w:t>建设项目污染物排放量汇总表</w:t>
      </w:r>
    </w:p>
    <w:tbl>
      <w:tblPr>
        <w:tblStyle w:val="40"/>
        <w:tblW w:w="4997"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780"/>
        <w:gridCol w:w="1586"/>
        <w:gridCol w:w="1905"/>
        <w:gridCol w:w="1429"/>
        <w:gridCol w:w="1905"/>
        <w:gridCol w:w="1747"/>
        <w:gridCol w:w="1589"/>
        <w:gridCol w:w="1905"/>
        <w:gridCol w:w="159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576" w:type="pct"/>
            <w:tcBorders>
              <w:tl2br w:val="single" w:color="auto" w:sz="4" w:space="0"/>
            </w:tcBorders>
            <w:tcMar>
              <w:left w:w="28" w:type="dxa"/>
              <w:right w:w="28" w:type="dxa"/>
            </w:tcMar>
            <w:vAlign w:val="center"/>
          </w:tcPr>
          <w:p>
            <w:pPr>
              <w:pStyle w:val="79"/>
              <w:spacing w:beforeLines="0" w:afterLines="0" w:line="240" w:lineRule="auto"/>
              <w:ind w:firstLine="410"/>
              <w:rPr>
                <w:rFonts w:ascii="Times New Roman" w:eastAsia="黑体"/>
                <w:snapToGrid w:val="0"/>
                <w:spacing w:val="-6"/>
                <w:kern w:val="21"/>
                <w:szCs w:val="21"/>
              </w:rPr>
            </w:pPr>
            <w:r>
              <w:rPr>
                <w:rFonts w:ascii="Times New Roman" w:eastAsia="黑体"/>
                <w:snapToGrid w:val="0"/>
                <w:spacing w:val="-6"/>
                <w:kern w:val="21"/>
                <w:szCs w:val="21"/>
              </w:rPr>
              <w:t xml:space="preserve">    项目</w:t>
            </w:r>
          </w:p>
          <w:p>
            <w:pPr>
              <w:pStyle w:val="79"/>
              <w:spacing w:beforeLines="0" w:afterLines="0" w:line="240" w:lineRule="auto"/>
              <w:jc w:val="both"/>
              <w:rPr>
                <w:rFonts w:ascii="Times New Roman" w:eastAsia="黑体"/>
                <w:snapToGrid w:val="0"/>
                <w:spacing w:val="-6"/>
                <w:kern w:val="21"/>
                <w:szCs w:val="21"/>
              </w:rPr>
            </w:pPr>
            <w:r>
              <w:rPr>
                <w:rFonts w:ascii="Times New Roman" w:eastAsia="黑体"/>
                <w:snapToGrid w:val="0"/>
                <w:spacing w:val="-6"/>
                <w:kern w:val="21"/>
                <w:szCs w:val="21"/>
              </w:rPr>
              <w:t>分类</w:t>
            </w:r>
          </w:p>
        </w:tc>
        <w:tc>
          <w:tcPr>
            <w:tcW w:w="513" w:type="pct"/>
            <w:tcMar>
              <w:left w:w="28" w:type="dxa"/>
              <w:right w:w="28" w:type="dxa"/>
            </w:tcMar>
            <w:vAlign w:val="center"/>
          </w:tcPr>
          <w:p>
            <w:pPr>
              <w:pStyle w:val="7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污染物名称</w:t>
            </w:r>
          </w:p>
        </w:tc>
        <w:tc>
          <w:tcPr>
            <w:tcW w:w="616" w:type="pct"/>
            <w:tcMar>
              <w:left w:w="28" w:type="dxa"/>
              <w:right w:w="28" w:type="dxa"/>
            </w:tcMar>
            <w:vAlign w:val="center"/>
          </w:tcPr>
          <w:p>
            <w:pPr>
              <w:pStyle w:val="7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现有工程</w:t>
            </w:r>
          </w:p>
          <w:p>
            <w:pPr>
              <w:pStyle w:val="7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1 \* GB3 \* MERGEFORMAT </w:instrText>
            </w:r>
            <w:r>
              <w:rPr>
                <w:rFonts w:ascii="Times New Roman" w:eastAsia="黑体"/>
                <w:snapToGrid w:val="0"/>
                <w:spacing w:val="-6"/>
                <w:kern w:val="21"/>
                <w:szCs w:val="21"/>
              </w:rPr>
              <w:fldChar w:fldCharType="separate"/>
            </w:r>
            <w:r>
              <w:rPr>
                <w:rFonts w:ascii="Times New Roman" w:eastAsia="黑体"/>
                <w:snapToGrid w:val="0"/>
                <w:spacing w:val="-6"/>
                <w:kern w:val="21"/>
                <w:szCs w:val="21"/>
              </w:rPr>
              <w:t>①</w:t>
            </w:r>
            <w:r>
              <w:rPr>
                <w:rFonts w:ascii="Times New Roman" w:eastAsia="黑体"/>
                <w:snapToGrid w:val="0"/>
                <w:spacing w:val="-6"/>
                <w:kern w:val="21"/>
                <w:szCs w:val="21"/>
              </w:rPr>
              <w:fldChar w:fldCharType="end"/>
            </w:r>
          </w:p>
        </w:tc>
        <w:tc>
          <w:tcPr>
            <w:tcW w:w="462" w:type="pct"/>
            <w:tcMar>
              <w:left w:w="28" w:type="dxa"/>
              <w:right w:w="28" w:type="dxa"/>
            </w:tcMar>
            <w:vAlign w:val="center"/>
          </w:tcPr>
          <w:p>
            <w:pPr>
              <w:pStyle w:val="7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现有工程</w:t>
            </w:r>
          </w:p>
          <w:p>
            <w:pPr>
              <w:pStyle w:val="7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许可排放量</w:t>
            </w:r>
          </w:p>
          <w:p>
            <w:pPr>
              <w:pStyle w:val="7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2 \* GB3 \* MERGEFORMAT </w:instrText>
            </w:r>
            <w:r>
              <w:rPr>
                <w:rFonts w:ascii="Times New Roman" w:eastAsia="黑体"/>
                <w:snapToGrid w:val="0"/>
                <w:spacing w:val="-6"/>
                <w:kern w:val="21"/>
                <w:szCs w:val="21"/>
              </w:rPr>
              <w:fldChar w:fldCharType="separate"/>
            </w:r>
            <w:r>
              <w:rPr>
                <w:rFonts w:ascii="Times New Roman" w:eastAsia="黑体"/>
                <w:snapToGrid w:val="0"/>
                <w:spacing w:val="-6"/>
                <w:kern w:val="21"/>
                <w:szCs w:val="21"/>
              </w:rPr>
              <w:t>②</w:t>
            </w:r>
            <w:r>
              <w:rPr>
                <w:rFonts w:ascii="Times New Roman" w:eastAsia="黑体"/>
                <w:snapToGrid w:val="0"/>
                <w:spacing w:val="-6"/>
                <w:kern w:val="21"/>
                <w:szCs w:val="21"/>
              </w:rPr>
              <w:fldChar w:fldCharType="end"/>
            </w:r>
          </w:p>
        </w:tc>
        <w:tc>
          <w:tcPr>
            <w:tcW w:w="616" w:type="pct"/>
            <w:tcMar>
              <w:left w:w="28" w:type="dxa"/>
              <w:right w:w="28" w:type="dxa"/>
            </w:tcMar>
            <w:vAlign w:val="center"/>
          </w:tcPr>
          <w:p>
            <w:pPr>
              <w:pStyle w:val="7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在建工程</w:t>
            </w:r>
          </w:p>
          <w:p>
            <w:pPr>
              <w:pStyle w:val="7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3 \* GB3 \* MERGEFORMAT </w:instrText>
            </w:r>
            <w:r>
              <w:rPr>
                <w:rFonts w:ascii="Times New Roman" w:eastAsia="黑体"/>
                <w:snapToGrid w:val="0"/>
                <w:spacing w:val="-6"/>
                <w:kern w:val="21"/>
                <w:szCs w:val="21"/>
              </w:rPr>
              <w:fldChar w:fldCharType="separate"/>
            </w:r>
            <w:r>
              <w:rPr>
                <w:rFonts w:ascii="Times New Roman" w:eastAsia="黑体"/>
                <w:snapToGrid w:val="0"/>
                <w:spacing w:val="-6"/>
                <w:kern w:val="21"/>
                <w:szCs w:val="21"/>
              </w:rPr>
              <w:t>③</w:t>
            </w:r>
            <w:r>
              <w:rPr>
                <w:rFonts w:ascii="Times New Roman" w:eastAsia="黑体"/>
                <w:snapToGrid w:val="0"/>
                <w:spacing w:val="-6"/>
                <w:kern w:val="21"/>
                <w:szCs w:val="21"/>
              </w:rPr>
              <w:fldChar w:fldCharType="end"/>
            </w:r>
          </w:p>
        </w:tc>
        <w:tc>
          <w:tcPr>
            <w:tcW w:w="565" w:type="pct"/>
            <w:tcMar>
              <w:left w:w="28" w:type="dxa"/>
              <w:right w:w="28" w:type="dxa"/>
            </w:tcMar>
            <w:vAlign w:val="center"/>
          </w:tcPr>
          <w:p>
            <w:pPr>
              <w:pStyle w:val="7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本项目</w:t>
            </w:r>
          </w:p>
          <w:p>
            <w:pPr>
              <w:pStyle w:val="7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4 \* GB3 \* MERGEFORMAT </w:instrText>
            </w:r>
            <w:r>
              <w:rPr>
                <w:rFonts w:ascii="Times New Roman" w:eastAsia="黑体"/>
                <w:snapToGrid w:val="0"/>
                <w:spacing w:val="-6"/>
                <w:kern w:val="21"/>
                <w:szCs w:val="21"/>
              </w:rPr>
              <w:fldChar w:fldCharType="separate"/>
            </w:r>
            <w:r>
              <w:rPr>
                <w:rFonts w:ascii="Times New Roman" w:eastAsia="黑体"/>
                <w:snapToGrid w:val="0"/>
                <w:spacing w:val="-6"/>
                <w:kern w:val="21"/>
                <w:szCs w:val="21"/>
              </w:rPr>
              <w:t>④</w:t>
            </w:r>
            <w:r>
              <w:rPr>
                <w:rFonts w:ascii="Times New Roman" w:eastAsia="黑体"/>
                <w:snapToGrid w:val="0"/>
                <w:spacing w:val="-6"/>
                <w:kern w:val="21"/>
                <w:szCs w:val="21"/>
              </w:rPr>
              <w:fldChar w:fldCharType="end"/>
            </w:r>
          </w:p>
        </w:tc>
        <w:tc>
          <w:tcPr>
            <w:tcW w:w="514" w:type="pct"/>
            <w:tcMar>
              <w:left w:w="28" w:type="dxa"/>
              <w:right w:w="28" w:type="dxa"/>
            </w:tcMar>
            <w:vAlign w:val="center"/>
          </w:tcPr>
          <w:p>
            <w:pPr>
              <w:pStyle w:val="7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以新带老削减量</w:t>
            </w:r>
          </w:p>
          <w:p>
            <w:pPr>
              <w:pStyle w:val="7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（新建项目不填）</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5 \* GB3 \* MERGEFORMAT </w:instrText>
            </w:r>
            <w:r>
              <w:rPr>
                <w:rFonts w:ascii="Times New Roman" w:eastAsia="黑体"/>
                <w:snapToGrid w:val="0"/>
                <w:spacing w:val="-6"/>
                <w:kern w:val="21"/>
                <w:szCs w:val="21"/>
              </w:rPr>
              <w:fldChar w:fldCharType="separate"/>
            </w:r>
            <w:r>
              <w:rPr>
                <w:rFonts w:ascii="Times New Roman" w:eastAsia="黑体"/>
                <w:snapToGrid w:val="0"/>
                <w:spacing w:val="-6"/>
                <w:kern w:val="21"/>
                <w:szCs w:val="21"/>
              </w:rPr>
              <w:t>⑤</w:t>
            </w:r>
            <w:r>
              <w:rPr>
                <w:rFonts w:ascii="Times New Roman" w:eastAsia="黑体"/>
                <w:snapToGrid w:val="0"/>
                <w:spacing w:val="-6"/>
                <w:kern w:val="21"/>
                <w:szCs w:val="21"/>
              </w:rPr>
              <w:fldChar w:fldCharType="end"/>
            </w:r>
          </w:p>
        </w:tc>
        <w:tc>
          <w:tcPr>
            <w:tcW w:w="616" w:type="pct"/>
            <w:tcMar>
              <w:left w:w="28" w:type="dxa"/>
              <w:right w:w="28" w:type="dxa"/>
            </w:tcMar>
            <w:vAlign w:val="center"/>
          </w:tcPr>
          <w:p>
            <w:pPr>
              <w:pStyle w:val="7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本项目建成后</w:t>
            </w:r>
          </w:p>
          <w:p>
            <w:pPr>
              <w:pStyle w:val="7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全厂排放量（固体废物产生量）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6 \* GB3 \* MERGEFORMAT </w:instrText>
            </w:r>
            <w:r>
              <w:rPr>
                <w:rFonts w:ascii="Times New Roman" w:eastAsia="黑体"/>
                <w:snapToGrid w:val="0"/>
                <w:spacing w:val="-6"/>
                <w:kern w:val="21"/>
                <w:szCs w:val="21"/>
              </w:rPr>
              <w:fldChar w:fldCharType="separate"/>
            </w:r>
            <w:r>
              <w:rPr>
                <w:rFonts w:ascii="Times New Roman" w:eastAsia="黑体"/>
                <w:snapToGrid w:val="0"/>
                <w:spacing w:val="-6"/>
                <w:kern w:val="21"/>
                <w:szCs w:val="21"/>
              </w:rPr>
              <w:t>⑥</w:t>
            </w:r>
            <w:r>
              <w:rPr>
                <w:rFonts w:ascii="Times New Roman" w:eastAsia="黑体"/>
                <w:snapToGrid w:val="0"/>
                <w:spacing w:val="-6"/>
                <w:kern w:val="21"/>
                <w:szCs w:val="21"/>
              </w:rPr>
              <w:fldChar w:fldCharType="end"/>
            </w:r>
          </w:p>
        </w:tc>
        <w:tc>
          <w:tcPr>
            <w:tcW w:w="517" w:type="pct"/>
            <w:tcMar>
              <w:left w:w="28" w:type="dxa"/>
              <w:right w:w="28" w:type="dxa"/>
            </w:tcMar>
            <w:vAlign w:val="center"/>
          </w:tcPr>
          <w:p>
            <w:pPr>
              <w:pStyle w:val="7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变化量</w:t>
            </w:r>
          </w:p>
          <w:p>
            <w:pPr>
              <w:pStyle w:val="79"/>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7 \* GB3 \* MERGEFORMAT </w:instrText>
            </w:r>
            <w:r>
              <w:rPr>
                <w:rFonts w:ascii="Times New Roman" w:eastAsia="黑体"/>
                <w:snapToGrid w:val="0"/>
                <w:spacing w:val="-6"/>
                <w:kern w:val="21"/>
                <w:szCs w:val="21"/>
              </w:rPr>
              <w:fldChar w:fldCharType="separate"/>
            </w:r>
            <w:r>
              <w:rPr>
                <w:rFonts w:ascii="Times New Roman" w:eastAsia="黑体"/>
                <w:snapToGrid w:val="0"/>
                <w:spacing w:val="-6"/>
                <w:kern w:val="21"/>
                <w:szCs w:val="21"/>
              </w:rPr>
              <w:t>⑦</w:t>
            </w:r>
            <w:r>
              <w:rPr>
                <w:rFonts w:ascii="Times New Roman" w:eastAsia="黑体"/>
                <w:snapToGrid w:val="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576" w:type="pct"/>
            <w:vAlign w:val="center"/>
          </w:tcPr>
          <w:p>
            <w:pPr>
              <w:pStyle w:val="79"/>
              <w:spacing w:beforeLines="0" w:afterLines="0" w:line="0" w:lineRule="atLeast"/>
              <w:rPr>
                <w:rFonts w:ascii="Times New Roman"/>
                <w:snapToGrid w:val="0"/>
                <w:kern w:val="21"/>
                <w:szCs w:val="21"/>
              </w:rPr>
            </w:pPr>
            <w:r>
              <w:rPr>
                <w:rFonts w:ascii="Times New Roman"/>
                <w:snapToGrid w:val="0"/>
                <w:kern w:val="21"/>
                <w:szCs w:val="21"/>
              </w:rPr>
              <w:t>废气</w:t>
            </w:r>
          </w:p>
        </w:tc>
        <w:tc>
          <w:tcPr>
            <w:tcW w:w="513" w:type="pct"/>
            <w:vAlign w:val="center"/>
          </w:tcPr>
          <w:p>
            <w:pPr>
              <w:snapToGrid w:val="0"/>
              <w:spacing w:line="0" w:lineRule="atLeast"/>
              <w:jc w:val="center"/>
              <w:rPr>
                <w:bCs/>
                <w:kern w:val="0"/>
                <w:szCs w:val="21"/>
              </w:rPr>
            </w:pPr>
            <w:r>
              <w:rPr>
                <w:bCs/>
                <w:kern w:val="0"/>
                <w:szCs w:val="21"/>
              </w:rPr>
              <w:t>颗粒物</w:t>
            </w:r>
          </w:p>
        </w:tc>
        <w:tc>
          <w:tcPr>
            <w:tcW w:w="616" w:type="pct"/>
            <w:tcBorders>
              <w:bottom w:val="single" w:color="auto" w:sz="4" w:space="0"/>
            </w:tcBorders>
            <w:vAlign w:val="center"/>
          </w:tcPr>
          <w:p>
            <w:pPr>
              <w:pStyle w:val="79"/>
              <w:spacing w:beforeLines="0" w:afterLines="0" w:line="0" w:lineRule="atLeast"/>
              <w:rPr>
                <w:rFonts w:ascii="Times New Roman"/>
                <w:bCs/>
                <w:szCs w:val="21"/>
              </w:rPr>
            </w:pPr>
            <w:r>
              <w:rPr>
                <w:rFonts w:ascii="Times New Roman"/>
                <w:bCs/>
                <w:szCs w:val="21"/>
              </w:rPr>
              <w:t>/</w:t>
            </w:r>
          </w:p>
        </w:tc>
        <w:tc>
          <w:tcPr>
            <w:tcW w:w="462" w:type="pct"/>
            <w:vAlign w:val="center"/>
          </w:tcPr>
          <w:p>
            <w:pPr>
              <w:pStyle w:val="79"/>
              <w:spacing w:beforeLines="0" w:afterLines="0" w:line="0" w:lineRule="atLeast"/>
              <w:rPr>
                <w:rFonts w:ascii="Times New Roman"/>
                <w:bCs/>
                <w:szCs w:val="21"/>
              </w:rPr>
            </w:pPr>
            <w:r>
              <w:rPr>
                <w:rFonts w:ascii="Times New Roman"/>
                <w:bCs/>
                <w:szCs w:val="21"/>
              </w:rPr>
              <w:t>/</w:t>
            </w:r>
          </w:p>
        </w:tc>
        <w:tc>
          <w:tcPr>
            <w:tcW w:w="616" w:type="pct"/>
            <w:vAlign w:val="center"/>
          </w:tcPr>
          <w:p>
            <w:pPr>
              <w:pStyle w:val="79"/>
              <w:spacing w:beforeLines="0" w:afterLines="0" w:line="0" w:lineRule="atLeast"/>
              <w:rPr>
                <w:rFonts w:ascii="Times New Roman"/>
                <w:bCs/>
                <w:szCs w:val="21"/>
              </w:rPr>
            </w:pPr>
            <w:r>
              <w:rPr>
                <w:rFonts w:ascii="Times New Roman"/>
                <w:bCs/>
                <w:szCs w:val="21"/>
              </w:rPr>
              <w:t>/</w:t>
            </w:r>
          </w:p>
        </w:tc>
        <w:tc>
          <w:tcPr>
            <w:tcW w:w="1747" w:type="dxa"/>
            <w:vAlign w:val="center"/>
          </w:tcPr>
          <w:p>
            <w:pPr>
              <w:pStyle w:val="79"/>
              <w:spacing w:beforeLines="0" w:afterLines="0" w:line="0" w:lineRule="atLeast"/>
              <w:rPr>
                <w:rFonts w:ascii="Times New Roman"/>
                <w:bCs/>
                <w:color w:val="0000FF"/>
                <w:szCs w:val="21"/>
              </w:rPr>
            </w:pPr>
            <w:r>
              <w:rPr>
                <w:rFonts w:hint="eastAsia" w:ascii="Times New Roman"/>
                <w:bCs/>
                <w:color w:val="0000FF"/>
                <w:szCs w:val="21"/>
              </w:rPr>
              <w:t>3.7076</w:t>
            </w:r>
            <w:r>
              <w:rPr>
                <w:rFonts w:ascii="Times New Roman"/>
                <w:bCs/>
                <w:color w:val="0000FF"/>
                <w:szCs w:val="21"/>
              </w:rPr>
              <w:t>t/a</w:t>
            </w:r>
          </w:p>
        </w:tc>
        <w:tc>
          <w:tcPr>
            <w:tcW w:w="1589" w:type="dxa"/>
            <w:tcBorders>
              <w:bottom w:val="single" w:color="auto" w:sz="4" w:space="0"/>
            </w:tcBorders>
            <w:vAlign w:val="center"/>
          </w:tcPr>
          <w:p>
            <w:pPr>
              <w:pStyle w:val="79"/>
              <w:spacing w:beforeLines="0" w:afterLines="0" w:line="0" w:lineRule="atLeast"/>
              <w:rPr>
                <w:rFonts w:ascii="Times New Roman"/>
                <w:bCs/>
                <w:color w:val="0000FF"/>
                <w:szCs w:val="21"/>
              </w:rPr>
            </w:pPr>
            <w:r>
              <w:rPr>
                <w:rFonts w:ascii="Times New Roman"/>
                <w:bCs/>
                <w:color w:val="0000FF"/>
                <w:szCs w:val="21"/>
              </w:rPr>
              <w:t>/</w:t>
            </w:r>
          </w:p>
        </w:tc>
        <w:tc>
          <w:tcPr>
            <w:tcW w:w="1905" w:type="dxa"/>
            <w:vAlign w:val="center"/>
          </w:tcPr>
          <w:p>
            <w:pPr>
              <w:spacing w:line="0" w:lineRule="atLeast"/>
              <w:jc w:val="center"/>
              <w:rPr>
                <w:bCs/>
                <w:color w:val="0000FF"/>
                <w:szCs w:val="21"/>
              </w:rPr>
            </w:pPr>
            <w:r>
              <w:rPr>
                <w:rFonts w:hint="eastAsia"/>
                <w:bCs/>
                <w:color w:val="0000FF"/>
                <w:szCs w:val="21"/>
              </w:rPr>
              <w:t>3.7076</w:t>
            </w:r>
            <w:r>
              <w:rPr>
                <w:bCs/>
                <w:color w:val="0000FF"/>
                <w:szCs w:val="21"/>
              </w:rPr>
              <w:t>t/a</w:t>
            </w:r>
          </w:p>
        </w:tc>
        <w:tc>
          <w:tcPr>
            <w:tcW w:w="1599" w:type="dxa"/>
            <w:vAlign w:val="center"/>
          </w:tcPr>
          <w:p>
            <w:pPr>
              <w:spacing w:line="0" w:lineRule="atLeast"/>
              <w:jc w:val="center"/>
              <w:rPr>
                <w:bCs/>
                <w:color w:val="0000FF"/>
                <w:szCs w:val="21"/>
              </w:rPr>
            </w:pPr>
            <w:r>
              <w:rPr>
                <w:rFonts w:hint="eastAsia"/>
                <w:bCs/>
                <w:color w:val="0000FF"/>
                <w:szCs w:val="21"/>
              </w:rPr>
              <w:t>+3.7076</w:t>
            </w:r>
            <w:r>
              <w:rPr>
                <w:bCs/>
                <w:color w:val="0000FF"/>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576" w:type="pct"/>
            <w:vMerge w:val="restart"/>
            <w:vAlign w:val="center"/>
          </w:tcPr>
          <w:p>
            <w:pPr>
              <w:pStyle w:val="79"/>
              <w:spacing w:beforeLines="0" w:afterLines="0" w:line="0" w:lineRule="atLeast"/>
              <w:rPr>
                <w:rFonts w:ascii="Times New Roman"/>
                <w:snapToGrid w:val="0"/>
                <w:kern w:val="21"/>
                <w:szCs w:val="21"/>
              </w:rPr>
            </w:pPr>
            <w:r>
              <w:rPr>
                <w:rFonts w:ascii="Times New Roman"/>
                <w:snapToGrid w:val="0"/>
                <w:kern w:val="21"/>
                <w:szCs w:val="21"/>
              </w:rPr>
              <w:t>废水</w:t>
            </w:r>
          </w:p>
        </w:tc>
        <w:tc>
          <w:tcPr>
            <w:tcW w:w="513" w:type="pct"/>
            <w:vAlign w:val="center"/>
          </w:tcPr>
          <w:p>
            <w:pPr>
              <w:snapToGrid w:val="0"/>
              <w:spacing w:line="0" w:lineRule="atLeast"/>
              <w:jc w:val="center"/>
              <w:rPr>
                <w:bCs/>
                <w:kern w:val="0"/>
                <w:szCs w:val="21"/>
              </w:rPr>
            </w:pPr>
            <w:r>
              <w:rPr>
                <w:bCs/>
                <w:kern w:val="0"/>
                <w:szCs w:val="21"/>
              </w:rPr>
              <w:t>COD</w:t>
            </w:r>
          </w:p>
        </w:tc>
        <w:tc>
          <w:tcPr>
            <w:tcW w:w="616" w:type="pct"/>
            <w:vAlign w:val="center"/>
          </w:tcPr>
          <w:p>
            <w:pPr>
              <w:pStyle w:val="79"/>
              <w:spacing w:beforeLines="0" w:afterLines="0" w:line="0" w:lineRule="atLeast"/>
              <w:rPr>
                <w:rFonts w:ascii="Times New Roman"/>
                <w:bCs/>
                <w:szCs w:val="21"/>
              </w:rPr>
            </w:pPr>
            <w:r>
              <w:rPr>
                <w:rFonts w:ascii="Times New Roman"/>
                <w:bCs/>
                <w:szCs w:val="21"/>
              </w:rPr>
              <w:t>/</w:t>
            </w:r>
          </w:p>
        </w:tc>
        <w:tc>
          <w:tcPr>
            <w:tcW w:w="462" w:type="pct"/>
            <w:vAlign w:val="center"/>
          </w:tcPr>
          <w:p>
            <w:pPr>
              <w:pStyle w:val="79"/>
              <w:spacing w:beforeLines="0" w:afterLines="0" w:line="0" w:lineRule="atLeast"/>
              <w:rPr>
                <w:rFonts w:ascii="Times New Roman"/>
                <w:bCs/>
                <w:szCs w:val="21"/>
              </w:rPr>
            </w:pPr>
            <w:r>
              <w:rPr>
                <w:rFonts w:ascii="Times New Roman"/>
                <w:bCs/>
                <w:szCs w:val="21"/>
              </w:rPr>
              <w:t>/</w:t>
            </w:r>
          </w:p>
        </w:tc>
        <w:tc>
          <w:tcPr>
            <w:tcW w:w="616" w:type="pct"/>
            <w:vAlign w:val="center"/>
          </w:tcPr>
          <w:p>
            <w:pPr>
              <w:pStyle w:val="79"/>
              <w:spacing w:beforeLines="0" w:afterLines="0" w:line="0" w:lineRule="atLeast"/>
              <w:rPr>
                <w:rFonts w:ascii="Times New Roman"/>
                <w:bCs/>
                <w:szCs w:val="21"/>
              </w:rPr>
            </w:pPr>
            <w:r>
              <w:rPr>
                <w:rFonts w:ascii="Times New Roman"/>
                <w:bCs/>
                <w:szCs w:val="21"/>
              </w:rPr>
              <w:t>/</w:t>
            </w:r>
          </w:p>
        </w:tc>
        <w:tc>
          <w:tcPr>
            <w:tcW w:w="565" w:type="pct"/>
            <w:vAlign w:val="center"/>
          </w:tcPr>
          <w:p>
            <w:pPr>
              <w:pStyle w:val="79"/>
              <w:spacing w:beforeLines="0" w:afterLines="0" w:line="0" w:lineRule="atLeast"/>
              <w:rPr>
                <w:rFonts w:ascii="Times New Roman"/>
                <w:bCs/>
                <w:szCs w:val="21"/>
              </w:rPr>
            </w:pPr>
            <w:r>
              <w:rPr>
                <w:rFonts w:ascii="Times New Roman"/>
                <w:bCs/>
                <w:szCs w:val="21"/>
              </w:rPr>
              <w:t>/</w:t>
            </w:r>
          </w:p>
        </w:tc>
        <w:tc>
          <w:tcPr>
            <w:tcW w:w="514" w:type="pct"/>
            <w:vAlign w:val="center"/>
          </w:tcPr>
          <w:p>
            <w:pPr>
              <w:pStyle w:val="79"/>
              <w:spacing w:beforeLines="0" w:afterLines="0" w:line="0" w:lineRule="atLeast"/>
              <w:rPr>
                <w:rFonts w:ascii="Times New Roman"/>
                <w:bCs/>
                <w:szCs w:val="21"/>
              </w:rPr>
            </w:pPr>
            <w:r>
              <w:rPr>
                <w:rFonts w:ascii="Times New Roman"/>
                <w:bCs/>
                <w:szCs w:val="21"/>
              </w:rPr>
              <w:t>/</w:t>
            </w:r>
          </w:p>
        </w:tc>
        <w:tc>
          <w:tcPr>
            <w:tcW w:w="616" w:type="pct"/>
            <w:vAlign w:val="center"/>
          </w:tcPr>
          <w:p>
            <w:pPr>
              <w:pStyle w:val="79"/>
              <w:spacing w:beforeLines="0" w:afterLines="0" w:line="0" w:lineRule="atLeast"/>
              <w:rPr>
                <w:rFonts w:ascii="Times New Roman"/>
                <w:bCs/>
                <w:szCs w:val="21"/>
              </w:rPr>
            </w:pPr>
            <w:r>
              <w:rPr>
                <w:rFonts w:ascii="Times New Roman"/>
                <w:bCs/>
                <w:szCs w:val="21"/>
              </w:rPr>
              <w:t>/</w:t>
            </w:r>
          </w:p>
        </w:tc>
        <w:tc>
          <w:tcPr>
            <w:tcW w:w="517" w:type="pct"/>
            <w:vAlign w:val="center"/>
          </w:tcPr>
          <w:p>
            <w:pPr>
              <w:pStyle w:val="79"/>
              <w:spacing w:beforeLines="0" w:afterLines="0" w:line="0" w:lineRule="atLeast"/>
              <w:rPr>
                <w:rFonts w:ascii="Times New Roman"/>
                <w:bCs/>
                <w:szCs w:val="21"/>
              </w:rPr>
            </w:pPr>
            <w:r>
              <w:rPr>
                <w:rFonts w:ascii="Times New Roman"/>
                <w:bCs/>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576" w:type="pct"/>
            <w:vMerge w:val="continue"/>
            <w:vAlign w:val="center"/>
          </w:tcPr>
          <w:p>
            <w:pPr>
              <w:pStyle w:val="79"/>
              <w:spacing w:beforeLines="0" w:afterLines="0" w:line="0" w:lineRule="atLeast"/>
              <w:rPr>
                <w:rFonts w:ascii="Times New Roman"/>
                <w:snapToGrid w:val="0"/>
                <w:kern w:val="21"/>
                <w:szCs w:val="21"/>
              </w:rPr>
            </w:pPr>
          </w:p>
        </w:tc>
        <w:tc>
          <w:tcPr>
            <w:tcW w:w="513" w:type="pct"/>
            <w:vAlign w:val="center"/>
          </w:tcPr>
          <w:p>
            <w:pPr>
              <w:snapToGrid w:val="0"/>
              <w:spacing w:line="0" w:lineRule="atLeast"/>
              <w:jc w:val="center"/>
              <w:rPr>
                <w:bCs/>
                <w:kern w:val="0"/>
                <w:szCs w:val="21"/>
              </w:rPr>
            </w:pPr>
            <w:r>
              <w:rPr>
                <w:bCs/>
                <w:kern w:val="0"/>
                <w:szCs w:val="21"/>
              </w:rPr>
              <w:t>NH3-N</w:t>
            </w:r>
          </w:p>
        </w:tc>
        <w:tc>
          <w:tcPr>
            <w:tcW w:w="616" w:type="pct"/>
            <w:vAlign w:val="center"/>
          </w:tcPr>
          <w:p>
            <w:pPr>
              <w:pStyle w:val="79"/>
              <w:spacing w:beforeLines="0" w:afterLines="0" w:line="0" w:lineRule="atLeast"/>
              <w:rPr>
                <w:rFonts w:ascii="Times New Roman"/>
                <w:bCs/>
                <w:szCs w:val="21"/>
              </w:rPr>
            </w:pPr>
            <w:r>
              <w:rPr>
                <w:rFonts w:ascii="Times New Roman"/>
                <w:bCs/>
                <w:szCs w:val="21"/>
              </w:rPr>
              <w:t>/</w:t>
            </w:r>
          </w:p>
        </w:tc>
        <w:tc>
          <w:tcPr>
            <w:tcW w:w="462" w:type="pct"/>
            <w:vAlign w:val="center"/>
          </w:tcPr>
          <w:p>
            <w:pPr>
              <w:pStyle w:val="79"/>
              <w:spacing w:beforeLines="0" w:afterLines="0" w:line="0" w:lineRule="atLeast"/>
              <w:rPr>
                <w:rFonts w:ascii="Times New Roman"/>
                <w:bCs/>
                <w:szCs w:val="21"/>
              </w:rPr>
            </w:pPr>
            <w:r>
              <w:rPr>
                <w:rFonts w:ascii="Times New Roman"/>
                <w:bCs/>
                <w:szCs w:val="21"/>
              </w:rPr>
              <w:t>/</w:t>
            </w:r>
          </w:p>
        </w:tc>
        <w:tc>
          <w:tcPr>
            <w:tcW w:w="616" w:type="pct"/>
            <w:vAlign w:val="center"/>
          </w:tcPr>
          <w:p>
            <w:pPr>
              <w:pStyle w:val="79"/>
              <w:spacing w:beforeLines="0" w:afterLines="0" w:line="0" w:lineRule="atLeast"/>
              <w:rPr>
                <w:rFonts w:ascii="Times New Roman"/>
                <w:bCs/>
                <w:szCs w:val="21"/>
              </w:rPr>
            </w:pPr>
            <w:r>
              <w:rPr>
                <w:rFonts w:ascii="Times New Roman"/>
                <w:bCs/>
                <w:szCs w:val="21"/>
              </w:rPr>
              <w:t>/</w:t>
            </w:r>
          </w:p>
        </w:tc>
        <w:tc>
          <w:tcPr>
            <w:tcW w:w="565" w:type="pct"/>
            <w:vAlign w:val="center"/>
          </w:tcPr>
          <w:p>
            <w:pPr>
              <w:pStyle w:val="79"/>
              <w:spacing w:beforeLines="0" w:afterLines="0" w:line="0" w:lineRule="atLeast"/>
              <w:rPr>
                <w:rFonts w:ascii="Times New Roman"/>
                <w:bCs/>
                <w:szCs w:val="21"/>
              </w:rPr>
            </w:pPr>
            <w:r>
              <w:rPr>
                <w:rFonts w:ascii="Times New Roman"/>
                <w:bCs/>
                <w:szCs w:val="21"/>
              </w:rPr>
              <w:t>/</w:t>
            </w:r>
          </w:p>
        </w:tc>
        <w:tc>
          <w:tcPr>
            <w:tcW w:w="514" w:type="pct"/>
            <w:vAlign w:val="center"/>
          </w:tcPr>
          <w:p>
            <w:pPr>
              <w:pStyle w:val="79"/>
              <w:spacing w:beforeLines="0" w:afterLines="0" w:line="0" w:lineRule="atLeast"/>
              <w:rPr>
                <w:rFonts w:ascii="Times New Roman"/>
                <w:bCs/>
                <w:szCs w:val="21"/>
              </w:rPr>
            </w:pPr>
            <w:r>
              <w:rPr>
                <w:rFonts w:ascii="Times New Roman"/>
                <w:bCs/>
                <w:szCs w:val="21"/>
              </w:rPr>
              <w:t>/</w:t>
            </w:r>
          </w:p>
        </w:tc>
        <w:tc>
          <w:tcPr>
            <w:tcW w:w="616" w:type="pct"/>
            <w:vAlign w:val="center"/>
          </w:tcPr>
          <w:p>
            <w:pPr>
              <w:pStyle w:val="79"/>
              <w:spacing w:beforeLines="0" w:afterLines="0" w:line="0" w:lineRule="atLeast"/>
              <w:rPr>
                <w:rFonts w:ascii="Times New Roman"/>
                <w:bCs/>
                <w:szCs w:val="21"/>
              </w:rPr>
            </w:pPr>
            <w:r>
              <w:rPr>
                <w:rFonts w:ascii="Times New Roman"/>
                <w:bCs/>
                <w:szCs w:val="21"/>
              </w:rPr>
              <w:t>/</w:t>
            </w:r>
          </w:p>
        </w:tc>
        <w:tc>
          <w:tcPr>
            <w:tcW w:w="517" w:type="pct"/>
            <w:vAlign w:val="center"/>
          </w:tcPr>
          <w:p>
            <w:pPr>
              <w:pStyle w:val="79"/>
              <w:spacing w:beforeLines="0" w:afterLines="0" w:line="0" w:lineRule="atLeast"/>
              <w:rPr>
                <w:rFonts w:ascii="Times New Roman"/>
                <w:bCs/>
                <w:szCs w:val="21"/>
              </w:rPr>
            </w:pPr>
            <w:r>
              <w:rPr>
                <w:rFonts w:ascii="Times New Roman"/>
                <w:bCs/>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576" w:type="pct"/>
            <w:vMerge w:val="restart"/>
            <w:vAlign w:val="center"/>
          </w:tcPr>
          <w:p>
            <w:pPr>
              <w:pStyle w:val="79"/>
              <w:spacing w:beforeLines="0" w:afterLines="0" w:line="0" w:lineRule="atLeast"/>
              <w:rPr>
                <w:rFonts w:ascii="Times New Roman"/>
                <w:snapToGrid w:val="0"/>
                <w:kern w:val="21"/>
                <w:szCs w:val="21"/>
              </w:rPr>
            </w:pPr>
            <w:r>
              <w:rPr>
                <w:rFonts w:ascii="Times New Roman"/>
                <w:snapToGrid w:val="0"/>
                <w:kern w:val="21"/>
                <w:szCs w:val="21"/>
              </w:rPr>
              <w:t>一般工业</w:t>
            </w:r>
          </w:p>
          <w:p>
            <w:pPr>
              <w:pStyle w:val="79"/>
              <w:spacing w:beforeLines="0" w:afterLines="0" w:line="0" w:lineRule="atLeast"/>
              <w:rPr>
                <w:rFonts w:ascii="Times New Roman"/>
                <w:snapToGrid w:val="0"/>
                <w:kern w:val="21"/>
                <w:szCs w:val="21"/>
              </w:rPr>
            </w:pPr>
            <w:r>
              <w:rPr>
                <w:rFonts w:ascii="Times New Roman"/>
                <w:snapToGrid w:val="0"/>
                <w:kern w:val="21"/>
                <w:szCs w:val="21"/>
              </w:rPr>
              <w:t>固体废物</w:t>
            </w:r>
          </w:p>
        </w:tc>
        <w:tc>
          <w:tcPr>
            <w:tcW w:w="513" w:type="pct"/>
            <w:vAlign w:val="center"/>
          </w:tcPr>
          <w:p>
            <w:pPr>
              <w:snapToGrid w:val="0"/>
              <w:spacing w:line="0" w:lineRule="atLeast"/>
              <w:jc w:val="center"/>
              <w:rPr>
                <w:bCs/>
                <w:kern w:val="0"/>
                <w:szCs w:val="21"/>
              </w:rPr>
            </w:pPr>
            <w:r>
              <w:rPr>
                <w:bCs/>
                <w:kern w:val="0"/>
                <w:szCs w:val="21"/>
              </w:rPr>
              <w:t>废包装袋</w:t>
            </w:r>
          </w:p>
        </w:tc>
        <w:tc>
          <w:tcPr>
            <w:tcW w:w="616" w:type="pct"/>
            <w:vAlign w:val="center"/>
          </w:tcPr>
          <w:p>
            <w:pPr>
              <w:pStyle w:val="79"/>
              <w:spacing w:beforeLines="0" w:afterLines="0" w:line="0" w:lineRule="atLeast"/>
              <w:rPr>
                <w:rFonts w:ascii="Times New Roman"/>
                <w:bCs/>
                <w:szCs w:val="21"/>
              </w:rPr>
            </w:pPr>
            <w:r>
              <w:rPr>
                <w:rFonts w:ascii="Times New Roman"/>
                <w:bCs/>
                <w:szCs w:val="21"/>
              </w:rPr>
              <w:t>/</w:t>
            </w:r>
          </w:p>
        </w:tc>
        <w:tc>
          <w:tcPr>
            <w:tcW w:w="462" w:type="pct"/>
            <w:tcBorders>
              <w:bottom w:val="single" w:color="auto" w:sz="6" w:space="0"/>
            </w:tcBorders>
            <w:vAlign w:val="center"/>
          </w:tcPr>
          <w:p>
            <w:pPr>
              <w:pStyle w:val="79"/>
              <w:spacing w:beforeLines="0" w:afterLines="0" w:line="0" w:lineRule="atLeast"/>
              <w:rPr>
                <w:rFonts w:ascii="Times New Roman"/>
                <w:bCs/>
                <w:szCs w:val="21"/>
              </w:rPr>
            </w:pPr>
            <w:r>
              <w:rPr>
                <w:rFonts w:ascii="Times New Roman"/>
                <w:bCs/>
                <w:szCs w:val="21"/>
              </w:rPr>
              <w:t>/</w:t>
            </w:r>
          </w:p>
        </w:tc>
        <w:tc>
          <w:tcPr>
            <w:tcW w:w="616" w:type="pct"/>
            <w:tcBorders>
              <w:bottom w:val="single" w:color="auto" w:sz="6" w:space="0"/>
            </w:tcBorders>
            <w:vAlign w:val="center"/>
          </w:tcPr>
          <w:p>
            <w:pPr>
              <w:pStyle w:val="79"/>
              <w:spacing w:beforeLines="0" w:afterLines="0" w:line="0" w:lineRule="atLeast"/>
              <w:rPr>
                <w:rFonts w:ascii="Times New Roman"/>
                <w:bCs/>
                <w:szCs w:val="21"/>
              </w:rPr>
            </w:pPr>
            <w:r>
              <w:rPr>
                <w:rFonts w:ascii="Times New Roman"/>
                <w:bCs/>
                <w:szCs w:val="21"/>
              </w:rPr>
              <w:t>/</w:t>
            </w:r>
          </w:p>
        </w:tc>
        <w:tc>
          <w:tcPr>
            <w:tcW w:w="565" w:type="pct"/>
            <w:vAlign w:val="center"/>
          </w:tcPr>
          <w:p>
            <w:pPr>
              <w:pStyle w:val="79"/>
              <w:spacing w:beforeLines="0" w:afterLines="0" w:line="0" w:lineRule="atLeast"/>
              <w:rPr>
                <w:rFonts w:ascii="Times New Roman"/>
                <w:bCs/>
                <w:szCs w:val="21"/>
              </w:rPr>
            </w:pPr>
            <w:r>
              <w:rPr>
                <w:rFonts w:ascii="Times New Roman"/>
                <w:bCs/>
                <w:szCs w:val="21"/>
              </w:rPr>
              <w:t>2t/a</w:t>
            </w:r>
          </w:p>
        </w:tc>
        <w:tc>
          <w:tcPr>
            <w:tcW w:w="514" w:type="pct"/>
            <w:vAlign w:val="center"/>
          </w:tcPr>
          <w:p>
            <w:pPr>
              <w:pStyle w:val="79"/>
              <w:spacing w:beforeLines="0" w:afterLines="0" w:line="0" w:lineRule="atLeast"/>
              <w:rPr>
                <w:rFonts w:ascii="Times New Roman"/>
                <w:bCs/>
                <w:szCs w:val="21"/>
              </w:rPr>
            </w:pPr>
          </w:p>
        </w:tc>
        <w:tc>
          <w:tcPr>
            <w:tcW w:w="616" w:type="pct"/>
            <w:vAlign w:val="center"/>
          </w:tcPr>
          <w:p>
            <w:pPr>
              <w:pStyle w:val="79"/>
              <w:spacing w:beforeLines="0" w:afterLines="0" w:line="0" w:lineRule="atLeast"/>
              <w:rPr>
                <w:rFonts w:ascii="Times New Roman"/>
                <w:bCs/>
                <w:szCs w:val="21"/>
              </w:rPr>
            </w:pPr>
            <w:r>
              <w:rPr>
                <w:rFonts w:ascii="Times New Roman"/>
                <w:bCs/>
                <w:szCs w:val="21"/>
              </w:rPr>
              <w:t>2t/a</w:t>
            </w:r>
          </w:p>
        </w:tc>
        <w:tc>
          <w:tcPr>
            <w:tcW w:w="517" w:type="pct"/>
            <w:vAlign w:val="center"/>
          </w:tcPr>
          <w:p>
            <w:pPr>
              <w:pStyle w:val="79"/>
              <w:spacing w:beforeLines="0" w:afterLines="0" w:line="0" w:lineRule="atLeast"/>
              <w:rPr>
                <w:rFonts w:ascii="Times New Roman"/>
                <w:bCs/>
                <w:szCs w:val="21"/>
              </w:rPr>
            </w:pPr>
            <w:r>
              <w:rPr>
                <w:rFonts w:ascii="Times New Roman"/>
                <w:bCs/>
                <w:szCs w:val="21"/>
              </w:rPr>
              <w:t>+2t/a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7" w:hRule="atLeast"/>
        </w:trPr>
        <w:tc>
          <w:tcPr>
            <w:tcW w:w="576" w:type="pct"/>
            <w:vMerge w:val="continue"/>
            <w:vAlign w:val="center"/>
          </w:tcPr>
          <w:p>
            <w:pPr>
              <w:pStyle w:val="79"/>
              <w:spacing w:beforeLines="0" w:afterLines="0" w:line="0" w:lineRule="atLeast"/>
              <w:rPr>
                <w:rFonts w:ascii="Times New Roman"/>
                <w:snapToGrid w:val="0"/>
                <w:kern w:val="21"/>
                <w:szCs w:val="21"/>
              </w:rPr>
            </w:pPr>
          </w:p>
        </w:tc>
        <w:tc>
          <w:tcPr>
            <w:tcW w:w="513" w:type="pct"/>
            <w:vAlign w:val="center"/>
          </w:tcPr>
          <w:p>
            <w:pPr>
              <w:snapToGrid w:val="0"/>
              <w:spacing w:line="0" w:lineRule="atLeast"/>
              <w:jc w:val="center"/>
              <w:rPr>
                <w:bCs/>
                <w:kern w:val="0"/>
                <w:szCs w:val="21"/>
              </w:rPr>
            </w:pPr>
            <w:r>
              <w:rPr>
                <w:bCs/>
                <w:kern w:val="0"/>
                <w:szCs w:val="21"/>
              </w:rPr>
              <w:t>废布袋</w:t>
            </w:r>
          </w:p>
        </w:tc>
        <w:tc>
          <w:tcPr>
            <w:tcW w:w="616" w:type="pct"/>
            <w:vAlign w:val="center"/>
          </w:tcPr>
          <w:p>
            <w:pPr>
              <w:pStyle w:val="79"/>
              <w:spacing w:beforeLines="0" w:afterLines="0" w:line="0" w:lineRule="atLeast"/>
              <w:rPr>
                <w:rFonts w:ascii="Times New Roman"/>
                <w:bCs/>
                <w:szCs w:val="21"/>
              </w:rPr>
            </w:pPr>
            <w:r>
              <w:rPr>
                <w:rFonts w:ascii="Times New Roman"/>
                <w:bCs/>
                <w:szCs w:val="21"/>
              </w:rPr>
              <w:t>/</w:t>
            </w:r>
          </w:p>
        </w:tc>
        <w:tc>
          <w:tcPr>
            <w:tcW w:w="462" w:type="pct"/>
            <w:vAlign w:val="center"/>
          </w:tcPr>
          <w:p>
            <w:pPr>
              <w:pStyle w:val="79"/>
              <w:spacing w:beforeLines="0" w:afterLines="0" w:line="0" w:lineRule="atLeast"/>
              <w:rPr>
                <w:rFonts w:ascii="Times New Roman"/>
                <w:bCs/>
                <w:szCs w:val="21"/>
              </w:rPr>
            </w:pPr>
            <w:r>
              <w:rPr>
                <w:rFonts w:ascii="Times New Roman"/>
                <w:bCs/>
                <w:szCs w:val="21"/>
              </w:rPr>
              <w:t>/</w:t>
            </w:r>
          </w:p>
        </w:tc>
        <w:tc>
          <w:tcPr>
            <w:tcW w:w="616" w:type="pct"/>
            <w:vAlign w:val="center"/>
          </w:tcPr>
          <w:p>
            <w:pPr>
              <w:pStyle w:val="79"/>
              <w:spacing w:beforeLines="0" w:afterLines="0" w:line="0" w:lineRule="atLeast"/>
              <w:rPr>
                <w:rFonts w:ascii="Times New Roman"/>
                <w:bCs/>
                <w:szCs w:val="21"/>
              </w:rPr>
            </w:pPr>
            <w:r>
              <w:rPr>
                <w:rFonts w:ascii="Times New Roman"/>
                <w:bCs/>
                <w:szCs w:val="21"/>
              </w:rPr>
              <w:t>/</w:t>
            </w:r>
          </w:p>
        </w:tc>
        <w:tc>
          <w:tcPr>
            <w:tcW w:w="565" w:type="pct"/>
            <w:vAlign w:val="center"/>
          </w:tcPr>
          <w:p>
            <w:pPr>
              <w:pStyle w:val="79"/>
              <w:spacing w:beforeLines="0" w:afterLines="0" w:line="0" w:lineRule="atLeast"/>
              <w:rPr>
                <w:rFonts w:ascii="Times New Roman"/>
                <w:bCs/>
                <w:szCs w:val="21"/>
              </w:rPr>
            </w:pPr>
            <w:r>
              <w:rPr>
                <w:rFonts w:ascii="Times New Roman"/>
                <w:bCs/>
                <w:szCs w:val="21"/>
              </w:rPr>
              <w:t>0.05t/a</w:t>
            </w:r>
          </w:p>
        </w:tc>
        <w:tc>
          <w:tcPr>
            <w:tcW w:w="514" w:type="pct"/>
            <w:vAlign w:val="center"/>
          </w:tcPr>
          <w:p>
            <w:pPr>
              <w:pStyle w:val="79"/>
              <w:spacing w:beforeLines="0" w:afterLines="0" w:line="0" w:lineRule="atLeast"/>
              <w:rPr>
                <w:rFonts w:ascii="Times New Roman"/>
                <w:bCs/>
                <w:szCs w:val="21"/>
              </w:rPr>
            </w:pPr>
          </w:p>
        </w:tc>
        <w:tc>
          <w:tcPr>
            <w:tcW w:w="616" w:type="pct"/>
            <w:vAlign w:val="center"/>
          </w:tcPr>
          <w:p>
            <w:pPr>
              <w:pStyle w:val="79"/>
              <w:spacing w:beforeLines="0" w:afterLines="0" w:line="0" w:lineRule="atLeast"/>
              <w:rPr>
                <w:rFonts w:ascii="Times New Roman"/>
                <w:bCs/>
                <w:szCs w:val="21"/>
              </w:rPr>
            </w:pPr>
            <w:r>
              <w:rPr>
                <w:rFonts w:ascii="Times New Roman"/>
                <w:bCs/>
                <w:szCs w:val="21"/>
              </w:rPr>
              <w:t>0.05t/a</w:t>
            </w:r>
          </w:p>
        </w:tc>
        <w:tc>
          <w:tcPr>
            <w:tcW w:w="517" w:type="pct"/>
            <w:vAlign w:val="center"/>
          </w:tcPr>
          <w:p>
            <w:pPr>
              <w:pStyle w:val="79"/>
              <w:spacing w:beforeLines="0" w:afterLines="0" w:line="0" w:lineRule="atLeast"/>
              <w:rPr>
                <w:rFonts w:ascii="Times New Roman"/>
                <w:bCs/>
                <w:szCs w:val="21"/>
              </w:rPr>
            </w:pPr>
            <w:r>
              <w:rPr>
                <w:rFonts w:ascii="Times New Roman"/>
                <w:bCs/>
                <w:szCs w:val="21"/>
              </w:rPr>
              <w:t>+0.05t/a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7" w:hRule="atLeast"/>
        </w:trPr>
        <w:tc>
          <w:tcPr>
            <w:tcW w:w="576" w:type="pct"/>
            <w:vMerge w:val="continue"/>
            <w:vAlign w:val="center"/>
          </w:tcPr>
          <w:p>
            <w:pPr>
              <w:pStyle w:val="79"/>
              <w:spacing w:beforeLines="0" w:afterLines="0" w:line="0" w:lineRule="atLeast"/>
              <w:rPr>
                <w:rFonts w:ascii="Times New Roman"/>
                <w:snapToGrid w:val="0"/>
                <w:kern w:val="21"/>
                <w:szCs w:val="21"/>
              </w:rPr>
            </w:pPr>
          </w:p>
        </w:tc>
        <w:tc>
          <w:tcPr>
            <w:tcW w:w="513" w:type="pct"/>
            <w:vAlign w:val="center"/>
          </w:tcPr>
          <w:p>
            <w:pPr>
              <w:snapToGrid w:val="0"/>
              <w:spacing w:line="0" w:lineRule="atLeast"/>
              <w:jc w:val="center"/>
              <w:rPr>
                <w:bCs/>
                <w:kern w:val="0"/>
                <w:szCs w:val="21"/>
              </w:rPr>
            </w:pPr>
            <w:r>
              <w:rPr>
                <w:rFonts w:hint="eastAsia"/>
                <w:bCs/>
                <w:kern w:val="0"/>
                <w:szCs w:val="21"/>
              </w:rPr>
              <w:t>生活垃圾</w:t>
            </w:r>
          </w:p>
        </w:tc>
        <w:tc>
          <w:tcPr>
            <w:tcW w:w="616" w:type="pct"/>
            <w:vAlign w:val="center"/>
          </w:tcPr>
          <w:p>
            <w:pPr>
              <w:pStyle w:val="79"/>
              <w:spacing w:beforeLines="0" w:afterLines="0" w:line="0" w:lineRule="atLeast"/>
              <w:rPr>
                <w:rFonts w:ascii="Times New Roman"/>
                <w:bCs/>
                <w:szCs w:val="21"/>
              </w:rPr>
            </w:pPr>
            <w:r>
              <w:rPr>
                <w:rFonts w:hint="eastAsia" w:ascii="Times New Roman"/>
                <w:bCs/>
                <w:szCs w:val="21"/>
              </w:rPr>
              <w:t>/</w:t>
            </w:r>
          </w:p>
        </w:tc>
        <w:tc>
          <w:tcPr>
            <w:tcW w:w="462" w:type="pct"/>
            <w:vAlign w:val="center"/>
          </w:tcPr>
          <w:p>
            <w:pPr>
              <w:pStyle w:val="79"/>
              <w:spacing w:beforeLines="0" w:afterLines="0" w:line="0" w:lineRule="atLeast"/>
              <w:rPr>
                <w:rFonts w:ascii="Times New Roman"/>
                <w:bCs/>
                <w:szCs w:val="21"/>
              </w:rPr>
            </w:pPr>
            <w:r>
              <w:rPr>
                <w:rFonts w:hint="eastAsia" w:ascii="Times New Roman"/>
                <w:bCs/>
                <w:szCs w:val="21"/>
              </w:rPr>
              <w:t>/</w:t>
            </w:r>
          </w:p>
        </w:tc>
        <w:tc>
          <w:tcPr>
            <w:tcW w:w="616" w:type="pct"/>
            <w:vAlign w:val="center"/>
          </w:tcPr>
          <w:p>
            <w:pPr>
              <w:pStyle w:val="79"/>
              <w:spacing w:beforeLines="0" w:afterLines="0" w:line="0" w:lineRule="atLeast"/>
              <w:rPr>
                <w:rFonts w:ascii="Times New Roman"/>
                <w:bCs/>
                <w:szCs w:val="21"/>
              </w:rPr>
            </w:pPr>
            <w:r>
              <w:rPr>
                <w:rFonts w:hint="eastAsia" w:ascii="Times New Roman"/>
                <w:bCs/>
                <w:szCs w:val="21"/>
              </w:rPr>
              <w:t>/</w:t>
            </w:r>
          </w:p>
        </w:tc>
        <w:tc>
          <w:tcPr>
            <w:tcW w:w="565" w:type="pct"/>
            <w:vAlign w:val="center"/>
          </w:tcPr>
          <w:p>
            <w:pPr>
              <w:pStyle w:val="79"/>
              <w:spacing w:beforeLines="0" w:afterLines="0" w:line="0" w:lineRule="atLeast"/>
              <w:rPr>
                <w:rFonts w:ascii="Times New Roman"/>
                <w:bCs/>
                <w:szCs w:val="21"/>
              </w:rPr>
            </w:pPr>
            <w:r>
              <w:rPr>
                <w:rFonts w:hint="eastAsia" w:ascii="Times New Roman"/>
                <w:bCs/>
                <w:szCs w:val="21"/>
              </w:rPr>
              <w:t>1.5t/a</w:t>
            </w:r>
          </w:p>
        </w:tc>
        <w:tc>
          <w:tcPr>
            <w:tcW w:w="514" w:type="pct"/>
            <w:vAlign w:val="center"/>
          </w:tcPr>
          <w:p>
            <w:pPr>
              <w:pStyle w:val="79"/>
              <w:spacing w:beforeLines="0" w:afterLines="0" w:line="0" w:lineRule="atLeast"/>
              <w:rPr>
                <w:rFonts w:ascii="Times New Roman"/>
                <w:bCs/>
                <w:szCs w:val="21"/>
              </w:rPr>
            </w:pPr>
          </w:p>
        </w:tc>
        <w:tc>
          <w:tcPr>
            <w:tcW w:w="616" w:type="pct"/>
            <w:vAlign w:val="center"/>
          </w:tcPr>
          <w:p>
            <w:pPr>
              <w:spacing w:line="0" w:lineRule="atLeast"/>
              <w:jc w:val="center"/>
              <w:rPr>
                <w:bCs/>
                <w:kern w:val="0"/>
                <w:szCs w:val="21"/>
              </w:rPr>
            </w:pPr>
            <w:r>
              <w:rPr>
                <w:rFonts w:hint="eastAsia"/>
                <w:bCs/>
                <w:kern w:val="0"/>
                <w:szCs w:val="21"/>
              </w:rPr>
              <w:t>1.5t/a</w:t>
            </w:r>
          </w:p>
        </w:tc>
        <w:tc>
          <w:tcPr>
            <w:tcW w:w="517" w:type="pct"/>
            <w:vAlign w:val="center"/>
          </w:tcPr>
          <w:p>
            <w:pPr>
              <w:spacing w:line="0" w:lineRule="atLeast"/>
              <w:jc w:val="center"/>
              <w:rPr>
                <w:bCs/>
                <w:kern w:val="0"/>
                <w:szCs w:val="21"/>
              </w:rPr>
            </w:pPr>
            <w:r>
              <w:rPr>
                <w:rFonts w:hint="eastAsia"/>
                <w:bCs/>
                <w:kern w:val="0"/>
                <w:szCs w:val="21"/>
              </w:rPr>
              <w:t>+1.5t/a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576" w:type="pct"/>
            <w:vMerge w:val="restart"/>
            <w:vAlign w:val="center"/>
          </w:tcPr>
          <w:p>
            <w:pPr>
              <w:pStyle w:val="79"/>
              <w:spacing w:before="31" w:after="31" w:line="0" w:lineRule="atLeast"/>
              <w:rPr>
                <w:rFonts w:ascii="Times New Roman"/>
                <w:snapToGrid w:val="0"/>
                <w:kern w:val="21"/>
                <w:szCs w:val="21"/>
              </w:rPr>
            </w:pPr>
            <w:r>
              <w:rPr>
                <w:rFonts w:ascii="Times New Roman"/>
                <w:snapToGrid w:val="0"/>
                <w:kern w:val="21"/>
                <w:szCs w:val="21"/>
              </w:rPr>
              <w:t>危险废物</w:t>
            </w:r>
          </w:p>
        </w:tc>
        <w:tc>
          <w:tcPr>
            <w:tcW w:w="513" w:type="pct"/>
            <w:vAlign w:val="center"/>
          </w:tcPr>
          <w:p>
            <w:pPr>
              <w:pStyle w:val="79"/>
              <w:spacing w:beforeLines="0" w:afterLines="0" w:line="0" w:lineRule="atLeast"/>
              <w:rPr>
                <w:rFonts w:ascii="Times New Roman"/>
                <w:bCs/>
                <w:szCs w:val="21"/>
              </w:rPr>
            </w:pPr>
            <w:r>
              <w:rPr>
                <w:rFonts w:ascii="Times New Roman"/>
                <w:bCs/>
                <w:szCs w:val="21"/>
              </w:rPr>
              <w:t>废润滑油</w:t>
            </w:r>
          </w:p>
        </w:tc>
        <w:tc>
          <w:tcPr>
            <w:tcW w:w="616" w:type="pct"/>
            <w:vAlign w:val="center"/>
          </w:tcPr>
          <w:p>
            <w:pPr>
              <w:pStyle w:val="79"/>
              <w:spacing w:beforeLines="0" w:afterLines="0" w:line="0" w:lineRule="atLeast"/>
              <w:rPr>
                <w:rFonts w:ascii="Times New Roman"/>
                <w:bCs/>
                <w:szCs w:val="21"/>
              </w:rPr>
            </w:pPr>
            <w:r>
              <w:rPr>
                <w:rFonts w:ascii="Times New Roman"/>
                <w:bCs/>
                <w:szCs w:val="21"/>
              </w:rPr>
              <w:t>/</w:t>
            </w:r>
          </w:p>
        </w:tc>
        <w:tc>
          <w:tcPr>
            <w:tcW w:w="462" w:type="pct"/>
            <w:vAlign w:val="center"/>
          </w:tcPr>
          <w:p>
            <w:pPr>
              <w:pStyle w:val="79"/>
              <w:spacing w:beforeLines="0" w:afterLines="0" w:line="0" w:lineRule="atLeast"/>
              <w:rPr>
                <w:rFonts w:ascii="Times New Roman"/>
                <w:bCs/>
                <w:szCs w:val="21"/>
              </w:rPr>
            </w:pPr>
            <w:r>
              <w:rPr>
                <w:rFonts w:ascii="Times New Roman"/>
                <w:bCs/>
                <w:szCs w:val="21"/>
              </w:rPr>
              <w:t>/</w:t>
            </w:r>
          </w:p>
        </w:tc>
        <w:tc>
          <w:tcPr>
            <w:tcW w:w="616" w:type="pct"/>
            <w:vAlign w:val="center"/>
          </w:tcPr>
          <w:p>
            <w:pPr>
              <w:pStyle w:val="79"/>
              <w:spacing w:beforeLines="0" w:afterLines="0" w:line="0" w:lineRule="atLeast"/>
              <w:rPr>
                <w:rFonts w:ascii="Times New Roman"/>
                <w:bCs/>
                <w:szCs w:val="21"/>
              </w:rPr>
            </w:pPr>
            <w:r>
              <w:rPr>
                <w:rFonts w:ascii="Times New Roman"/>
                <w:bCs/>
                <w:szCs w:val="21"/>
              </w:rPr>
              <w:t>/</w:t>
            </w:r>
          </w:p>
        </w:tc>
        <w:tc>
          <w:tcPr>
            <w:tcW w:w="565" w:type="pct"/>
            <w:vAlign w:val="center"/>
          </w:tcPr>
          <w:p>
            <w:pPr>
              <w:pStyle w:val="79"/>
              <w:spacing w:beforeLines="0" w:afterLines="0" w:line="0" w:lineRule="atLeast"/>
              <w:rPr>
                <w:rFonts w:ascii="Times New Roman"/>
                <w:bCs/>
                <w:szCs w:val="21"/>
              </w:rPr>
            </w:pPr>
            <w:r>
              <w:rPr>
                <w:rFonts w:ascii="Times New Roman"/>
                <w:bCs/>
                <w:szCs w:val="21"/>
              </w:rPr>
              <w:t>0.5t/a</w:t>
            </w:r>
          </w:p>
        </w:tc>
        <w:tc>
          <w:tcPr>
            <w:tcW w:w="514" w:type="pct"/>
            <w:vAlign w:val="center"/>
          </w:tcPr>
          <w:p>
            <w:pPr>
              <w:pStyle w:val="79"/>
              <w:spacing w:beforeLines="0" w:afterLines="0" w:line="0" w:lineRule="atLeast"/>
              <w:rPr>
                <w:rFonts w:ascii="Times New Roman"/>
                <w:bCs/>
                <w:szCs w:val="21"/>
              </w:rPr>
            </w:pPr>
          </w:p>
        </w:tc>
        <w:tc>
          <w:tcPr>
            <w:tcW w:w="616" w:type="pct"/>
            <w:vAlign w:val="center"/>
          </w:tcPr>
          <w:p>
            <w:pPr>
              <w:pStyle w:val="79"/>
              <w:spacing w:beforeLines="0" w:afterLines="0" w:line="0" w:lineRule="atLeast"/>
              <w:rPr>
                <w:rFonts w:ascii="Times New Roman"/>
                <w:bCs/>
                <w:szCs w:val="21"/>
              </w:rPr>
            </w:pPr>
            <w:r>
              <w:rPr>
                <w:rFonts w:ascii="Times New Roman"/>
                <w:bCs/>
                <w:szCs w:val="21"/>
              </w:rPr>
              <w:t>0.5t/a</w:t>
            </w:r>
          </w:p>
        </w:tc>
        <w:tc>
          <w:tcPr>
            <w:tcW w:w="517" w:type="pct"/>
            <w:vAlign w:val="center"/>
          </w:tcPr>
          <w:p>
            <w:pPr>
              <w:pStyle w:val="79"/>
              <w:spacing w:beforeLines="0" w:afterLines="0" w:line="0" w:lineRule="atLeast"/>
              <w:rPr>
                <w:rFonts w:ascii="Times New Roman"/>
                <w:bCs/>
                <w:szCs w:val="21"/>
              </w:rPr>
            </w:pPr>
            <w:r>
              <w:rPr>
                <w:rFonts w:ascii="Times New Roman"/>
                <w:bCs/>
                <w:szCs w:val="21"/>
              </w:rPr>
              <w:t>+0.5t/a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576" w:type="pct"/>
            <w:vMerge w:val="continue"/>
            <w:vAlign w:val="center"/>
          </w:tcPr>
          <w:p>
            <w:pPr>
              <w:pStyle w:val="79"/>
              <w:spacing w:before="31" w:after="31" w:line="0" w:lineRule="atLeast"/>
              <w:rPr>
                <w:rFonts w:ascii="Times New Roman"/>
                <w:snapToGrid w:val="0"/>
                <w:kern w:val="21"/>
                <w:szCs w:val="21"/>
              </w:rPr>
            </w:pPr>
          </w:p>
        </w:tc>
        <w:tc>
          <w:tcPr>
            <w:tcW w:w="513" w:type="pct"/>
            <w:vAlign w:val="center"/>
          </w:tcPr>
          <w:p>
            <w:pPr>
              <w:pStyle w:val="79"/>
              <w:spacing w:beforeLines="0" w:afterLines="0" w:line="0" w:lineRule="atLeast"/>
              <w:rPr>
                <w:rFonts w:ascii="Times New Roman"/>
                <w:bCs/>
                <w:szCs w:val="21"/>
              </w:rPr>
            </w:pPr>
            <w:r>
              <w:rPr>
                <w:rFonts w:ascii="Times New Roman"/>
                <w:bCs/>
                <w:szCs w:val="21"/>
              </w:rPr>
              <w:t>废润滑油桶</w:t>
            </w:r>
          </w:p>
        </w:tc>
        <w:tc>
          <w:tcPr>
            <w:tcW w:w="616" w:type="pct"/>
            <w:vAlign w:val="center"/>
          </w:tcPr>
          <w:p>
            <w:pPr>
              <w:pStyle w:val="79"/>
              <w:spacing w:beforeLines="0" w:afterLines="0" w:line="0" w:lineRule="atLeast"/>
              <w:rPr>
                <w:rFonts w:ascii="Times New Roman"/>
                <w:bCs/>
                <w:szCs w:val="21"/>
              </w:rPr>
            </w:pPr>
            <w:r>
              <w:rPr>
                <w:rFonts w:ascii="Times New Roman"/>
                <w:bCs/>
                <w:szCs w:val="21"/>
              </w:rPr>
              <w:t>/</w:t>
            </w:r>
          </w:p>
        </w:tc>
        <w:tc>
          <w:tcPr>
            <w:tcW w:w="462" w:type="pct"/>
            <w:vAlign w:val="center"/>
          </w:tcPr>
          <w:p>
            <w:pPr>
              <w:pStyle w:val="79"/>
              <w:spacing w:beforeLines="0" w:afterLines="0" w:line="0" w:lineRule="atLeast"/>
              <w:rPr>
                <w:rFonts w:ascii="Times New Roman"/>
                <w:bCs/>
                <w:szCs w:val="21"/>
              </w:rPr>
            </w:pPr>
            <w:r>
              <w:rPr>
                <w:rFonts w:ascii="Times New Roman"/>
                <w:bCs/>
                <w:szCs w:val="21"/>
              </w:rPr>
              <w:t>/</w:t>
            </w:r>
          </w:p>
        </w:tc>
        <w:tc>
          <w:tcPr>
            <w:tcW w:w="616" w:type="pct"/>
            <w:vAlign w:val="center"/>
          </w:tcPr>
          <w:p>
            <w:pPr>
              <w:pStyle w:val="79"/>
              <w:spacing w:beforeLines="0" w:afterLines="0" w:line="0" w:lineRule="atLeast"/>
              <w:rPr>
                <w:rFonts w:ascii="Times New Roman"/>
                <w:bCs/>
                <w:szCs w:val="21"/>
              </w:rPr>
            </w:pPr>
            <w:r>
              <w:rPr>
                <w:rFonts w:ascii="Times New Roman"/>
                <w:bCs/>
                <w:szCs w:val="21"/>
              </w:rPr>
              <w:t>/</w:t>
            </w:r>
          </w:p>
        </w:tc>
        <w:tc>
          <w:tcPr>
            <w:tcW w:w="565" w:type="pct"/>
            <w:vAlign w:val="center"/>
          </w:tcPr>
          <w:p>
            <w:pPr>
              <w:pStyle w:val="79"/>
              <w:spacing w:beforeLines="0" w:afterLines="0" w:line="0" w:lineRule="atLeast"/>
              <w:rPr>
                <w:rFonts w:ascii="Times New Roman"/>
                <w:bCs/>
                <w:szCs w:val="21"/>
              </w:rPr>
            </w:pPr>
            <w:r>
              <w:rPr>
                <w:rFonts w:ascii="Times New Roman"/>
                <w:bCs/>
                <w:szCs w:val="21"/>
              </w:rPr>
              <w:t>0.025t/a</w:t>
            </w:r>
          </w:p>
        </w:tc>
        <w:tc>
          <w:tcPr>
            <w:tcW w:w="514" w:type="pct"/>
            <w:vAlign w:val="center"/>
          </w:tcPr>
          <w:p>
            <w:pPr>
              <w:pStyle w:val="79"/>
              <w:spacing w:beforeLines="0" w:afterLines="0" w:line="0" w:lineRule="atLeast"/>
              <w:rPr>
                <w:rFonts w:ascii="Times New Roman"/>
                <w:bCs/>
                <w:szCs w:val="21"/>
              </w:rPr>
            </w:pPr>
          </w:p>
        </w:tc>
        <w:tc>
          <w:tcPr>
            <w:tcW w:w="616" w:type="pct"/>
            <w:vAlign w:val="center"/>
          </w:tcPr>
          <w:p>
            <w:pPr>
              <w:pStyle w:val="79"/>
              <w:spacing w:beforeLines="0" w:afterLines="0" w:line="0" w:lineRule="atLeast"/>
              <w:rPr>
                <w:rFonts w:ascii="Times New Roman"/>
                <w:bCs/>
                <w:szCs w:val="21"/>
              </w:rPr>
            </w:pPr>
            <w:r>
              <w:rPr>
                <w:rFonts w:ascii="Times New Roman"/>
                <w:bCs/>
                <w:szCs w:val="21"/>
              </w:rPr>
              <w:t>0.025t/a</w:t>
            </w:r>
          </w:p>
        </w:tc>
        <w:tc>
          <w:tcPr>
            <w:tcW w:w="517" w:type="pct"/>
            <w:vAlign w:val="center"/>
          </w:tcPr>
          <w:p>
            <w:pPr>
              <w:pStyle w:val="79"/>
              <w:spacing w:beforeLines="0" w:afterLines="0" w:line="0" w:lineRule="atLeast"/>
              <w:rPr>
                <w:rFonts w:ascii="Times New Roman"/>
                <w:bCs/>
                <w:szCs w:val="21"/>
              </w:rPr>
            </w:pPr>
            <w:r>
              <w:rPr>
                <w:rFonts w:ascii="Times New Roman"/>
                <w:bCs/>
                <w:szCs w:val="21"/>
              </w:rPr>
              <w:t>+0.025t/a</w:t>
            </w:r>
          </w:p>
        </w:tc>
      </w:tr>
    </w:tbl>
    <w:p>
      <w:pPr>
        <w:pStyle w:val="79"/>
        <w:spacing w:before="253" w:beforeLines="80" w:after="31"/>
        <w:jc w:val="left"/>
        <w:rPr>
          <w:rFonts w:ascii="Times New Roman"/>
          <w:snapToGrid w:val="0"/>
          <w:spacing w:val="-6"/>
          <w:kern w:val="21"/>
          <w:szCs w:val="21"/>
        </w:rPr>
      </w:pPr>
      <w:r>
        <w:rPr>
          <w:rFonts w:ascii="Times New Roman"/>
          <w:snapToGrid w:val="0"/>
          <w:kern w:val="21"/>
          <w:szCs w:val="21"/>
        </w:rPr>
        <w:t>注：</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szCs w:val="21"/>
        </w:rPr>
        <w:t>①</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ascii="Times New Roman"/>
          <w:szCs w:val="21"/>
        </w:rPr>
        <w:t>③</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ascii="Times New Roman"/>
          <w:szCs w:val="21"/>
        </w:rPr>
        <w:t>④</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ascii="Times New Roman"/>
          <w:szCs w:val="21"/>
        </w:rPr>
        <w:t>⑤</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ascii="Times New Roman"/>
          <w:szCs w:val="21"/>
        </w:rPr>
        <w:t>⑦</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szCs w:val="21"/>
        </w:rPr>
        <w:t>①</w:t>
      </w:r>
      <w:r>
        <w:rPr>
          <w:rFonts w:ascii="Times New Roman"/>
          <w:snapToGrid w:val="0"/>
          <w:spacing w:val="-6"/>
          <w:kern w:val="21"/>
          <w:szCs w:val="21"/>
        </w:rPr>
        <w:fldChar w:fldCharType="end"/>
      </w:r>
    </w:p>
    <w:p>
      <w:pPr>
        <w:ind w:firstLine="422"/>
        <w:sectPr>
          <w:footerReference r:id="rId5" w:type="default"/>
          <w:pgSz w:w="16838" w:h="11906" w:orient="landscape"/>
          <w:pgMar w:top="720" w:right="720" w:bottom="720" w:left="720" w:header="851" w:footer="992" w:gutter="0"/>
          <w:cols w:space="720" w:num="1"/>
          <w:docGrid w:type="lines" w:linePitch="317" w:charSpace="0"/>
        </w:sectPr>
      </w:pPr>
    </w:p>
    <w:p>
      <w:pPr>
        <w:ind w:firstLine="422"/>
      </w:pPr>
      <w:r>
        <w:t>附件一：委托书</w:t>
      </w:r>
    </w:p>
    <w:p>
      <w:pPr>
        <w:ind w:firstLine="422"/>
        <w:jc w:val="center"/>
      </w:pPr>
      <w:r>
        <w:drawing>
          <wp:inline distT="0" distB="0" distL="114300" distR="114300">
            <wp:extent cx="5212715" cy="7332980"/>
            <wp:effectExtent l="0" t="0" r="6985" b="1270"/>
            <wp:docPr id="12" name="图片 12" descr="53d20c16ce7ea1df28d9418ee6752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53d20c16ce7ea1df28d9418ee67523e"/>
                    <pic:cNvPicPr>
                      <a:picLocks noChangeAspect="1"/>
                    </pic:cNvPicPr>
                  </pic:nvPicPr>
                  <pic:blipFill>
                    <a:blip r:embed="rId30"/>
                    <a:stretch>
                      <a:fillRect/>
                    </a:stretch>
                  </pic:blipFill>
                  <pic:spPr>
                    <a:xfrm>
                      <a:off x="0" y="0"/>
                      <a:ext cx="5212715" cy="7332980"/>
                    </a:xfrm>
                    <a:prstGeom prst="rect">
                      <a:avLst/>
                    </a:prstGeom>
                  </pic:spPr>
                </pic:pic>
              </a:graphicData>
            </a:graphic>
          </wp:inline>
        </w:drawing>
      </w:r>
      <w:r>
        <w:br w:type="page"/>
      </w:r>
    </w:p>
    <w:p>
      <w:pPr>
        <w:ind w:firstLine="422"/>
      </w:pPr>
      <w:r>
        <w:t>附件二：资料真实性承诺</w:t>
      </w:r>
    </w:p>
    <w:p>
      <w:pPr>
        <w:ind w:firstLine="422"/>
      </w:pPr>
      <w:r>
        <w:drawing>
          <wp:inline distT="0" distB="0" distL="114300" distR="114300">
            <wp:extent cx="5690235" cy="7969250"/>
            <wp:effectExtent l="0" t="0" r="5715" b="12700"/>
            <wp:docPr id="15" name="图片 15" descr="be906449aabc221bdc4c5150f2b3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be906449aabc221bdc4c5150f2b3371"/>
                    <pic:cNvPicPr>
                      <a:picLocks noChangeAspect="1"/>
                    </pic:cNvPicPr>
                  </pic:nvPicPr>
                  <pic:blipFill>
                    <a:blip r:embed="rId31"/>
                    <a:stretch>
                      <a:fillRect/>
                    </a:stretch>
                  </pic:blipFill>
                  <pic:spPr>
                    <a:xfrm>
                      <a:off x="0" y="0"/>
                      <a:ext cx="5690235" cy="7969250"/>
                    </a:xfrm>
                    <a:prstGeom prst="rect">
                      <a:avLst/>
                    </a:prstGeom>
                  </pic:spPr>
                </pic:pic>
              </a:graphicData>
            </a:graphic>
          </wp:inline>
        </w:drawing>
      </w:r>
      <w:r>
        <w:br w:type="page"/>
      </w:r>
    </w:p>
    <w:p>
      <w:pPr>
        <w:ind w:firstLine="422"/>
      </w:pPr>
      <w:r>
        <w:t>附件三：信息公开承诺书</w:t>
      </w:r>
    </w:p>
    <w:p>
      <w:pPr>
        <w:ind w:firstLine="422"/>
        <w:jc w:val="center"/>
      </w:pPr>
    </w:p>
    <w:p>
      <w:pPr>
        <w:ind w:firstLine="422"/>
        <w:jc w:val="center"/>
        <w:sectPr>
          <w:pgSz w:w="11906" w:h="16838"/>
          <w:pgMar w:top="720" w:right="720" w:bottom="720" w:left="720" w:header="851" w:footer="992" w:gutter="0"/>
          <w:cols w:space="720" w:num="1"/>
          <w:docGrid w:type="lines" w:linePitch="317" w:charSpace="0"/>
        </w:sectPr>
      </w:pPr>
      <w:r>
        <w:rPr>
          <w:rFonts w:hint="eastAsia"/>
        </w:rPr>
        <w:drawing>
          <wp:inline distT="0" distB="0" distL="114300" distR="114300">
            <wp:extent cx="5241290" cy="7482205"/>
            <wp:effectExtent l="0" t="0" r="16510" b="4445"/>
            <wp:docPr id="16" name="图片 16" descr="429c6ce788cecf24433ffbee8399d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429c6ce788cecf24433ffbee8399d3e"/>
                    <pic:cNvPicPr>
                      <a:picLocks noChangeAspect="1"/>
                    </pic:cNvPicPr>
                  </pic:nvPicPr>
                  <pic:blipFill>
                    <a:blip r:embed="rId32"/>
                    <a:stretch>
                      <a:fillRect/>
                    </a:stretch>
                  </pic:blipFill>
                  <pic:spPr>
                    <a:xfrm>
                      <a:off x="0" y="0"/>
                      <a:ext cx="5241290" cy="7482205"/>
                    </a:xfrm>
                    <a:prstGeom prst="rect">
                      <a:avLst/>
                    </a:prstGeom>
                  </pic:spPr>
                </pic:pic>
              </a:graphicData>
            </a:graphic>
          </wp:inline>
        </w:drawing>
      </w:r>
    </w:p>
    <w:p>
      <w:pPr>
        <w:ind w:firstLine="422"/>
      </w:pPr>
      <w:r>
        <w:t>附件四：营业执照</w:t>
      </w:r>
    </w:p>
    <w:p>
      <w:pPr>
        <w:ind w:firstLine="422"/>
        <w:jc w:val="center"/>
        <w:sectPr>
          <w:pgSz w:w="16838" w:h="11906" w:orient="landscape"/>
          <w:pgMar w:top="720" w:right="720" w:bottom="720" w:left="720" w:header="851" w:footer="992" w:gutter="0"/>
          <w:cols w:space="720" w:num="1"/>
          <w:docGrid w:type="lines" w:linePitch="317" w:charSpace="0"/>
        </w:sectPr>
      </w:pPr>
      <w:r>
        <w:drawing>
          <wp:inline distT="0" distB="0" distL="114300" distR="114300">
            <wp:extent cx="5946775" cy="7928610"/>
            <wp:effectExtent l="0" t="0" r="15240" b="15875"/>
            <wp:docPr id="45" name="图片 45" descr="c5a9f89513bf1ca681c659b9078bd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5a9f89513bf1ca681c659b9078bd1a"/>
                    <pic:cNvPicPr>
                      <a:picLocks noChangeAspect="1"/>
                    </pic:cNvPicPr>
                  </pic:nvPicPr>
                  <pic:blipFill>
                    <a:blip r:embed="rId33"/>
                    <a:stretch>
                      <a:fillRect/>
                    </a:stretch>
                  </pic:blipFill>
                  <pic:spPr>
                    <a:xfrm rot="16200000">
                      <a:off x="0" y="0"/>
                      <a:ext cx="5946775" cy="7928610"/>
                    </a:xfrm>
                    <a:prstGeom prst="rect">
                      <a:avLst/>
                    </a:prstGeom>
                  </pic:spPr>
                </pic:pic>
              </a:graphicData>
            </a:graphic>
          </wp:inline>
        </w:drawing>
      </w:r>
    </w:p>
    <w:p>
      <w:pPr>
        <w:ind w:firstLine="422"/>
      </w:pPr>
      <w:r>
        <w:t>附件五：备案证明</w:t>
      </w:r>
    </w:p>
    <w:p>
      <w:pPr>
        <w:ind w:firstLine="422"/>
      </w:pPr>
      <w:r>
        <w:drawing>
          <wp:inline distT="0" distB="0" distL="114300" distR="114300">
            <wp:extent cx="6179185" cy="8717280"/>
            <wp:effectExtent l="0" t="0" r="12065" b="7620"/>
            <wp:docPr id="21" name="图片 21" descr="9f820fbe4c576a6b1f3697231f2e6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9f820fbe4c576a6b1f3697231f2e63f"/>
                    <pic:cNvPicPr>
                      <a:picLocks noChangeAspect="1"/>
                    </pic:cNvPicPr>
                  </pic:nvPicPr>
                  <pic:blipFill>
                    <a:blip r:embed="rId34"/>
                    <a:stretch>
                      <a:fillRect/>
                    </a:stretch>
                  </pic:blipFill>
                  <pic:spPr>
                    <a:xfrm>
                      <a:off x="0" y="0"/>
                      <a:ext cx="6179185" cy="8717280"/>
                    </a:xfrm>
                    <a:prstGeom prst="rect">
                      <a:avLst/>
                    </a:prstGeom>
                  </pic:spPr>
                </pic:pic>
              </a:graphicData>
            </a:graphic>
          </wp:inline>
        </w:drawing>
      </w:r>
    </w:p>
    <w:p>
      <w:pPr>
        <w:ind w:firstLine="422"/>
      </w:pPr>
    </w:p>
    <w:p>
      <w:pPr>
        <w:ind w:firstLine="422"/>
      </w:pPr>
    </w:p>
    <w:p>
      <w:pPr>
        <w:ind w:firstLine="422"/>
      </w:pPr>
    </w:p>
    <w:p>
      <w:pPr>
        <w:ind w:firstLine="422"/>
      </w:pPr>
    </w:p>
    <w:p>
      <w:pPr>
        <w:ind w:firstLine="422"/>
      </w:pPr>
    </w:p>
    <w:p>
      <w:pPr>
        <w:ind w:firstLine="422"/>
      </w:pPr>
    </w:p>
    <w:p>
      <w:pPr>
        <w:ind w:firstLine="422"/>
      </w:pPr>
      <w:r>
        <w:t>附件六：镇办意见</w:t>
      </w:r>
    </w:p>
    <w:p>
      <w:pPr>
        <w:ind w:firstLine="422"/>
        <w:jc w:val="center"/>
      </w:pPr>
      <w:r>
        <w:drawing>
          <wp:inline distT="0" distB="0" distL="114300" distR="114300">
            <wp:extent cx="6041390" cy="7911465"/>
            <wp:effectExtent l="0" t="0" r="16510" b="13335"/>
            <wp:docPr id="42" name="图片 42" descr="5abd699727f1e9ce114d21c97cbbd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5abd699727f1e9ce114d21c97cbbd9b"/>
                    <pic:cNvPicPr>
                      <a:picLocks noChangeAspect="1"/>
                    </pic:cNvPicPr>
                  </pic:nvPicPr>
                  <pic:blipFill>
                    <a:blip r:embed="rId35"/>
                    <a:stretch>
                      <a:fillRect/>
                    </a:stretch>
                  </pic:blipFill>
                  <pic:spPr>
                    <a:xfrm>
                      <a:off x="0" y="0"/>
                      <a:ext cx="6041390" cy="7911465"/>
                    </a:xfrm>
                    <a:prstGeom prst="rect">
                      <a:avLst/>
                    </a:prstGeom>
                  </pic:spPr>
                </pic:pic>
              </a:graphicData>
            </a:graphic>
          </wp:inline>
        </w:drawing>
      </w:r>
    </w:p>
    <w:p>
      <w:pPr>
        <w:ind w:firstLine="422"/>
      </w:pPr>
    </w:p>
    <w:p>
      <w:pPr>
        <w:ind w:firstLine="422"/>
      </w:pPr>
    </w:p>
    <w:p>
      <w:r>
        <w:br w:type="page"/>
      </w:r>
    </w:p>
    <w:p>
      <w:pPr>
        <w:ind w:firstLine="422"/>
      </w:pPr>
      <w:r>
        <w:t>附件七：</w:t>
      </w:r>
      <w:r>
        <w:rPr>
          <w:rFonts w:hint="eastAsia"/>
        </w:rPr>
        <w:t>硫酸铝成分分析</w:t>
      </w:r>
    </w:p>
    <w:p>
      <w:pPr>
        <w:pStyle w:val="2"/>
        <w:jc w:val="center"/>
      </w:pPr>
      <w:r>
        <w:rPr>
          <w:rFonts w:hint="eastAsia"/>
        </w:rPr>
        <w:drawing>
          <wp:inline distT="0" distB="0" distL="114300" distR="114300">
            <wp:extent cx="5166360" cy="7421880"/>
            <wp:effectExtent l="0" t="0" r="15240" b="7620"/>
            <wp:docPr id="1" name="图片 1" descr="a20753276d060b1375cf0ae83e7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a20753276d060b1375cf0ae83e72471"/>
                    <pic:cNvPicPr>
                      <a:picLocks noChangeAspect="1"/>
                    </pic:cNvPicPr>
                  </pic:nvPicPr>
                  <pic:blipFill>
                    <a:blip r:embed="rId36"/>
                    <a:stretch>
                      <a:fillRect/>
                    </a:stretch>
                  </pic:blipFill>
                  <pic:spPr>
                    <a:xfrm>
                      <a:off x="0" y="0"/>
                      <a:ext cx="5166360" cy="7421880"/>
                    </a:xfrm>
                    <a:prstGeom prst="rect">
                      <a:avLst/>
                    </a:prstGeom>
                  </pic:spPr>
                </pic:pic>
              </a:graphicData>
            </a:graphic>
          </wp:inline>
        </w:drawing>
      </w:r>
    </w:p>
    <w:p>
      <w:r>
        <w:br w:type="page"/>
      </w:r>
    </w:p>
    <w:p>
      <w:pPr>
        <w:ind w:firstLine="422"/>
      </w:pPr>
      <w:r>
        <w:t>附件</w:t>
      </w:r>
      <w:r>
        <w:rPr>
          <w:rFonts w:hint="eastAsia"/>
        </w:rPr>
        <w:t>八</w:t>
      </w:r>
      <w:r>
        <w:t>：租赁合同</w:t>
      </w:r>
    </w:p>
    <w:p>
      <w:pPr>
        <w:pStyle w:val="39"/>
        <w:ind w:left="0" w:leftChars="0" w:firstLine="0" w:firstLineChars="0"/>
      </w:pPr>
      <w:r>
        <w:rPr>
          <w:rFonts w:hint="eastAsia"/>
        </w:rPr>
        <w:drawing>
          <wp:inline distT="0" distB="0" distL="114300" distR="114300">
            <wp:extent cx="6285865" cy="8845550"/>
            <wp:effectExtent l="0" t="0" r="635" b="12700"/>
            <wp:docPr id="17" name="图片 17" descr="ee76f77b13e0086b8005a55fbf78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ee76f77b13e0086b8005a55fbf78665"/>
                    <pic:cNvPicPr>
                      <a:picLocks noChangeAspect="1"/>
                    </pic:cNvPicPr>
                  </pic:nvPicPr>
                  <pic:blipFill>
                    <a:blip r:embed="rId37"/>
                    <a:stretch>
                      <a:fillRect/>
                    </a:stretch>
                  </pic:blipFill>
                  <pic:spPr>
                    <a:xfrm>
                      <a:off x="0" y="0"/>
                      <a:ext cx="6285865" cy="8845550"/>
                    </a:xfrm>
                    <a:prstGeom prst="rect">
                      <a:avLst/>
                    </a:prstGeom>
                  </pic:spPr>
                </pic:pic>
              </a:graphicData>
            </a:graphic>
          </wp:inline>
        </w:drawing>
      </w:r>
    </w:p>
    <w:p>
      <w:pPr>
        <w:ind w:firstLine="422"/>
      </w:pPr>
    </w:p>
    <w:p>
      <w:pPr>
        <w:pStyle w:val="39"/>
        <w:ind w:left="0" w:leftChars="0" w:firstLine="0" w:firstLineChars="0"/>
        <w:sectPr>
          <w:pgSz w:w="11906" w:h="16838"/>
          <w:pgMar w:top="720" w:right="720" w:bottom="720" w:left="720" w:header="851" w:footer="992" w:gutter="0"/>
          <w:cols w:space="720" w:num="1"/>
          <w:docGrid w:type="lines" w:linePitch="317" w:charSpace="0"/>
        </w:sectPr>
      </w:pPr>
      <w:r>
        <w:rPr>
          <w:rFonts w:hint="eastAsia"/>
        </w:rPr>
        <w:drawing>
          <wp:inline distT="0" distB="0" distL="114300" distR="114300">
            <wp:extent cx="6198235" cy="8665845"/>
            <wp:effectExtent l="0" t="0" r="12065" b="1905"/>
            <wp:docPr id="18" name="图片 18" descr="61425106a84d13d1abe7e5bb0c1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61425106a84d13d1abe7e5bb0c11399"/>
                    <pic:cNvPicPr>
                      <a:picLocks noChangeAspect="1"/>
                    </pic:cNvPicPr>
                  </pic:nvPicPr>
                  <pic:blipFill>
                    <a:blip r:embed="rId38"/>
                    <a:stretch>
                      <a:fillRect/>
                    </a:stretch>
                  </pic:blipFill>
                  <pic:spPr>
                    <a:xfrm>
                      <a:off x="0" y="0"/>
                      <a:ext cx="6198235" cy="8665845"/>
                    </a:xfrm>
                    <a:prstGeom prst="rect">
                      <a:avLst/>
                    </a:prstGeom>
                  </pic:spPr>
                </pic:pic>
              </a:graphicData>
            </a:graphic>
          </wp:inline>
        </w:drawing>
      </w:r>
      <w:r>
        <w:rPr>
          <w:rFonts w:hint="eastAsia"/>
        </w:rPr>
        <w:drawing>
          <wp:inline distT="0" distB="0" distL="114300" distR="114300">
            <wp:extent cx="6449695" cy="9119870"/>
            <wp:effectExtent l="0" t="0" r="8255" b="5080"/>
            <wp:docPr id="20" name="图片 20" descr="9193d14abad00d65fc9592aa1cf9b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9193d14abad00d65fc9592aa1cf9ba5"/>
                    <pic:cNvPicPr>
                      <a:picLocks noChangeAspect="1"/>
                    </pic:cNvPicPr>
                  </pic:nvPicPr>
                  <pic:blipFill>
                    <a:blip r:embed="rId39"/>
                    <a:stretch>
                      <a:fillRect/>
                    </a:stretch>
                  </pic:blipFill>
                  <pic:spPr>
                    <a:xfrm>
                      <a:off x="0" y="0"/>
                      <a:ext cx="6449695" cy="9119870"/>
                    </a:xfrm>
                    <a:prstGeom prst="rect">
                      <a:avLst/>
                    </a:prstGeom>
                  </pic:spPr>
                </pic:pic>
              </a:graphicData>
            </a:graphic>
          </wp:inline>
        </w:drawing>
      </w:r>
    </w:p>
    <w:p>
      <w:pPr>
        <w:pStyle w:val="39"/>
        <w:ind w:left="0" w:leftChars="0" w:firstLine="0" w:firstLineChars="0"/>
        <w:jc w:val="center"/>
      </w:pPr>
      <w:r>
        <w:rPr>
          <w:sz w:val="28"/>
        </w:rPr>
        <mc:AlternateContent>
          <mc:Choice Requires="wps">
            <w:drawing>
              <wp:anchor distT="0" distB="0" distL="114300" distR="114300" simplePos="0" relativeHeight="251670528" behindDoc="0" locked="0" layoutInCell="1" allowOverlap="1">
                <wp:simplePos x="0" y="0"/>
                <wp:positionH relativeFrom="column">
                  <wp:posOffset>958850</wp:posOffset>
                </wp:positionH>
                <wp:positionV relativeFrom="paragraph">
                  <wp:posOffset>2127885</wp:posOffset>
                </wp:positionV>
                <wp:extent cx="612140" cy="255905"/>
                <wp:effectExtent l="4445" t="4445" r="12065" b="196850"/>
                <wp:wrapNone/>
                <wp:docPr id="109" name="矩形标注 109"/>
                <wp:cNvGraphicFramePr/>
                <a:graphic xmlns:a="http://schemas.openxmlformats.org/drawingml/2006/main">
                  <a:graphicData uri="http://schemas.microsoft.com/office/word/2010/wordprocessingShape">
                    <wps:wsp>
                      <wps:cNvSpPr/>
                      <wps:spPr>
                        <a:xfrm>
                          <a:off x="0" y="0"/>
                          <a:ext cx="612140" cy="255905"/>
                        </a:xfrm>
                        <a:prstGeom prst="wedgeRectCallout">
                          <a:avLst>
                            <a:gd name="adj1" fmla="val -38917"/>
                            <a:gd name="adj2" fmla="val 120000"/>
                          </a:avLst>
                        </a:prstGeom>
                        <a:solidFill>
                          <a:srgbClr val="FFFFFF"/>
                        </a:solidFill>
                        <a:ln w="9525" cap="flat" cmpd="sng">
                          <a:solidFill>
                            <a:srgbClr val="000000"/>
                          </a:solidFill>
                          <a:prstDash val="solid"/>
                          <a:miter/>
                          <a:headEnd type="none" w="med" len="med"/>
                          <a:tailEnd type="none" w="med" len="med"/>
                        </a:ln>
                      </wps:spPr>
                      <wps:txbx>
                        <w:txbxContent>
                          <w:p>
                            <w:pPr>
                              <w:rPr>
                                <w:sz w:val="15"/>
                                <w:szCs w:val="15"/>
                              </w:rPr>
                            </w:pPr>
                            <w:r>
                              <w:rPr>
                                <w:rFonts w:hint="eastAsia"/>
                                <w:sz w:val="15"/>
                                <w:szCs w:val="15"/>
                              </w:rPr>
                              <w:t>项目位置</w:t>
                            </w:r>
                          </w:p>
                        </w:txbxContent>
                      </wps:txbx>
                      <wps:bodyPr upright="1"/>
                    </wps:wsp>
                  </a:graphicData>
                </a:graphic>
              </wp:anchor>
            </w:drawing>
          </mc:Choice>
          <mc:Fallback>
            <w:pict>
              <v:shape id="_x0000_s1026" o:spid="_x0000_s1026" o:spt="61" type="#_x0000_t61" style="position:absolute;left:0pt;margin-left:75.5pt;margin-top:167.55pt;height:20.15pt;width:48.2pt;z-index:251670528;mso-width-relative:page;mso-height-relative:page;" fillcolor="#FFFFFF" filled="t" stroked="t" coordsize="21600,21600" o:gfxdata="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Tu4Ko2QAAAAsBAAAPAAAAAAAAAAEAIAAAACIAAABkcnMv&#10;ZG93bnJldi54bWxQSwECFAAUAAAACACHTuJAj6bvnDsCAACRBAAADgAAAAAAAAABACAAAAAoAQAA&#10;ZHJzL2Uyb0RvYy54bWxQSwUGAAAAAAYABgBZAQAA1QUAAAAA&#10;" adj="2394,36720">
                <v:fill on="t" focussize="0,0"/>
                <v:stroke color="#000000" joinstyle="miter"/>
                <v:imagedata o:title=""/>
                <o:lock v:ext="edit" aspectratio="f"/>
                <v:textbox>
                  <w:txbxContent>
                    <w:p>
                      <w:pPr>
                        <w:rPr>
                          <w:sz w:val="15"/>
                          <w:szCs w:val="15"/>
                        </w:rPr>
                      </w:pPr>
                      <w:r>
                        <w:rPr>
                          <w:rFonts w:hint="eastAsia"/>
                          <w:sz w:val="15"/>
                          <w:szCs w:val="15"/>
                        </w:rPr>
                        <w:t>项目位置</w:t>
                      </w:r>
                    </w:p>
                  </w:txbxContent>
                </v:textbox>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826135</wp:posOffset>
                </wp:positionH>
                <wp:positionV relativeFrom="paragraph">
                  <wp:posOffset>2645410</wp:posOffset>
                </wp:positionV>
                <wp:extent cx="118745" cy="76200"/>
                <wp:effectExtent l="9525" t="9525" r="24130" b="9525"/>
                <wp:wrapNone/>
                <wp:docPr id="76" name="矩形 76"/>
                <wp:cNvGraphicFramePr/>
                <a:graphic xmlns:a="http://schemas.openxmlformats.org/drawingml/2006/main">
                  <a:graphicData uri="http://schemas.microsoft.com/office/word/2010/wordprocessingShape">
                    <wps:wsp>
                      <wps:cNvSpPr/>
                      <wps:spPr>
                        <a:xfrm flipV="1">
                          <a:off x="1815465" y="3718560"/>
                          <a:ext cx="118745" cy="76200"/>
                        </a:xfrm>
                        <a:prstGeom prst="rect">
                          <a:avLst/>
                        </a:prstGeom>
                        <a:noFill/>
                        <a:ln w="19050">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flip:y;margin-left:65.05pt;margin-top:208.3pt;height:6pt;width:9.35pt;z-index:251669504;v-text-anchor:middle;mso-width-relative:page;mso-height-relative:page;" filled="f" stroked="t" coordsize="21600,21600" o:gfxdata="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1F/GI2AAAAAsBAAAPAAAAAAAAAAEAIAAAACIA&#10;AABkcnMvZG93bnJldi54bWxQSwECFAAUAAAACACHTuJA4DwT73sCAADhBAAADgAAAAAAAAABACAA&#10;AAAnAQAAZHJzL2Uyb0RvYy54bWxQSwUGAAAAAAYABgBZAQAAFAYAAAAA&#10;">
                <v:fill on="f" focussize="0,0"/>
                <v:stroke weight="1.5pt" color="#C00000 [2404]" miterlimit="8" joinstyle="miter"/>
                <v:imagedata o:title=""/>
                <o:lock v:ext="edit" aspectratio="f"/>
              </v:rect>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3376930</wp:posOffset>
                </wp:positionH>
                <wp:positionV relativeFrom="paragraph">
                  <wp:posOffset>2599690</wp:posOffset>
                </wp:positionV>
                <wp:extent cx="935990" cy="1148080"/>
                <wp:effectExtent l="0" t="0" r="16510" b="13970"/>
                <wp:wrapNone/>
                <wp:docPr id="107" name="直接箭头连接符 107"/>
                <wp:cNvGraphicFramePr/>
                <a:graphic xmlns:a="http://schemas.openxmlformats.org/drawingml/2006/main">
                  <a:graphicData uri="http://schemas.microsoft.com/office/word/2010/wordprocessingShape">
                    <wps:wsp>
                      <wps:cNvCnPr/>
                      <wps:spPr>
                        <a:xfrm flipH="1" flipV="1">
                          <a:off x="0" y="0"/>
                          <a:ext cx="935990" cy="1148080"/>
                        </a:xfrm>
                        <a:prstGeom prst="straightConnector1">
                          <a:avLst/>
                        </a:prstGeom>
                        <a:ln w="28575"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65.9pt;margin-top:204.7pt;height:90.4pt;width:73.7pt;z-index:251668480;mso-width-relative:page;mso-height-relative:page;" filled="f" stroked="t" coordsize="21600,21600" o:gfxdata="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gf2oNoAAAALAQAA&#10;DwAAAAAAAAABACAAAAAiAAAAZHJzL2Rvd25yZXYueG1sUEsBAhQAFAAAAAgAh07iQNmr63MXAgAA&#10;/AMAAA4AAAAAAAAAAQAgAAAAKQEAAGRycy9lMm9Eb2MueG1sUEsFBgAAAAAGAAYAWQEAALIFAAAA&#10;AA==&#10;">
                <v:fill on="f" focussize="0,0"/>
                <v:stroke weight="2.25pt" color="#000000 [3213]" miterlimit="8" joinstyle="miter" endarrow="open"/>
                <v:imagedata o:title=""/>
                <o:lock v:ext="edit" aspectratio="f"/>
              </v:shape>
            </w:pict>
          </mc:Fallback>
        </mc:AlternateContent>
      </w:r>
      <w:r>
        <w:drawing>
          <wp:anchor distT="0" distB="0" distL="114300" distR="114300" simplePos="0" relativeHeight="251667456" behindDoc="0" locked="0" layoutInCell="1" allowOverlap="1">
            <wp:simplePos x="0" y="0"/>
            <wp:positionH relativeFrom="column">
              <wp:posOffset>380365</wp:posOffset>
            </wp:positionH>
            <wp:positionV relativeFrom="paragraph">
              <wp:posOffset>670560</wp:posOffset>
            </wp:positionV>
            <wp:extent cx="2969895" cy="2614930"/>
            <wp:effectExtent l="28575" t="28575" r="30480" b="42545"/>
            <wp:wrapNone/>
            <wp:docPr id="105" name="图片 105" descr="170018457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700184570407"/>
                    <pic:cNvPicPr>
                      <a:picLocks noChangeAspect="1"/>
                    </pic:cNvPicPr>
                  </pic:nvPicPr>
                  <pic:blipFill>
                    <a:blip r:embed="rId40"/>
                    <a:stretch>
                      <a:fillRect/>
                    </a:stretch>
                  </pic:blipFill>
                  <pic:spPr>
                    <a:xfrm>
                      <a:off x="0" y="0"/>
                      <a:ext cx="2969895" cy="2614930"/>
                    </a:xfrm>
                    <a:prstGeom prst="rect">
                      <a:avLst/>
                    </a:prstGeom>
                    <a:ln w="28575" cmpd="sng">
                      <a:solidFill>
                        <a:schemeClr val="tx1"/>
                      </a:solidFill>
                      <a:prstDash val="solid"/>
                    </a:ln>
                  </pic:spPr>
                </pic:pic>
              </a:graphicData>
            </a:graphic>
          </wp:anchor>
        </w:drawing>
      </w:r>
      <w:r>
        <w:drawing>
          <wp:anchor distT="0" distB="0" distL="114300" distR="114300" simplePos="0" relativeHeight="251664384" behindDoc="0" locked="0" layoutInCell="1" allowOverlap="1">
            <wp:simplePos x="0" y="0"/>
            <wp:positionH relativeFrom="page">
              <wp:posOffset>7367270</wp:posOffset>
            </wp:positionH>
            <wp:positionV relativeFrom="paragraph">
              <wp:posOffset>-10795</wp:posOffset>
            </wp:positionV>
            <wp:extent cx="881380" cy="888365"/>
            <wp:effectExtent l="0" t="0" r="13970" b="6985"/>
            <wp:wrapNone/>
            <wp:docPr id="34"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a:picLocks noChangeAspect="1"/>
                    </pic:cNvPicPr>
                  </pic:nvPicPr>
                  <pic:blipFill>
                    <a:blip r:embed="rId41"/>
                    <a:stretch>
                      <a:fillRect/>
                    </a:stretch>
                  </pic:blipFill>
                  <pic:spPr>
                    <a:xfrm>
                      <a:off x="0" y="0"/>
                      <a:ext cx="881380" cy="888365"/>
                    </a:xfrm>
                    <a:prstGeom prst="rect">
                      <a:avLst/>
                    </a:prstGeom>
                    <a:noFill/>
                    <a:ln>
                      <a:noFill/>
                    </a:ln>
                  </pic:spPr>
                </pic:pic>
              </a:graphicData>
            </a:graphic>
          </wp:anchor>
        </w:drawing>
      </w:r>
      <w:r>
        <w:drawing>
          <wp:inline distT="0" distB="0" distL="114300" distR="114300">
            <wp:extent cx="5835650" cy="4853305"/>
            <wp:effectExtent l="0" t="0" r="12700" b="4445"/>
            <wp:docPr id="106" name="图片 106" descr="170018470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1700184703168"/>
                    <pic:cNvPicPr>
                      <a:picLocks noChangeAspect="1"/>
                    </pic:cNvPicPr>
                  </pic:nvPicPr>
                  <pic:blipFill>
                    <a:blip r:embed="rId42"/>
                    <a:stretch>
                      <a:fillRect/>
                    </a:stretch>
                  </pic:blipFill>
                  <pic:spPr>
                    <a:xfrm>
                      <a:off x="0" y="0"/>
                      <a:ext cx="5835650" cy="4853305"/>
                    </a:xfrm>
                    <a:prstGeom prst="rect">
                      <a:avLst/>
                    </a:prstGeom>
                  </pic:spPr>
                </pic:pic>
              </a:graphicData>
            </a:graphic>
          </wp:inline>
        </w:drawing>
      </w:r>
    </w:p>
    <w:p>
      <w:pPr>
        <w:ind w:firstLine="422"/>
        <w:jc w:val="center"/>
        <w:sectPr>
          <w:pgSz w:w="16838" w:h="11906" w:orient="landscape"/>
          <w:pgMar w:top="1701" w:right="1531" w:bottom="1701" w:left="1531" w:header="851" w:footer="851" w:gutter="0"/>
          <w:cols w:space="720" w:num="1"/>
          <w:docGrid w:linePitch="312" w:charSpace="0"/>
        </w:sectPr>
      </w:pPr>
      <w:r>
        <mc:AlternateContent>
          <mc:Choice Requires="wps">
            <w:drawing>
              <wp:anchor distT="0" distB="0" distL="114300" distR="114300" simplePos="0" relativeHeight="251663360" behindDoc="0" locked="0" layoutInCell="1" allowOverlap="1">
                <wp:simplePos x="0" y="0"/>
                <wp:positionH relativeFrom="column">
                  <wp:posOffset>5943600</wp:posOffset>
                </wp:positionH>
                <wp:positionV relativeFrom="paragraph">
                  <wp:posOffset>1943100</wp:posOffset>
                </wp:positionV>
                <wp:extent cx="619125" cy="164465"/>
                <wp:effectExtent l="6350" t="6350" r="22225" b="114935"/>
                <wp:wrapNone/>
                <wp:docPr id="33" name="圆角矩形标注 33"/>
                <wp:cNvGraphicFramePr/>
                <a:graphic xmlns:a="http://schemas.openxmlformats.org/drawingml/2006/main">
                  <a:graphicData uri="http://schemas.microsoft.com/office/word/2010/wordprocessingShape">
                    <wps:wsp>
                      <wps:cNvSpPr/>
                      <wps:spPr>
                        <a:xfrm>
                          <a:off x="0" y="0"/>
                          <a:ext cx="619125" cy="164465"/>
                        </a:xfrm>
                        <a:prstGeom prst="wedgeRoundRectCallout">
                          <a:avLst>
                            <a:gd name="adj1" fmla="val -37329"/>
                            <a:gd name="adj2" fmla="val 101931"/>
                            <a:gd name="adj3" fmla="val 16667"/>
                          </a:avLst>
                        </a:prstGeom>
                        <a:solidFill>
                          <a:srgbClr val="FFFFFF"/>
                        </a:solidFill>
                        <a:ln w="12700" cap="flat" cmpd="sng">
                          <a:solidFill>
                            <a:srgbClr val="000000"/>
                          </a:solidFill>
                          <a:prstDash val="solid"/>
                          <a:miter/>
                          <a:headEnd type="none" w="med" len="med"/>
                          <a:tailEnd type="none" w="med" len="med"/>
                        </a:ln>
                      </wps:spPr>
                      <wps:txbx>
                        <w:txbxContent>
                          <w:p>
                            <w:pPr>
                              <w:rPr>
                                <w:color w:val="000000"/>
                              </w:rPr>
                            </w:pPr>
                            <w:r>
                              <w:rPr>
                                <w:rFonts w:hint="eastAsia"/>
                                <w:color w:val="000000"/>
                              </w:rPr>
                              <w:t>项目所在地</w:t>
                            </w:r>
                          </w:p>
                        </w:txbxContent>
                      </wps:txbx>
                      <wps:bodyPr anchor="ctr" anchorCtr="0" upright="1"/>
                    </wps:wsp>
                  </a:graphicData>
                </a:graphic>
              </wp:anchor>
            </w:drawing>
          </mc:Choice>
          <mc:Fallback>
            <w:pict>
              <v:shape id="_x0000_s1026" o:spid="_x0000_s1026" o:spt="62" type="#_x0000_t62" style="position:absolute;left:0pt;margin-left:468pt;margin-top:153pt;height:12.95pt;width:48.75pt;z-index:251663360;v-text-anchor:middle;mso-width-relative:page;mso-height-relative:page;" fillcolor="#FFFFFF" filled="t" stroked="t" coordsize="21600,21600" o:gfxdata="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rySMFN0AAAAMAQAADwAAAAAAAAABACAAAAAiAAAAZHJzL2Rvd25yZXYueG1sUEsB&#10;AhQAFAAAAAgAh07iQEJ1IHtiAgAA2gQAAA4AAAAAAAAAAQAgAAAALAEAAGRycy9lMm9Eb2MueG1s&#10;UEsFBgAAAAAGAAYAWQEAAAAGAAAAAA==&#10;" adj="2737,32817,14400">
                <v:fill on="t" focussize="0,0"/>
                <v:stroke weight="1pt" color="#000000" joinstyle="miter"/>
                <v:imagedata o:title=""/>
                <o:lock v:ext="edit" aspectratio="f"/>
                <v:textbox>
                  <w:txbxContent>
                    <w:p>
                      <w:pPr>
                        <w:rPr>
                          <w:color w:val="000000"/>
                        </w:rPr>
                      </w:pPr>
                      <w:r>
                        <w:rPr>
                          <w:rFonts w:hint="eastAsia"/>
                          <w:color w:val="000000"/>
                        </w:rPr>
                        <w:t>项目所在地</w:t>
                      </w:r>
                    </w:p>
                  </w:txbxContent>
                </v:textbox>
              </v:shape>
            </w:pict>
          </mc:Fallback>
        </mc:AlternateContent>
      </w:r>
      <w:r>
        <w:rPr>
          <w:rFonts w:eastAsia="黑体"/>
          <w:b/>
          <w:bCs/>
          <w:sz w:val="28"/>
          <w:szCs w:val="36"/>
        </w:rPr>
        <w:t xml:space="preserve">附图1  项目地理位置图    </w:t>
      </w:r>
    </w:p>
    <w:p>
      <w:pPr>
        <w:ind w:firstLine="422"/>
        <w:jc w:val="center"/>
      </w:pPr>
      <w:r>
        <mc:AlternateContent>
          <mc:Choice Requires="wps">
            <w:drawing>
              <wp:anchor distT="0" distB="0" distL="114300" distR="114300" simplePos="0" relativeHeight="251666432" behindDoc="0" locked="0" layoutInCell="1" allowOverlap="1">
                <wp:simplePos x="0" y="0"/>
                <wp:positionH relativeFrom="column">
                  <wp:posOffset>6028690</wp:posOffset>
                </wp:positionH>
                <wp:positionV relativeFrom="paragraph">
                  <wp:posOffset>61595</wp:posOffset>
                </wp:positionV>
                <wp:extent cx="412750" cy="432435"/>
                <wp:effectExtent l="0" t="0" r="6350" b="5715"/>
                <wp:wrapNone/>
                <wp:docPr id="11" name="文本框 11"/>
                <wp:cNvGraphicFramePr/>
                <a:graphic xmlns:a="http://schemas.openxmlformats.org/drawingml/2006/main">
                  <a:graphicData uri="http://schemas.microsoft.com/office/word/2010/wordprocessingShape">
                    <wps:wsp>
                      <wps:cNvSpPr txBox="1"/>
                      <wps:spPr>
                        <a:xfrm>
                          <a:off x="9749790" y="1485900"/>
                          <a:ext cx="412750" cy="43243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sz w:val="28"/>
                                <w:szCs w:val="28"/>
                              </w:rPr>
                            </w:pPr>
                            <w:r>
                              <w:rPr>
                                <w:rFonts w:hint="eastAsia"/>
                                <w:sz w:val="28"/>
                                <w:szCs w:val="28"/>
                              </w:rPr>
                              <w:t>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4.7pt;margin-top:4.85pt;height:34.05pt;width:32.5pt;z-index:251666432;mso-width-relative:page;mso-height-relative:page;" fillcolor="#FFFFFF [3201]" filled="t" stroked="f" coordsize="21600,21600" o:gfxdata="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FoByRnVAAAA&#10;CQEAAA8AAAAAAAAAAQAgAAAAIgAAAGRycy9kb3ducmV2LnhtbFBLAQIUABQAAAAIAIdO4kCDCQ9G&#10;WQIAAJwEAAAOAAAAAAAAAAEAIAAAACQBAABkcnMvZTJvRG9jLnhtbFBLBQYAAAAABgAGAFkBAADv&#10;BQAAAAA=&#10;">
                <v:fill on="t" focussize="0,0"/>
                <v:stroke on="f" weight="0.5pt"/>
                <v:imagedata o:title=""/>
                <o:lock v:ext="edit" aspectratio="f"/>
                <v:textbox>
                  <w:txbxContent>
                    <w:p>
                      <w:pPr>
                        <w:rPr>
                          <w:sz w:val="28"/>
                          <w:szCs w:val="28"/>
                        </w:rPr>
                      </w:pPr>
                      <w:r>
                        <w:rPr>
                          <w:rFonts w:hint="eastAsia"/>
                          <w:sz w:val="28"/>
                          <w:szCs w:val="28"/>
                        </w:rPr>
                        <w:t>北</w:t>
                      </w:r>
                    </w:p>
                  </w:txbxContent>
                </v:textbox>
              </v:shape>
            </w:pict>
          </mc:Fallback>
        </mc:AlternateContent>
      </w:r>
      <w:r>
        <mc:AlternateContent>
          <mc:Choice Requires="wpg">
            <w:drawing>
              <wp:anchor distT="0" distB="0" distL="114300" distR="114300" simplePos="0" relativeHeight="251683840" behindDoc="0" locked="0" layoutInCell="1" allowOverlap="1">
                <wp:simplePos x="0" y="0"/>
                <wp:positionH relativeFrom="column">
                  <wp:posOffset>4877435</wp:posOffset>
                </wp:positionH>
                <wp:positionV relativeFrom="paragraph">
                  <wp:posOffset>6416675</wp:posOffset>
                </wp:positionV>
                <wp:extent cx="1775460" cy="567055"/>
                <wp:effectExtent l="0" t="0" r="0" b="27940"/>
                <wp:wrapNone/>
                <wp:docPr id="24" name="组合 24"/>
                <wp:cNvGraphicFramePr/>
                <a:graphic xmlns:a="http://schemas.openxmlformats.org/drawingml/2006/main">
                  <a:graphicData uri="http://schemas.microsoft.com/office/word/2010/wordprocessingGroup">
                    <wpg:wgp>
                      <wpg:cNvGrpSpPr/>
                      <wpg:grpSpPr>
                        <a:xfrm>
                          <a:off x="0" y="0"/>
                          <a:ext cx="1775460" cy="567055"/>
                          <a:chOff x="16106" y="794590"/>
                          <a:chExt cx="2796" cy="893"/>
                        </a:xfrm>
                      </wpg:grpSpPr>
                      <wps:wsp>
                        <wps:cNvPr id="19" name="矩形 19"/>
                        <wps:cNvSpPr/>
                        <wps:spPr>
                          <a:xfrm>
                            <a:off x="16106" y="794590"/>
                            <a:ext cx="2797" cy="748"/>
                          </a:xfrm>
                          <a:prstGeom prst="rect">
                            <a:avLst/>
                          </a:prstGeom>
                          <a:solidFill>
                            <a:srgbClr val="FFFFFF">
                              <a:alpha val="0"/>
                            </a:srgbClr>
                          </a:solidFill>
                          <a:ln>
                            <a:noFill/>
                          </a:ln>
                          <a:effectLst/>
                        </wps:spPr>
                        <wps:txbx>
                          <w:txbxContent>
                            <w:p>
                              <w:pPr>
                                <w:ind w:firstLine="964" w:firstLineChars="400"/>
                                <w:rPr>
                                  <w:rFonts w:ascii="黑体" w:hAnsi="黑体" w:eastAsia="黑体"/>
                                  <w:b/>
                                  <w:color w:val="FF0000"/>
                                  <w:sz w:val="24"/>
                                </w:rPr>
                              </w:pPr>
                              <w:r>
                                <w:rPr>
                                  <w:rFonts w:hint="eastAsia" w:ascii="黑体" w:hAnsi="黑体" w:eastAsia="黑体"/>
                                  <w:b/>
                                  <w:color w:val="FF0000"/>
                                  <w:sz w:val="24"/>
                                </w:rPr>
                                <w:t>比例尺</w:t>
                              </w:r>
                            </w:p>
                            <w:p>
                              <w:pPr>
                                <w:jc w:val="center"/>
                                <w:rPr>
                                  <w:rFonts w:ascii="黑体" w:hAnsi="黑体" w:eastAsia="黑体"/>
                                  <w:b/>
                                  <w:color w:val="FF0000"/>
                                  <w:sz w:val="24"/>
                                </w:rPr>
                              </w:pPr>
                              <w:r>
                                <w:rPr>
                                  <w:rFonts w:hint="eastAsia" w:ascii="黑体" w:hAnsi="黑体" w:eastAsia="黑体"/>
                                  <w:b/>
                                  <w:color w:val="FF0000"/>
                                  <w:sz w:val="24"/>
                                </w:rPr>
                                <w:t>0    10m</w:t>
                              </w:r>
                            </w:p>
                          </w:txbxContent>
                        </wps:txbx>
                        <wps:bodyPr upright="1"/>
                      </wps:wsp>
                      <wpg:grpSp>
                        <wpg:cNvPr id="25" name="组合 20"/>
                        <wpg:cNvGrpSpPr/>
                        <wpg:grpSpPr>
                          <a:xfrm>
                            <a:off x="17002" y="795363"/>
                            <a:ext cx="813" cy="120"/>
                            <a:chOff x="2295" y="10072"/>
                            <a:chExt cx="1350" cy="248"/>
                          </a:xfrm>
                          <a:effectLst/>
                        </wpg:grpSpPr>
                        <wps:wsp>
                          <wps:cNvPr id="7" name="直接箭头连接符 5"/>
                          <wps:cNvCnPr/>
                          <wps:spPr>
                            <a:xfrm>
                              <a:off x="2295" y="10320"/>
                              <a:ext cx="1350" cy="0"/>
                            </a:xfrm>
                            <a:prstGeom prst="straightConnector1">
                              <a:avLst/>
                            </a:prstGeom>
                            <a:ln w="19050" cap="flat" cmpd="sng">
                              <a:solidFill>
                                <a:srgbClr val="FF0000"/>
                              </a:solidFill>
                              <a:prstDash val="solid"/>
                              <a:headEnd type="none" w="med" len="med"/>
                              <a:tailEnd type="none" w="med" len="med"/>
                            </a:ln>
                            <a:effectLst/>
                          </wps:spPr>
                          <wps:bodyPr/>
                        </wps:wsp>
                        <wps:wsp>
                          <wps:cNvPr id="28" name="直接箭头连接符 6"/>
                          <wps:cNvCnPr/>
                          <wps:spPr>
                            <a:xfrm flipV="1">
                              <a:off x="2295" y="10080"/>
                              <a:ext cx="0" cy="240"/>
                            </a:xfrm>
                            <a:prstGeom prst="straightConnector1">
                              <a:avLst/>
                            </a:prstGeom>
                            <a:ln w="19050" cap="flat" cmpd="sng">
                              <a:solidFill>
                                <a:srgbClr val="FF0000"/>
                              </a:solidFill>
                              <a:prstDash val="solid"/>
                              <a:headEnd type="none" w="med" len="med"/>
                              <a:tailEnd type="none" w="med" len="med"/>
                            </a:ln>
                            <a:effectLst/>
                          </wps:spPr>
                          <wps:bodyPr/>
                        </wps:wsp>
                        <wps:wsp>
                          <wps:cNvPr id="22" name="直接箭头连接符 7"/>
                          <wps:cNvCnPr/>
                          <wps:spPr>
                            <a:xfrm flipV="1">
                              <a:off x="3645" y="10072"/>
                              <a:ext cx="0" cy="240"/>
                            </a:xfrm>
                            <a:prstGeom prst="straightConnector1">
                              <a:avLst/>
                            </a:prstGeom>
                            <a:ln w="19050" cap="flat" cmpd="sng">
                              <a:solidFill>
                                <a:srgbClr val="FF0000"/>
                              </a:solidFill>
                              <a:prstDash val="solid"/>
                              <a:headEnd type="none" w="med" len="med"/>
                              <a:tailEnd type="none" w="med" len="med"/>
                            </a:ln>
                            <a:effectLst/>
                          </wps:spPr>
                          <wps:bodyPr/>
                        </wps:wsp>
                      </wpg:grpSp>
                    </wpg:wgp>
                  </a:graphicData>
                </a:graphic>
              </wp:anchor>
            </w:drawing>
          </mc:Choice>
          <mc:Fallback>
            <w:pict>
              <v:group id="_x0000_s1026" o:spid="_x0000_s1026" o:spt="203" style="position:absolute;left:0pt;margin-left:384.05pt;margin-top:505.25pt;height:44.65pt;width:139.8pt;z-index:251683840;mso-width-relative:page;mso-height-relative:page;" coordorigin="16106,794590" coordsize="2796,893" o:gfxdata="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">
                <o:lock v:ext="edit" aspectratio="f"/>
                <v:rect id="_x0000_s1026" o:spid="_x0000_s1026" o:spt="1" style="position:absolute;left:16106;top:794590;height:748;width:2797;" fillcolor="#FFFFFF" filled="t" stroked="f" coordsize="21600,21600" o:gfxdata="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IyrdAugAAANsA&#10;AAAPAAAAAAAAAAEAIAAAACIAAABkcnMvZG93bnJldi54bWxQSwECFAAUAAAACACHTuJAMy8FnjsA&#10;AAA5AAAAEAAAAAAAAAABACAAAAAJAQAAZHJzL3NoYXBleG1sLnhtbFBLBQYAAAAABgAGAFsBAACz&#10;AwAAAAA=&#10;">
                  <v:fill on="t" opacity="0f" focussize="0,0"/>
                  <v:stroke on="f"/>
                  <v:imagedata o:title=""/>
                  <o:lock v:ext="edit" aspectratio="f"/>
                  <v:textbox>
                    <w:txbxContent>
                      <w:p>
                        <w:pPr>
                          <w:ind w:firstLine="964" w:firstLineChars="400"/>
                          <w:rPr>
                            <w:rFonts w:ascii="黑体" w:hAnsi="黑体" w:eastAsia="黑体"/>
                            <w:b/>
                            <w:color w:val="FF0000"/>
                            <w:sz w:val="24"/>
                          </w:rPr>
                        </w:pPr>
                        <w:r>
                          <w:rPr>
                            <w:rFonts w:hint="eastAsia" w:ascii="黑体" w:hAnsi="黑体" w:eastAsia="黑体"/>
                            <w:b/>
                            <w:color w:val="FF0000"/>
                            <w:sz w:val="24"/>
                          </w:rPr>
                          <w:t>比例尺</w:t>
                        </w:r>
                      </w:p>
                      <w:p>
                        <w:pPr>
                          <w:jc w:val="center"/>
                          <w:rPr>
                            <w:rFonts w:ascii="黑体" w:hAnsi="黑体" w:eastAsia="黑体"/>
                            <w:b/>
                            <w:color w:val="FF0000"/>
                            <w:sz w:val="24"/>
                          </w:rPr>
                        </w:pPr>
                        <w:r>
                          <w:rPr>
                            <w:rFonts w:hint="eastAsia" w:ascii="黑体" w:hAnsi="黑体" w:eastAsia="黑体"/>
                            <w:b/>
                            <w:color w:val="FF0000"/>
                            <w:sz w:val="24"/>
                          </w:rPr>
                          <w:t>0    10m</w:t>
                        </w:r>
                      </w:p>
                    </w:txbxContent>
                  </v:textbox>
                </v:rect>
                <v:group id="组合 20" o:spid="_x0000_s1026" o:spt="203" style="position:absolute;left:17002;top:795363;height:120;width:813;" coordorigin="2295,10072" coordsize="1350,248" o:gfxdata="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BX4ML0AAADbAAAADwAAAAAAAAABACAAAAAiAAAAZHJzL2Rvd25yZXYueG1s&#10;UEsBAhQAFAAAAAgAh07iQDMvBZ47AAAAOQAAABUAAAAAAAAAAQAgAAAADAEAAGRycy9ncm91cHNo&#10;YXBleG1sLnhtbFBLBQYAAAAABgAGAGABAADJAwAAAAA=&#10;">
                  <o:lock v:ext="edit" aspectratio="f"/>
                  <v:shape id="直接箭头连接符 5" o:spid="_x0000_s1026" o:spt="32" type="#_x0000_t32" style="position:absolute;left:2295;top:10320;height:0;width:1350;" filled="f" stroked="t" coordsize="21600,21600" o:gfxdata="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mIn3u8AAAA&#10;2gAAAA8AAAAAAAAAAQAgAAAAIgAAAGRycy9kb3ducmV2LnhtbFBLAQIUABQAAAAIAIdO4kAzLwWe&#10;OwAAADkAAAAQAAAAAAAAAAEAIAAAAAsBAABkcnMvc2hhcGV4bWwueG1sUEsFBgAAAAAGAAYAWwEA&#10;ALUDAAAAAA==&#10;">
                    <v:fill on="f" focussize="0,0"/>
                    <v:stroke weight="1.5pt" color="#FF0000" joinstyle="round"/>
                    <v:imagedata o:title=""/>
                    <o:lock v:ext="edit" aspectratio="f"/>
                  </v:shape>
                  <v:shape id="直接箭头连接符 6" o:spid="_x0000_s1026" o:spt="32" type="#_x0000_t32" style="position:absolute;left:2295;top:10080;flip:y;height:240;width:0;" filled="f" stroked="t" coordsize="21600,21600" o:gfxdata="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7Xffe5AAAA2wAA&#10;AA8AAAAAAAAAAQAgAAAAIgAAAGRycy9kb3ducmV2LnhtbFBLAQIUABQAAAAIAIdO4kAzLwWeOwAA&#10;ADkAAAAQAAAAAAAAAAEAIAAAAAgBAABkcnMvc2hhcGV4bWwueG1sUEsFBgAAAAAGAAYAWwEAALID&#10;AAAAAA==&#10;">
                    <v:fill on="f" focussize="0,0"/>
                    <v:stroke weight="1.5pt" color="#FF0000" joinstyle="round"/>
                    <v:imagedata o:title=""/>
                    <o:lock v:ext="edit" aspectratio="f"/>
                  </v:shape>
                  <v:shape id="直接箭头连接符 7" o:spid="_x0000_s1026" o:spt="32" type="#_x0000_t32" style="position:absolute;left:3645;top:10072;flip:y;height:240;width:0;" filled="f" stroked="t" coordsize="21600,21600" o:gfxdata="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P0odvQAA&#10;ANsAAAAPAAAAAAAAAAEAIAAAACIAAABkcnMvZG93bnJldi54bWxQSwECFAAUAAAACACHTuJAMy8F&#10;njsAAAA5AAAAEAAAAAAAAAABACAAAAAMAQAAZHJzL3NoYXBleG1sLnhtbFBLBQYAAAAABgAGAFsB&#10;AAC2AwAAAAA=&#10;">
                    <v:fill on="f" focussize="0,0"/>
                    <v:stroke weight="1.5pt" color="#FF0000" joinstyle="round"/>
                    <v:imagedata o:title=""/>
                    <o:lock v:ext="edit" aspectratio="f"/>
                  </v:shape>
                </v:group>
              </v:group>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5739130</wp:posOffset>
                </wp:positionH>
                <wp:positionV relativeFrom="paragraph">
                  <wp:posOffset>329565</wp:posOffset>
                </wp:positionV>
                <wp:extent cx="283845" cy="4445"/>
                <wp:effectExtent l="0" t="46355" r="1905" b="63500"/>
                <wp:wrapNone/>
                <wp:docPr id="13" name="直接箭头连接符 13"/>
                <wp:cNvGraphicFramePr/>
                <a:graphic xmlns:a="http://schemas.openxmlformats.org/drawingml/2006/main">
                  <a:graphicData uri="http://schemas.microsoft.com/office/word/2010/wordprocessingShape">
                    <wps:wsp>
                      <wps:cNvCnPr/>
                      <wps:spPr>
                        <a:xfrm>
                          <a:off x="8957945" y="1485900"/>
                          <a:ext cx="283845" cy="444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451.9pt;margin-top:25.95pt;height:0.35pt;width:22.35pt;z-index:251665408;mso-width-relative:page;mso-height-relative:page;" filled="f" stroked="t" coordsize="21600,21600" o:gfxdata="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omJT9tkAAAAJAQAADwAAAAAA&#10;AAABACAAAAAiAAAAZHJzL2Rvd25yZXYueG1sUEsBAhQAFAAAAAgAh07iQGdfD38SAgAA7gMAAA4A&#10;AAAAAAAAAQAgAAAAKAEAAGRycy9lMm9Eb2MueG1sUEsFBgAAAAAGAAYAWQEAAKwFAAAAAA==&#10;">
                <v:fill on="f" focussize="0,0"/>
                <v:stroke weight="0.5pt" color="#000000 [3213]" miterlimit="8" joinstyle="miter" endarrow="open"/>
                <v:imagedata o:title=""/>
                <o:lock v:ext="edit" aspectratio="f"/>
              </v:shape>
            </w:pict>
          </mc:Fallback>
        </mc:AlternateContent>
      </w:r>
      <w:r>
        <w:drawing>
          <wp:inline distT="0" distB="0" distL="114300" distR="114300">
            <wp:extent cx="4638675" cy="6353175"/>
            <wp:effectExtent l="0" t="0" r="9525" b="9525"/>
            <wp:docPr id="9" name="图片 9" descr="170614730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706147302733"/>
                    <pic:cNvPicPr>
                      <a:picLocks noChangeAspect="1"/>
                    </pic:cNvPicPr>
                  </pic:nvPicPr>
                  <pic:blipFill>
                    <a:blip r:embed="rId43"/>
                    <a:srcRect b="640"/>
                    <a:stretch>
                      <a:fillRect/>
                    </a:stretch>
                  </pic:blipFill>
                  <pic:spPr>
                    <a:xfrm>
                      <a:off x="0" y="0"/>
                      <a:ext cx="4638675" cy="6353175"/>
                    </a:xfrm>
                    <a:prstGeom prst="rect">
                      <a:avLst/>
                    </a:prstGeom>
                  </pic:spPr>
                </pic:pic>
              </a:graphicData>
            </a:graphic>
          </wp:inline>
        </w:drawing>
      </w:r>
    </w:p>
    <w:p>
      <w:pPr>
        <w:ind w:firstLine="422"/>
        <w:jc w:val="center"/>
        <w:rPr>
          <w:rFonts w:eastAsia="黑体"/>
          <w:b/>
          <w:bCs/>
          <w:sz w:val="28"/>
          <w:szCs w:val="36"/>
        </w:rPr>
      </w:pPr>
      <w:r>
        <w:rPr>
          <w:rFonts w:eastAsia="黑体"/>
          <w:b/>
          <w:bCs/>
          <w:sz w:val="28"/>
          <w:szCs w:val="36"/>
        </w:rPr>
        <w:t xml:space="preserve">        </w:t>
      </w:r>
    </w:p>
    <w:p>
      <w:pPr>
        <w:ind w:firstLine="422"/>
        <w:jc w:val="center"/>
        <w:rPr>
          <w:rFonts w:eastAsia="黑体"/>
          <w:b/>
          <w:bCs/>
          <w:sz w:val="28"/>
          <w:szCs w:val="36"/>
        </w:rPr>
        <w:sectPr>
          <w:footerReference r:id="rId6" w:type="default"/>
          <w:pgSz w:w="11906" w:h="16838"/>
          <w:pgMar w:top="720" w:right="720" w:bottom="720" w:left="720" w:header="851" w:footer="992" w:gutter="0"/>
          <w:cols w:space="720" w:num="1"/>
          <w:docGrid w:type="lines" w:linePitch="312" w:charSpace="0"/>
        </w:sectPr>
      </w:pPr>
      <w:r>
        <w:rPr>
          <w:rFonts w:eastAsia="黑体"/>
          <w:b/>
          <w:bCs/>
          <w:sz w:val="28"/>
          <w:szCs w:val="36"/>
        </w:rPr>
        <w:t>附图2  厂区平面布置图</w:t>
      </w:r>
    </w:p>
    <w:p>
      <w:pPr>
        <w:ind w:firstLine="422"/>
        <w:jc w:val="center"/>
        <w:rPr>
          <w:rFonts w:eastAsia="黑体"/>
          <w:b/>
          <w:bCs/>
          <w:sz w:val="28"/>
          <w:szCs w:val="36"/>
        </w:rPr>
      </w:pPr>
      <w:r>
        <w:drawing>
          <wp:anchor distT="0" distB="0" distL="114300" distR="114300" simplePos="0" relativeHeight="251661312" behindDoc="0" locked="0" layoutInCell="1" allowOverlap="1">
            <wp:simplePos x="0" y="0"/>
            <wp:positionH relativeFrom="page">
              <wp:posOffset>8388350</wp:posOffset>
            </wp:positionH>
            <wp:positionV relativeFrom="paragraph">
              <wp:posOffset>20320</wp:posOffset>
            </wp:positionV>
            <wp:extent cx="926465" cy="933450"/>
            <wp:effectExtent l="0" t="0" r="6985" b="0"/>
            <wp:wrapNone/>
            <wp:docPr id="5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3"/>
                    <pic:cNvPicPr>
                      <a:picLocks noChangeAspect="1"/>
                    </pic:cNvPicPr>
                  </pic:nvPicPr>
                  <pic:blipFill>
                    <a:blip r:embed="rId41"/>
                    <a:stretch>
                      <a:fillRect/>
                    </a:stretch>
                  </pic:blipFill>
                  <pic:spPr>
                    <a:xfrm>
                      <a:off x="0" y="0"/>
                      <a:ext cx="926465" cy="933450"/>
                    </a:xfrm>
                    <a:prstGeom prst="rect">
                      <a:avLst/>
                    </a:prstGeom>
                    <a:noFill/>
                    <a:ln>
                      <a:noFill/>
                    </a:ln>
                  </pic:spPr>
                </pic:pic>
              </a:graphicData>
            </a:graphic>
          </wp:anchor>
        </w:drawing>
      </w:r>
      <w:r>
        <w:drawing>
          <wp:inline distT="0" distB="0" distL="114300" distR="114300">
            <wp:extent cx="7663815" cy="5864860"/>
            <wp:effectExtent l="0" t="0" r="13335" b="2540"/>
            <wp:docPr id="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
                    <pic:cNvPicPr>
                      <a:picLocks noChangeAspect="1"/>
                    </pic:cNvPicPr>
                  </pic:nvPicPr>
                  <pic:blipFill>
                    <a:blip r:embed="rId44"/>
                    <a:stretch>
                      <a:fillRect/>
                    </a:stretch>
                  </pic:blipFill>
                  <pic:spPr>
                    <a:xfrm>
                      <a:off x="0" y="0"/>
                      <a:ext cx="7663815" cy="5864860"/>
                    </a:xfrm>
                    <a:prstGeom prst="rect">
                      <a:avLst/>
                    </a:prstGeom>
                    <a:noFill/>
                    <a:ln>
                      <a:noFill/>
                    </a:ln>
                  </pic:spPr>
                </pic:pic>
              </a:graphicData>
            </a:graphic>
          </wp:inline>
        </w:drawing>
      </w:r>
    </w:p>
    <w:p>
      <w:pPr>
        <w:ind w:firstLine="562"/>
        <w:jc w:val="center"/>
        <w:rPr>
          <w:rFonts w:eastAsia="黑体"/>
          <w:b/>
          <w:bCs/>
          <w:sz w:val="28"/>
          <w:szCs w:val="36"/>
        </w:rPr>
        <w:sectPr>
          <w:pgSz w:w="16838" w:h="11906" w:orient="landscape"/>
          <w:pgMar w:top="720" w:right="720" w:bottom="720" w:left="720" w:header="851" w:footer="992" w:gutter="0"/>
          <w:cols w:space="720" w:num="1"/>
          <w:docGrid w:type="lines" w:linePitch="312" w:charSpace="0"/>
        </w:sectPr>
      </w:pPr>
      <w:r>
        <w:rPr>
          <w:rFonts w:eastAsia="黑体"/>
          <w:b/>
          <w:bCs/>
          <w:sz w:val="28"/>
          <w:szCs w:val="36"/>
        </w:rPr>
        <w:t>附图3  环境保护目标分布图  比例尺1:7235</w:t>
      </w:r>
    </w:p>
    <w:p>
      <w:pPr>
        <w:ind w:firstLine="560"/>
        <w:jc w:val="center"/>
        <w:rPr>
          <w:b/>
          <w:bCs/>
          <w:sz w:val="28"/>
          <w:szCs w:val="36"/>
        </w:rPr>
      </w:pPr>
      <w:r>
        <w:drawing>
          <wp:anchor distT="0" distB="0" distL="114300" distR="114300" simplePos="0" relativeHeight="251684864" behindDoc="0" locked="0" layoutInCell="1" allowOverlap="1">
            <wp:simplePos x="0" y="0"/>
            <wp:positionH relativeFrom="page">
              <wp:posOffset>7938770</wp:posOffset>
            </wp:positionH>
            <wp:positionV relativeFrom="paragraph">
              <wp:posOffset>40640</wp:posOffset>
            </wp:positionV>
            <wp:extent cx="881380" cy="888365"/>
            <wp:effectExtent l="0" t="0" r="13970" b="6985"/>
            <wp:wrapNone/>
            <wp:docPr id="10"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7.jpeg"/>
                    <pic:cNvPicPr>
                      <a:picLocks noChangeAspect="1"/>
                    </pic:cNvPicPr>
                  </pic:nvPicPr>
                  <pic:blipFill>
                    <a:blip r:embed="rId41"/>
                    <a:stretch>
                      <a:fillRect/>
                    </a:stretch>
                  </pic:blipFill>
                  <pic:spPr>
                    <a:xfrm>
                      <a:off x="0" y="0"/>
                      <a:ext cx="881380" cy="888365"/>
                    </a:xfrm>
                    <a:prstGeom prst="rect">
                      <a:avLst/>
                    </a:prstGeom>
                    <a:noFill/>
                    <a:ln>
                      <a:noFill/>
                    </a:ln>
                  </pic:spPr>
                </pic:pic>
              </a:graphicData>
            </a:graphic>
          </wp:anchor>
        </w:drawing>
      </w:r>
      <w:r>
        <w:rPr>
          <w:rFonts w:hint="eastAsia"/>
          <w:b/>
          <w:bCs/>
          <w:sz w:val="28"/>
          <w:szCs w:val="36"/>
        </w:rPr>
        <w:drawing>
          <wp:inline distT="0" distB="0" distL="114300" distR="114300">
            <wp:extent cx="6454775" cy="5858510"/>
            <wp:effectExtent l="0" t="0" r="3175" b="8890"/>
            <wp:docPr id="55" name="图片 55" descr="170659236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706592362811"/>
                    <pic:cNvPicPr>
                      <a:picLocks noChangeAspect="1"/>
                    </pic:cNvPicPr>
                  </pic:nvPicPr>
                  <pic:blipFill>
                    <a:blip r:embed="rId45"/>
                    <a:stretch>
                      <a:fillRect/>
                    </a:stretch>
                  </pic:blipFill>
                  <pic:spPr>
                    <a:xfrm>
                      <a:off x="0" y="0"/>
                      <a:ext cx="6454775" cy="5858510"/>
                    </a:xfrm>
                    <a:prstGeom prst="rect">
                      <a:avLst/>
                    </a:prstGeom>
                  </pic:spPr>
                </pic:pic>
              </a:graphicData>
            </a:graphic>
          </wp:inline>
        </w:drawing>
      </w:r>
    </w:p>
    <w:p>
      <w:pPr>
        <w:ind w:firstLine="562"/>
        <w:jc w:val="center"/>
        <w:rPr>
          <w:rFonts w:eastAsia="黑体"/>
          <w:b/>
          <w:bCs/>
          <w:sz w:val="28"/>
          <w:szCs w:val="36"/>
        </w:rPr>
        <w:sectPr>
          <w:pgSz w:w="16838" w:h="11906" w:orient="landscape"/>
          <w:pgMar w:top="720" w:right="720" w:bottom="720" w:left="720" w:header="851" w:footer="992" w:gutter="0"/>
          <w:cols w:space="720" w:num="1"/>
          <w:docGrid w:type="lines" w:linePitch="312" w:charSpace="0"/>
        </w:sectPr>
      </w:pPr>
      <w:r>
        <w:rPr>
          <w:rFonts w:eastAsia="黑体"/>
          <w:b/>
          <w:bCs/>
          <w:sz w:val="28"/>
          <w:szCs w:val="36"/>
        </w:rPr>
        <w:t>附图4   项目厂区周边四至图</w:t>
      </w:r>
    </w:p>
    <w:p>
      <w:pPr>
        <w:ind w:firstLine="562"/>
        <w:jc w:val="center"/>
      </w:pPr>
      <w:r>
        <w:rPr>
          <w:sz w:val="28"/>
        </w:rPr>
        <mc:AlternateContent>
          <mc:Choice Requires="wps">
            <w:drawing>
              <wp:anchor distT="0" distB="0" distL="114300" distR="114300" simplePos="0" relativeHeight="251682816" behindDoc="0" locked="0" layoutInCell="1" allowOverlap="1">
                <wp:simplePos x="0" y="0"/>
                <wp:positionH relativeFrom="column">
                  <wp:posOffset>8195310</wp:posOffset>
                </wp:positionH>
                <wp:positionV relativeFrom="paragraph">
                  <wp:posOffset>1483995</wp:posOffset>
                </wp:positionV>
                <wp:extent cx="790575" cy="323850"/>
                <wp:effectExtent l="5080" t="5080" r="4445" b="242570"/>
                <wp:wrapNone/>
                <wp:docPr id="93" name="矩形标注 93"/>
                <wp:cNvGraphicFramePr/>
                <a:graphic xmlns:a="http://schemas.openxmlformats.org/drawingml/2006/main">
                  <a:graphicData uri="http://schemas.microsoft.com/office/word/2010/wordprocessingShape">
                    <wps:wsp>
                      <wps:cNvSpPr/>
                      <wps:spPr>
                        <a:xfrm>
                          <a:off x="0" y="0"/>
                          <a:ext cx="790575" cy="323850"/>
                        </a:xfrm>
                        <a:prstGeom prst="wedgeRectCallout">
                          <a:avLst>
                            <a:gd name="adj1" fmla="val -38917"/>
                            <a:gd name="adj2" fmla="val 120000"/>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项目位置</w:t>
                            </w:r>
                          </w:p>
                        </w:txbxContent>
                      </wps:txbx>
                      <wps:bodyPr upright="1"/>
                    </wps:wsp>
                  </a:graphicData>
                </a:graphic>
              </wp:anchor>
            </w:drawing>
          </mc:Choice>
          <mc:Fallback>
            <w:pict>
              <v:shape id="_x0000_s1026" o:spid="_x0000_s1026" o:spt="61" type="#_x0000_t61" style="position:absolute;left:0pt;margin-left:645.3pt;margin-top:116.85pt;height:25.5pt;width:62.25pt;z-index:251682816;mso-width-relative:page;mso-height-relative:page;" fillcolor="#FFFFFF" filled="t" stroked="t" coordsize="21600,21600" o:gfxdata="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ijZm82gAAAA0BAAAPAAAAAAAAAAEAIAAAACIAAABkcnMv&#10;ZG93bnJldi54bWxQSwECFAAUAAAACACHTuJA464t9ToCAACPBAAADgAAAAAAAAABACAAAAApAQAA&#10;ZHJzL2Uyb0RvYy54bWxQSwUGAAAAAAYABgBZAQAA1QUAAAAA&#10;" adj="2394,36720">
                <v:fill on="t" focussize="0,0"/>
                <v:stroke color="#000000" joinstyle="miter"/>
                <v:imagedata o:title=""/>
                <o:lock v:ext="edit" aspectratio="f"/>
                <v:textbox>
                  <w:txbxContent>
                    <w:p>
                      <w:pPr>
                        <w:jc w:val="center"/>
                      </w:pPr>
                      <w:r>
                        <w:rPr>
                          <w:rFonts w:hint="eastAsia"/>
                        </w:rPr>
                        <w:t>项目位置</w:t>
                      </w:r>
                    </w:p>
                  </w:txbxContent>
                </v:textbox>
              </v:shape>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8015605</wp:posOffset>
                </wp:positionH>
                <wp:positionV relativeFrom="paragraph">
                  <wp:posOffset>2034540</wp:posOffset>
                </wp:positionV>
                <wp:extent cx="216535" cy="146685"/>
                <wp:effectExtent l="9525" t="10795" r="21590" b="13970"/>
                <wp:wrapNone/>
                <wp:docPr id="92" name="任意多边形 92"/>
                <wp:cNvGraphicFramePr/>
                <a:graphic xmlns:a="http://schemas.openxmlformats.org/drawingml/2006/main">
                  <a:graphicData uri="http://schemas.microsoft.com/office/word/2010/wordprocessingShape">
                    <wps:wsp>
                      <wps:cNvSpPr/>
                      <wps:spPr>
                        <a:xfrm>
                          <a:off x="8484235" y="2484755"/>
                          <a:ext cx="216535" cy="146685"/>
                        </a:xfrm>
                        <a:custGeom>
                          <a:avLst/>
                          <a:gdLst>
                            <a:gd name="connsiteX0" fmla="*/ 341 w 341"/>
                            <a:gd name="connsiteY0" fmla="*/ 231 h 231"/>
                            <a:gd name="connsiteX1" fmla="*/ 341 w 341"/>
                            <a:gd name="connsiteY1" fmla="*/ 35 h 231"/>
                            <a:gd name="connsiteX2" fmla="*/ 0 w 341"/>
                            <a:gd name="connsiteY2" fmla="*/ 0 h 231"/>
                            <a:gd name="connsiteX3" fmla="*/ 0 w 341"/>
                            <a:gd name="connsiteY3" fmla="*/ 185 h 231"/>
                            <a:gd name="connsiteX4" fmla="*/ 341 w 341"/>
                            <a:gd name="connsiteY4" fmla="*/ 231 h 23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1" h="231">
                              <a:moveTo>
                                <a:pt x="341" y="231"/>
                              </a:moveTo>
                              <a:lnTo>
                                <a:pt x="341" y="35"/>
                              </a:lnTo>
                              <a:lnTo>
                                <a:pt x="0" y="0"/>
                              </a:lnTo>
                              <a:lnTo>
                                <a:pt x="0" y="185"/>
                              </a:lnTo>
                              <a:lnTo>
                                <a:pt x="341" y="231"/>
                              </a:lnTo>
                              <a:close/>
                            </a:path>
                          </a:pathLst>
                        </a:custGeom>
                        <a:noFill/>
                        <a:ln w="19050">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631.15pt;margin-top:160.2pt;height:11.55pt;width:17.05pt;z-index:251681792;mso-width-relative:page;mso-height-relative:page;" filled="f" stroked="t" coordsize="341,231" o:gfxdata="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" path="m341,231l341,35,0,0,0,185,341,231xe">
                <v:path o:connectlocs="216535,146685;216535,22225;0,0;0,117475;216535,146685" o:connectangles="0,0,0,0,0"/>
                <v:fill on="f" focussize="0,0"/>
                <v:stroke weight="1.5pt" color="#C00000 [2404]" miterlimit="8" joinstyle="miter"/>
                <v:imagedata o:title=""/>
                <o:lock v:ext="edit" aspectratio="f"/>
              </v:shape>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5452745</wp:posOffset>
                </wp:positionH>
                <wp:positionV relativeFrom="paragraph">
                  <wp:posOffset>2912745</wp:posOffset>
                </wp:positionV>
                <wp:extent cx="657860" cy="581025"/>
                <wp:effectExtent l="6350" t="0" r="2540" b="9525"/>
                <wp:wrapNone/>
                <wp:docPr id="91" name="直接箭头连接符 91"/>
                <wp:cNvGraphicFramePr/>
                <a:graphic xmlns:a="http://schemas.openxmlformats.org/drawingml/2006/main">
                  <a:graphicData uri="http://schemas.microsoft.com/office/word/2010/wordprocessingShape">
                    <wps:wsp>
                      <wps:cNvCnPr/>
                      <wps:spPr>
                        <a:xfrm flipV="1">
                          <a:off x="5909945" y="3369945"/>
                          <a:ext cx="657860" cy="581025"/>
                        </a:xfrm>
                        <a:prstGeom prst="straightConnector1">
                          <a:avLst/>
                        </a:prstGeom>
                        <a:ln w="190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429.35pt;margin-top:229.35pt;height:45.75pt;width:51.8pt;z-index:251680768;mso-width-relative:page;mso-height-relative:page;" filled="f" stroked="t" coordsize="21600,21600" o:gfxdata="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EweOpPaAAAA&#10;CwEAAA8AAAAAAAAAAQAgAAAAIgAAAGRycy9kb3ducmV2LnhtbFBLAQIUABQAAAAIAIdO4kBtsuRB&#10;GwIAAPsDAAAOAAAAAAAAAAEAIAAAACkBAABkcnMvZTJvRG9jLnhtbFBLBQYAAAAABgAGAFkBAAC2&#10;BQAAAAA=&#10;">
                <v:fill on="f" focussize="0,0"/>
                <v:stroke weight="1.5pt" color="#000000 [3213]" miterlimit="8" joinstyle="miter" endarrow="open"/>
                <v:imagedata o:title=""/>
                <o:lock v:ext="edit" aspectratio="f"/>
              </v:shape>
            </w:pict>
          </mc:Fallback>
        </mc:AlternateContent>
      </w:r>
      <w:r>
        <w:drawing>
          <wp:anchor distT="0" distB="0" distL="114300" distR="114300" simplePos="0" relativeHeight="251679744" behindDoc="0" locked="0" layoutInCell="1" allowOverlap="1">
            <wp:simplePos x="0" y="0"/>
            <wp:positionH relativeFrom="column">
              <wp:posOffset>6301105</wp:posOffset>
            </wp:positionH>
            <wp:positionV relativeFrom="paragraph">
              <wp:posOffset>947420</wp:posOffset>
            </wp:positionV>
            <wp:extent cx="3600450" cy="3600450"/>
            <wp:effectExtent l="28575" t="28575" r="28575" b="28575"/>
            <wp:wrapNone/>
            <wp:docPr id="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
                    <pic:cNvPicPr>
                      <a:picLocks noChangeAspect="1"/>
                    </pic:cNvPicPr>
                  </pic:nvPicPr>
                  <pic:blipFill>
                    <a:blip r:embed="rId46"/>
                    <a:stretch>
                      <a:fillRect/>
                    </a:stretch>
                  </pic:blipFill>
                  <pic:spPr>
                    <a:xfrm>
                      <a:off x="0" y="0"/>
                      <a:ext cx="3600450" cy="3600450"/>
                    </a:xfrm>
                    <a:prstGeom prst="rect">
                      <a:avLst/>
                    </a:prstGeom>
                    <a:noFill/>
                    <a:ln w="28575" cmpd="sng">
                      <a:solidFill>
                        <a:schemeClr val="tx1"/>
                      </a:solidFill>
                      <a:prstDash val="solid"/>
                    </a:ln>
                  </pic:spPr>
                </pic:pic>
              </a:graphicData>
            </a:graphic>
          </wp:anchor>
        </w:drawing>
      </w:r>
      <w:r>
        <w:drawing>
          <wp:inline distT="0" distB="0" distL="114300" distR="114300">
            <wp:extent cx="8268335" cy="5764530"/>
            <wp:effectExtent l="0" t="0" r="18415" b="7620"/>
            <wp:docPr id="79" name="图片 79" descr="1bf39e7470985e95a2724a043fe2d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1bf39e7470985e95a2724a043fe2dfb"/>
                    <pic:cNvPicPr>
                      <a:picLocks noChangeAspect="1"/>
                    </pic:cNvPicPr>
                  </pic:nvPicPr>
                  <pic:blipFill>
                    <a:blip r:embed="rId47"/>
                    <a:srcRect t="4415" b="5358"/>
                    <a:stretch>
                      <a:fillRect/>
                    </a:stretch>
                  </pic:blipFill>
                  <pic:spPr>
                    <a:xfrm>
                      <a:off x="0" y="0"/>
                      <a:ext cx="8268335" cy="5764530"/>
                    </a:xfrm>
                    <a:prstGeom prst="rect">
                      <a:avLst/>
                    </a:prstGeom>
                  </pic:spPr>
                </pic:pic>
              </a:graphicData>
            </a:graphic>
          </wp:inline>
        </w:drawing>
      </w:r>
    </w:p>
    <w:p>
      <w:pPr>
        <w:ind w:firstLine="562"/>
        <w:jc w:val="center"/>
        <w:rPr>
          <w:rFonts w:eastAsia="黑体"/>
          <w:b/>
          <w:bCs/>
          <w:sz w:val="28"/>
          <w:szCs w:val="36"/>
        </w:rPr>
        <w:sectPr>
          <w:pgSz w:w="16838" w:h="11906" w:orient="landscape"/>
          <w:pgMar w:top="720" w:right="720" w:bottom="720" w:left="720" w:header="851" w:footer="992" w:gutter="0"/>
          <w:cols w:space="720" w:num="1"/>
          <w:docGrid w:type="lines" w:linePitch="317" w:charSpace="0"/>
        </w:sectPr>
      </w:pPr>
      <w:r>
        <w:rPr>
          <w:rFonts w:eastAsia="黑体"/>
          <w:b/>
          <w:bCs/>
          <w:sz w:val="28"/>
          <w:szCs w:val="36"/>
        </w:rPr>
        <w:t>附图5  项目与淄博经济开发区三区三线位置关系图</w:t>
      </w:r>
    </w:p>
    <w:p>
      <w:pPr>
        <w:ind w:firstLine="562"/>
        <w:jc w:val="center"/>
        <w:rPr>
          <w:b/>
          <w:bCs/>
          <w:sz w:val="28"/>
          <w:szCs w:val="36"/>
        </w:rPr>
      </w:pPr>
      <w:r>
        <w:rPr>
          <w:sz w:val="28"/>
        </w:rPr>
        <mc:AlternateContent>
          <mc:Choice Requires="wps">
            <w:drawing>
              <wp:anchor distT="0" distB="0" distL="114300" distR="114300" simplePos="0" relativeHeight="251678720" behindDoc="0" locked="0" layoutInCell="1" allowOverlap="1">
                <wp:simplePos x="0" y="0"/>
                <wp:positionH relativeFrom="column">
                  <wp:posOffset>3028950</wp:posOffset>
                </wp:positionH>
                <wp:positionV relativeFrom="paragraph">
                  <wp:posOffset>4500245</wp:posOffset>
                </wp:positionV>
                <wp:extent cx="358775" cy="335915"/>
                <wp:effectExtent l="6350" t="6985" r="15875" b="0"/>
                <wp:wrapNone/>
                <wp:docPr id="89" name="直接箭头连接符 89"/>
                <wp:cNvGraphicFramePr/>
                <a:graphic xmlns:a="http://schemas.openxmlformats.org/drawingml/2006/main">
                  <a:graphicData uri="http://schemas.microsoft.com/office/word/2010/wordprocessingShape">
                    <wps:wsp>
                      <wps:cNvCnPr/>
                      <wps:spPr>
                        <a:xfrm>
                          <a:off x="3486150" y="4957445"/>
                          <a:ext cx="358775" cy="335915"/>
                        </a:xfrm>
                        <a:prstGeom prst="straightConnector1">
                          <a:avLst/>
                        </a:prstGeom>
                        <a:ln>
                          <a:solidFill>
                            <a:schemeClr val="tx1"/>
                          </a:solidFill>
                          <a:tailEnd type="arrow" w="med" len="med"/>
                        </a:ln>
                      </wps:spPr>
                      <wps:style>
                        <a:lnRef idx="3">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38.5pt;margin-top:354.35pt;height:26.45pt;width:28.25pt;z-index:251678720;mso-width-relative:page;mso-height-relative:page;" filled="f" stroked="t" coordsize="21600,21600" o:gfxdata="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PC+&#10;wXnZAAAACwEAAA8AAAAAAAAAAQAgAAAAIgAAAGRycy9kb3ducmV2LnhtbFBLAQIUABQAAAAIAIdO&#10;4kCMmm1fIgIAAAMEAAAOAAAAAAAAAAEAIAAAACgBAABkcnMvZTJvRG9jLnhtbFBLBQYAAAAABgAG&#10;AFkBAAC8BQAAAAA=&#10;">
                <v:fill on="f" focussize="0,0"/>
                <v:stroke weight="1.5pt" color="#000000 [3213]" miterlimit="8" joinstyle="miter" endarrow="open"/>
                <v:imagedata o:title=""/>
                <o:lock v:ext="edit" aspectratio="f"/>
              </v:shape>
            </w:pict>
          </mc:Fallback>
        </mc:AlternateContent>
      </w:r>
      <w:r>
        <w:rPr>
          <w:sz w:val="28"/>
        </w:rPr>
        <mc:AlternateContent>
          <mc:Choice Requires="wps">
            <w:drawing>
              <wp:anchor distT="0" distB="0" distL="114300" distR="114300" simplePos="0" relativeHeight="251677696" behindDoc="0" locked="0" layoutInCell="1" allowOverlap="1">
                <wp:simplePos x="0" y="0"/>
                <wp:positionH relativeFrom="column">
                  <wp:posOffset>4468495</wp:posOffset>
                </wp:positionH>
                <wp:positionV relativeFrom="paragraph">
                  <wp:posOffset>5484495</wp:posOffset>
                </wp:positionV>
                <wp:extent cx="790575" cy="323850"/>
                <wp:effectExtent l="5080" t="5080" r="4445" b="242570"/>
                <wp:wrapNone/>
                <wp:docPr id="70" name="矩形标注 70"/>
                <wp:cNvGraphicFramePr/>
                <a:graphic xmlns:a="http://schemas.openxmlformats.org/drawingml/2006/main">
                  <a:graphicData uri="http://schemas.microsoft.com/office/word/2010/wordprocessingShape">
                    <wps:wsp>
                      <wps:cNvSpPr/>
                      <wps:spPr>
                        <a:xfrm>
                          <a:off x="0" y="0"/>
                          <a:ext cx="790575" cy="323850"/>
                        </a:xfrm>
                        <a:prstGeom prst="wedgeRectCallout">
                          <a:avLst>
                            <a:gd name="adj1" fmla="val -38917"/>
                            <a:gd name="adj2" fmla="val 120000"/>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项目位置</w:t>
                            </w:r>
                          </w:p>
                        </w:txbxContent>
                      </wps:txbx>
                      <wps:bodyPr upright="1"/>
                    </wps:wsp>
                  </a:graphicData>
                </a:graphic>
              </wp:anchor>
            </w:drawing>
          </mc:Choice>
          <mc:Fallback>
            <w:pict>
              <v:shape id="_x0000_s1026" o:spid="_x0000_s1026" o:spt="61" type="#_x0000_t61" style="position:absolute;left:0pt;margin-left:351.85pt;margin-top:431.85pt;height:25.5pt;width:62.25pt;z-index:251677696;mso-width-relative:page;mso-height-relative:page;" fillcolor="#FFFFFF" filled="t" stroked="t" coordsize="21600,21600" o:gfxdata="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cvyTTdgAAAALAQAADwAAAAAAAAABACAAAAAiAAAAZHJzL2Rv&#10;d25yZXYueG1sUEsBAhQAFAAAAAgAh07iQIzqc5o6AgAAjwQAAA4AAAAAAAAAAQAgAAAAJwEAAGRy&#10;cy9lMm9Eb2MueG1sUEsFBgAAAAAGAAYAWQEAANMFAAAAAA==&#10;" adj="2394,36720">
                <v:fill on="t" focussize="0,0"/>
                <v:stroke color="#000000" joinstyle="miter"/>
                <v:imagedata o:title=""/>
                <o:lock v:ext="edit" aspectratio="f"/>
                <v:textbox>
                  <w:txbxContent>
                    <w:p>
                      <w:pPr>
                        <w:jc w:val="center"/>
                      </w:pPr>
                      <w:r>
                        <w:rPr>
                          <w:rFonts w:hint="eastAsia"/>
                        </w:rPr>
                        <w:t>项目位置</w:t>
                      </w:r>
                    </w:p>
                  </w:txbxContent>
                </v:textbox>
              </v:shape>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4446270</wp:posOffset>
                </wp:positionH>
                <wp:positionV relativeFrom="paragraph">
                  <wp:posOffset>6130290</wp:posOffset>
                </wp:positionV>
                <wp:extent cx="118745" cy="76200"/>
                <wp:effectExtent l="9525" t="9525" r="24130" b="9525"/>
                <wp:wrapNone/>
                <wp:docPr id="88" name="矩形 88"/>
                <wp:cNvGraphicFramePr/>
                <a:graphic xmlns:a="http://schemas.openxmlformats.org/drawingml/2006/main">
                  <a:graphicData uri="http://schemas.microsoft.com/office/word/2010/wordprocessingShape">
                    <wps:wsp>
                      <wps:cNvSpPr/>
                      <wps:spPr>
                        <a:xfrm flipV="1">
                          <a:off x="0" y="0"/>
                          <a:ext cx="118745" cy="76200"/>
                        </a:xfrm>
                        <a:prstGeom prst="rect">
                          <a:avLst/>
                        </a:prstGeom>
                        <a:noFill/>
                        <a:ln w="19050">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flip:y;margin-left:350.1pt;margin-top:482.7pt;height:6pt;width:9.35pt;z-index:251676672;v-text-anchor:middle;mso-width-relative:page;mso-height-relative:page;" filled="f" stroked="t" coordsize="21600,21600" o:gfxdata="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C+yO5toAAAALAQAADwAAAAAAAAABACAAAAAiAAAAZHJzL2Rvd25y&#10;ZXYueG1sUEsBAhQAFAAAAAgAh07iQNNEeKtuAgAA1QQAAA4AAAAAAAAAAQAgAAAAKQEAAGRycy9l&#10;Mm9Eb2MueG1sUEsFBgAAAAAGAAYAWQEAAAkGAAAAAA==&#10;">
                <v:fill on="f" focussize="0,0"/>
                <v:stroke weight="1.5pt" color="#C00000 [2404]" miterlimit="8" joinstyle="miter"/>
                <v:imagedata o:title=""/>
                <o:lock v:ext="edit" aspectratio="f"/>
              </v:rect>
            </w:pict>
          </mc:Fallback>
        </mc:AlternateContent>
      </w:r>
      <w:r>
        <w:drawing>
          <wp:anchor distT="0" distB="0" distL="114300" distR="114300" simplePos="0" relativeHeight="251675648" behindDoc="0" locked="0" layoutInCell="1" allowOverlap="1">
            <wp:simplePos x="0" y="0"/>
            <wp:positionH relativeFrom="column">
              <wp:posOffset>2854325</wp:posOffset>
            </wp:positionH>
            <wp:positionV relativeFrom="paragraph">
              <wp:posOffset>4942840</wp:posOffset>
            </wp:positionV>
            <wp:extent cx="3468370" cy="2955925"/>
            <wp:effectExtent l="19050" t="19050" r="36830" b="34925"/>
            <wp:wrapNone/>
            <wp:docPr id="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
                    <pic:cNvPicPr>
                      <a:picLocks noChangeAspect="1"/>
                    </pic:cNvPicPr>
                  </pic:nvPicPr>
                  <pic:blipFill>
                    <a:blip r:embed="rId48"/>
                    <a:stretch>
                      <a:fillRect/>
                    </a:stretch>
                  </pic:blipFill>
                  <pic:spPr>
                    <a:xfrm>
                      <a:off x="0" y="0"/>
                      <a:ext cx="3468370" cy="2955925"/>
                    </a:xfrm>
                    <a:prstGeom prst="rect">
                      <a:avLst/>
                    </a:prstGeom>
                    <a:noFill/>
                    <a:ln w="19050" cmpd="sng">
                      <a:solidFill>
                        <a:schemeClr val="tx1"/>
                      </a:solidFill>
                      <a:prstDash val="solid"/>
                    </a:ln>
                  </pic:spPr>
                </pic:pic>
              </a:graphicData>
            </a:graphic>
          </wp:anchor>
        </w:drawing>
      </w:r>
      <w:r>
        <w:rPr>
          <w:b/>
          <w:bCs/>
          <w:sz w:val="28"/>
          <w:szCs w:val="36"/>
        </w:rPr>
        <w:drawing>
          <wp:inline distT="0" distB="0" distL="114300" distR="114300">
            <wp:extent cx="6431280" cy="8981440"/>
            <wp:effectExtent l="0" t="0" r="7620" b="10160"/>
            <wp:docPr id="82" name="图片 82" descr="aeef80d9e52c5c8899a6b60136a9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aeef80d9e52c5c8899a6b60136a9841"/>
                    <pic:cNvPicPr>
                      <a:picLocks noChangeAspect="1"/>
                    </pic:cNvPicPr>
                  </pic:nvPicPr>
                  <pic:blipFill>
                    <a:blip r:embed="rId49"/>
                    <a:stretch>
                      <a:fillRect/>
                    </a:stretch>
                  </pic:blipFill>
                  <pic:spPr>
                    <a:xfrm>
                      <a:off x="0" y="0"/>
                      <a:ext cx="6431280" cy="8981440"/>
                    </a:xfrm>
                    <a:prstGeom prst="rect">
                      <a:avLst/>
                    </a:prstGeom>
                  </pic:spPr>
                </pic:pic>
              </a:graphicData>
            </a:graphic>
          </wp:inline>
        </w:drawing>
      </w:r>
    </w:p>
    <w:p>
      <w:pPr>
        <w:ind w:firstLine="562"/>
        <w:jc w:val="center"/>
        <w:sectPr>
          <w:pgSz w:w="11906" w:h="16838"/>
          <w:pgMar w:top="720" w:right="720" w:bottom="720" w:left="720" w:header="851" w:footer="992" w:gutter="0"/>
          <w:cols w:space="720" w:num="1"/>
          <w:docGrid w:type="lines" w:linePitch="317" w:charSpace="0"/>
        </w:sectPr>
      </w:pPr>
      <w:r>
        <w:rPr>
          <w:rFonts w:eastAsia="黑体"/>
          <w:b/>
          <w:bCs/>
          <w:sz w:val="28"/>
          <w:szCs w:val="36"/>
        </w:rPr>
        <w:t>附图6  项目与淄博市国土空间总体规划位置关系图</w:t>
      </w:r>
    </w:p>
    <w:p>
      <w:pPr>
        <w:ind w:firstLine="560"/>
        <w:jc w:val="center"/>
        <w:rPr>
          <w:rFonts w:eastAsia="黑体"/>
          <w:b/>
          <w:bCs/>
          <w:sz w:val="28"/>
          <w:szCs w:val="36"/>
        </w:rPr>
      </w:pPr>
    </w:p>
    <w:p>
      <w:pPr>
        <w:ind w:firstLine="562"/>
        <w:jc w:val="center"/>
      </w:pPr>
      <w:r>
        <w:drawing>
          <wp:anchor distT="0" distB="0" distL="114300" distR="114300" simplePos="0" relativeHeight="251662336" behindDoc="0" locked="0" layoutInCell="1" allowOverlap="1">
            <wp:simplePos x="0" y="0"/>
            <wp:positionH relativeFrom="page">
              <wp:posOffset>5975350</wp:posOffset>
            </wp:positionH>
            <wp:positionV relativeFrom="paragraph">
              <wp:posOffset>59055</wp:posOffset>
            </wp:positionV>
            <wp:extent cx="765810" cy="771525"/>
            <wp:effectExtent l="0" t="0" r="15240" b="9525"/>
            <wp:wrapNone/>
            <wp:docPr id="7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4"/>
                    <pic:cNvPicPr>
                      <a:picLocks noChangeAspect="1"/>
                    </pic:cNvPicPr>
                  </pic:nvPicPr>
                  <pic:blipFill>
                    <a:blip r:embed="rId41"/>
                    <a:stretch>
                      <a:fillRect/>
                    </a:stretch>
                  </pic:blipFill>
                  <pic:spPr>
                    <a:xfrm>
                      <a:off x="0" y="0"/>
                      <a:ext cx="765810" cy="771525"/>
                    </a:xfrm>
                    <a:prstGeom prst="rect">
                      <a:avLst/>
                    </a:prstGeom>
                    <a:noFill/>
                    <a:ln>
                      <a:noFill/>
                    </a:ln>
                  </pic:spPr>
                </pic:pic>
              </a:graphicData>
            </a:graphic>
          </wp:anchor>
        </w:drawing>
      </w:r>
      <w:r>
        <w:rPr>
          <w:sz w:val="28"/>
        </w:rPr>
        <mc:AlternateContent>
          <mc:Choice Requires="wps">
            <w:drawing>
              <wp:anchor distT="0" distB="0" distL="114300" distR="114300" simplePos="0" relativeHeight="251674624" behindDoc="0" locked="0" layoutInCell="1" allowOverlap="1">
                <wp:simplePos x="0" y="0"/>
                <wp:positionH relativeFrom="column">
                  <wp:posOffset>3600450</wp:posOffset>
                </wp:positionH>
                <wp:positionV relativeFrom="paragraph">
                  <wp:posOffset>5734050</wp:posOffset>
                </wp:positionV>
                <wp:extent cx="790575" cy="323850"/>
                <wp:effectExtent l="5080" t="5080" r="4445" b="242570"/>
                <wp:wrapNone/>
                <wp:docPr id="73" name="矩形标注 73"/>
                <wp:cNvGraphicFramePr/>
                <a:graphic xmlns:a="http://schemas.openxmlformats.org/drawingml/2006/main">
                  <a:graphicData uri="http://schemas.microsoft.com/office/word/2010/wordprocessingShape">
                    <wps:wsp>
                      <wps:cNvSpPr/>
                      <wps:spPr>
                        <a:xfrm>
                          <a:off x="0" y="0"/>
                          <a:ext cx="790575" cy="323850"/>
                        </a:xfrm>
                        <a:prstGeom prst="wedgeRectCallout">
                          <a:avLst>
                            <a:gd name="adj1" fmla="val -38917"/>
                            <a:gd name="adj2" fmla="val 120000"/>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项目位置</w:t>
                            </w:r>
                          </w:p>
                        </w:txbxContent>
                      </wps:txbx>
                      <wps:bodyPr upright="1"/>
                    </wps:wsp>
                  </a:graphicData>
                </a:graphic>
              </wp:anchor>
            </w:drawing>
          </mc:Choice>
          <mc:Fallback>
            <w:pict>
              <v:shape id="_x0000_s1026" o:spid="_x0000_s1026" o:spt="61" type="#_x0000_t61" style="position:absolute;left:0pt;margin-left:283.5pt;margin-top:451.5pt;height:25.5pt;width:62.25pt;z-index:251674624;mso-width-relative:page;mso-height-relative:page;" fillcolor="#FFFFFF" filled="t" stroked="t" coordsize="21600,21600" o:gfxdata="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zYryhNoAAAALAQAADwAAAAAAAAABACAAAAAiAAAAZHJz&#10;L2Rvd25yZXYueG1sUEsBAhQAFAAAAAgAh07iQHtJyEQ7AgAAjwQAAA4AAAAAAAAAAQAgAAAAKQEA&#10;AGRycy9lMm9Eb2MueG1sUEsFBgAAAAAGAAYAWQEAANYFAAAAAA==&#10;" adj="2394,36720">
                <v:fill on="t" focussize="0,0"/>
                <v:stroke color="#000000" joinstyle="miter"/>
                <v:imagedata o:title=""/>
                <o:lock v:ext="edit" aspectratio="f"/>
                <v:textbox>
                  <w:txbxContent>
                    <w:p>
                      <w:pPr>
                        <w:jc w:val="center"/>
                      </w:pPr>
                      <w:r>
                        <w:rPr>
                          <w:rFonts w:hint="eastAsia"/>
                        </w:rPr>
                        <w:t>项目位置</w:t>
                      </w:r>
                    </w:p>
                  </w:txbxContent>
                </v:textbox>
              </v:shape>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3596640</wp:posOffset>
                </wp:positionH>
                <wp:positionV relativeFrom="paragraph">
                  <wp:posOffset>6344920</wp:posOffset>
                </wp:positionV>
                <wp:extent cx="52705" cy="43180"/>
                <wp:effectExtent l="6350" t="6350" r="17145" b="7620"/>
                <wp:wrapNone/>
                <wp:docPr id="84" name="任意多边形 84"/>
                <wp:cNvGraphicFramePr/>
                <a:graphic xmlns:a="http://schemas.openxmlformats.org/drawingml/2006/main">
                  <a:graphicData uri="http://schemas.microsoft.com/office/word/2010/wordprocessingShape">
                    <wps:wsp>
                      <wps:cNvSpPr/>
                      <wps:spPr>
                        <a:xfrm>
                          <a:off x="4068445" y="7218680"/>
                          <a:ext cx="52705" cy="43180"/>
                        </a:xfrm>
                        <a:custGeom>
                          <a:avLst/>
                          <a:gdLst>
                            <a:gd name="connisteX0" fmla="*/ 0 w 52705"/>
                            <a:gd name="connsiteY0" fmla="*/ 0 h 43180"/>
                            <a:gd name="connisteX1" fmla="*/ 52705 w 52705"/>
                            <a:gd name="connsiteY1" fmla="*/ 0 h 43180"/>
                            <a:gd name="connisteX2" fmla="*/ 52705 w 52705"/>
                            <a:gd name="connsiteY2" fmla="*/ 43180 h 43180"/>
                            <a:gd name="connisteX3" fmla="*/ 0 w 52705"/>
                            <a:gd name="connsiteY3" fmla="*/ 43180 h 43180"/>
                            <a:gd name="connisteX4" fmla="*/ 0 w 52705"/>
                            <a:gd name="connsiteY4" fmla="*/ 0 h 4318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2705" h="43180">
                              <a:moveTo>
                                <a:pt x="0" y="0"/>
                              </a:moveTo>
                              <a:lnTo>
                                <a:pt x="52705" y="0"/>
                              </a:lnTo>
                              <a:lnTo>
                                <a:pt x="52705" y="43180"/>
                              </a:lnTo>
                              <a:lnTo>
                                <a:pt x="0" y="43180"/>
                              </a:lnTo>
                              <a:lnTo>
                                <a:pt x="0" y="0"/>
                              </a:lnTo>
                              <a:close/>
                            </a:path>
                          </a:pathLst>
                        </a:custGeom>
                        <a:noFill/>
                        <a:ln w="9525">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83.2pt;margin-top:499.6pt;height:3.4pt;width:4.15pt;z-index:251673600;mso-width-relative:page;mso-height-relative:page;" filled="f" stroked="t" coordsize="52705,43180" o:gfxdata="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" path="m0,0l52705,0,52705,43180,0,43180,0,0xe">
                <v:path o:connectlocs="0,0;52705,0;52705,43180;0,43180;0,0" o:connectangles="0,0,0,0,0"/>
                <v:fill on="f" focussize="0,0"/>
                <v:stroke color="#C00000 [2404]" miterlimit="8" joinstyle="miter"/>
                <v:imagedata o:title=""/>
                <o:lock v:ext="edit" aspectratio="f"/>
              </v:shape>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3577590</wp:posOffset>
                </wp:positionH>
                <wp:positionV relativeFrom="paragraph">
                  <wp:posOffset>3520440</wp:posOffset>
                </wp:positionV>
                <wp:extent cx="555625" cy="767715"/>
                <wp:effectExtent l="7620" t="5715" r="8255" b="7620"/>
                <wp:wrapNone/>
                <wp:docPr id="124" name="直接箭头连接符 124"/>
                <wp:cNvGraphicFramePr/>
                <a:graphic xmlns:a="http://schemas.openxmlformats.org/drawingml/2006/main">
                  <a:graphicData uri="http://schemas.microsoft.com/office/word/2010/wordprocessingShape">
                    <wps:wsp>
                      <wps:cNvCnPr/>
                      <wps:spPr>
                        <a:xfrm>
                          <a:off x="0" y="0"/>
                          <a:ext cx="555625" cy="767715"/>
                        </a:xfrm>
                        <a:prstGeom prst="straightConnector1">
                          <a:avLst/>
                        </a:prstGeom>
                        <a:ln>
                          <a:solidFill>
                            <a:schemeClr val="tx1"/>
                          </a:solidFill>
                          <a:tailEnd type="arrow" w="med" len="med"/>
                        </a:ln>
                      </wps:spPr>
                      <wps:style>
                        <a:lnRef idx="3">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81.7pt;margin-top:277.2pt;height:60.45pt;width:43.75pt;z-index:251672576;mso-width-relative:page;mso-height-relative:page;" filled="f" stroked="t" coordsize="21600,21600" o:gfxdata="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NeC8cHYAAAACwEAAA8AAAAA&#10;AAAAAQAgAAAAIgAAAGRycy9kb3ducmV2LnhtbFBLAQIUABQAAAAIAIdO4kDwS8TjFAIAAPkDAAAO&#10;AAAAAAAAAAEAIAAAACcBAABkcnMvZTJvRG9jLnhtbFBLBQYAAAAABgAGAFkBAACtBQAAAAA=&#10;">
                <v:fill on="f" focussize="0,0"/>
                <v:stroke weight="1.5pt" color="#000000 [3213]" miterlimit="8" joinstyle="miter" endarrow="open"/>
                <v:imagedata o:title=""/>
                <o:lock v:ext="edit" aspectratio="f"/>
              </v:shape>
            </w:pict>
          </mc:Fallback>
        </mc:AlternateContent>
      </w:r>
      <w:r>
        <w:drawing>
          <wp:anchor distT="0" distB="0" distL="114300" distR="114300" simplePos="0" relativeHeight="251671552" behindDoc="0" locked="0" layoutInCell="1" allowOverlap="1">
            <wp:simplePos x="0" y="0"/>
            <wp:positionH relativeFrom="column">
              <wp:posOffset>2261235</wp:posOffset>
            </wp:positionH>
            <wp:positionV relativeFrom="paragraph">
              <wp:posOffset>4470400</wp:posOffset>
            </wp:positionV>
            <wp:extent cx="3485515" cy="3339465"/>
            <wp:effectExtent l="28575" t="28575" r="29210" b="41910"/>
            <wp:wrapNone/>
            <wp:docPr id="123" name="图片 123" descr="1700185594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1700185594088"/>
                    <pic:cNvPicPr>
                      <a:picLocks noChangeAspect="1"/>
                    </pic:cNvPicPr>
                  </pic:nvPicPr>
                  <pic:blipFill>
                    <a:blip r:embed="rId50"/>
                    <a:stretch>
                      <a:fillRect/>
                    </a:stretch>
                  </pic:blipFill>
                  <pic:spPr>
                    <a:xfrm>
                      <a:off x="0" y="0"/>
                      <a:ext cx="3485515" cy="3339465"/>
                    </a:xfrm>
                    <a:prstGeom prst="rect">
                      <a:avLst/>
                    </a:prstGeom>
                    <a:ln w="28575" cmpd="sng">
                      <a:solidFill>
                        <a:schemeClr val="tx1"/>
                      </a:solidFill>
                      <a:prstDash val="solid"/>
                    </a:ln>
                  </pic:spPr>
                </pic:pic>
              </a:graphicData>
            </a:graphic>
          </wp:anchor>
        </w:drawing>
      </w:r>
      <w:r>
        <w:drawing>
          <wp:inline distT="0" distB="0" distL="114300" distR="114300">
            <wp:extent cx="5640070" cy="8189595"/>
            <wp:effectExtent l="0" t="0" r="17780" b="1905"/>
            <wp:docPr id="7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6"/>
                    <pic:cNvPicPr>
                      <a:picLocks noChangeAspect="1"/>
                    </pic:cNvPicPr>
                  </pic:nvPicPr>
                  <pic:blipFill>
                    <a:blip r:embed="rId51"/>
                    <a:stretch>
                      <a:fillRect/>
                    </a:stretch>
                  </pic:blipFill>
                  <pic:spPr>
                    <a:xfrm>
                      <a:off x="0" y="0"/>
                      <a:ext cx="5640070" cy="8189595"/>
                    </a:xfrm>
                    <a:prstGeom prst="rect">
                      <a:avLst/>
                    </a:prstGeom>
                    <a:noFill/>
                    <a:ln>
                      <a:noFill/>
                    </a:ln>
                  </pic:spPr>
                </pic:pic>
              </a:graphicData>
            </a:graphic>
          </wp:inline>
        </w:drawing>
      </w:r>
    </w:p>
    <w:p>
      <w:pPr>
        <w:ind w:firstLine="562"/>
        <w:jc w:val="center"/>
      </w:pPr>
      <w:r>
        <w:rPr>
          <w:rFonts w:eastAsia="黑体"/>
          <w:b/>
          <w:bCs/>
          <w:sz w:val="28"/>
          <w:szCs w:val="36"/>
        </w:rPr>
        <w:t>附图7 项目与淄博市环境管控单元位置关系图</w:t>
      </w:r>
    </w:p>
    <w:p>
      <w:pPr>
        <w:ind w:firstLine="560"/>
        <w:jc w:val="center"/>
        <w:rPr>
          <w:rFonts w:eastAsia="黑体"/>
          <w:b/>
          <w:bCs/>
          <w:sz w:val="28"/>
          <w:szCs w:val="36"/>
        </w:rPr>
      </w:pPr>
      <w:r>
        <w:rPr>
          <w:rFonts w:eastAsia="黑体"/>
          <w:b/>
          <w:bCs/>
          <w:sz w:val="28"/>
          <w:szCs w:val="36"/>
        </w:rPr>
        <w:t xml:space="preserve">  </w:t>
      </w:r>
    </w:p>
    <w:p>
      <w:pPr>
        <w:rPr>
          <w:rFonts w:eastAsia="黑体"/>
          <w:b/>
          <w:bCs/>
          <w:sz w:val="28"/>
          <w:szCs w:val="36"/>
        </w:rPr>
      </w:pPr>
      <w:r>
        <w:rPr>
          <w:rFonts w:eastAsia="黑体"/>
          <w:b/>
          <w:bCs/>
          <w:sz w:val="28"/>
          <w:szCs w:val="36"/>
        </w:rPr>
        <w:drawing>
          <wp:inline distT="0" distB="0" distL="114300" distR="114300">
            <wp:extent cx="3228340" cy="2420620"/>
            <wp:effectExtent l="0" t="0" r="10160" b="17780"/>
            <wp:docPr id="23" name="图片 23" descr="5af05d7f805a76ba972b17ace7c18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5af05d7f805a76ba972b17ace7c18b0"/>
                    <pic:cNvPicPr>
                      <a:picLocks noChangeAspect="1"/>
                    </pic:cNvPicPr>
                  </pic:nvPicPr>
                  <pic:blipFill>
                    <a:blip r:embed="rId52"/>
                    <a:stretch>
                      <a:fillRect/>
                    </a:stretch>
                  </pic:blipFill>
                  <pic:spPr>
                    <a:xfrm>
                      <a:off x="0" y="0"/>
                      <a:ext cx="3228340" cy="2420620"/>
                    </a:xfrm>
                    <a:prstGeom prst="rect">
                      <a:avLst/>
                    </a:prstGeom>
                  </pic:spPr>
                </pic:pic>
              </a:graphicData>
            </a:graphic>
          </wp:inline>
        </w:drawing>
      </w:r>
      <w:r>
        <w:rPr>
          <w:rFonts w:hint="eastAsia" w:eastAsia="黑体"/>
          <w:b/>
          <w:bCs/>
          <w:sz w:val="28"/>
          <w:szCs w:val="36"/>
        </w:rPr>
        <w:drawing>
          <wp:inline distT="0" distB="0" distL="114300" distR="114300">
            <wp:extent cx="3255645" cy="2440940"/>
            <wp:effectExtent l="0" t="0" r="1905" b="16510"/>
            <wp:docPr id="27" name="图片 27" descr="71fd20f4742a5a9b0a49d67d08152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71fd20f4742a5a9b0a49d67d081529d"/>
                    <pic:cNvPicPr>
                      <a:picLocks noChangeAspect="1"/>
                    </pic:cNvPicPr>
                  </pic:nvPicPr>
                  <pic:blipFill>
                    <a:blip r:embed="rId53"/>
                    <a:stretch>
                      <a:fillRect/>
                    </a:stretch>
                  </pic:blipFill>
                  <pic:spPr>
                    <a:xfrm>
                      <a:off x="0" y="0"/>
                      <a:ext cx="3255645" cy="2440940"/>
                    </a:xfrm>
                    <a:prstGeom prst="rect">
                      <a:avLst/>
                    </a:prstGeom>
                  </pic:spPr>
                </pic:pic>
              </a:graphicData>
            </a:graphic>
          </wp:inline>
        </w:drawing>
      </w:r>
    </w:p>
    <w:p>
      <w:pPr>
        <w:ind w:firstLine="1687" w:firstLineChars="600"/>
        <w:rPr>
          <w:rFonts w:eastAsia="黑体"/>
          <w:b/>
          <w:bCs/>
          <w:sz w:val="28"/>
          <w:szCs w:val="36"/>
        </w:rPr>
      </w:pPr>
      <w:r>
        <w:rPr>
          <w:rFonts w:eastAsia="黑体"/>
          <w:b/>
          <w:bCs/>
          <w:sz w:val="28"/>
          <w:szCs w:val="36"/>
        </w:rPr>
        <w:t xml:space="preserve">项目北侧                               </w:t>
      </w:r>
      <w:r>
        <w:rPr>
          <w:rFonts w:hint="eastAsia" w:eastAsia="黑体"/>
          <w:b/>
          <w:bCs/>
          <w:sz w:val="28"/>
          <w:szCs w:val="36"/>
        </w:rPr>
        <w:t xml:space="preserve">                            </w:t>
      </w:r>
      <w:r>
        <w:rPr>
          <w:rFonts w:eastAsia="黑体"/>
          <w:b/>
          <w:bCs/>
          <w:sz w:val="28"/>
          <w:szCs w:val="36"/>
        </w:rPr>
        <w:t>项目南侧</w:t>
      </w:r>
    </w:p>
    <w:p>
      <w:pPr>
        <w:ind w:firstLine="560"/>
        <w:rPr>
          <w:rFonts w:eastAsia="黑体"/>
          <w:b/>
          <w:bCs/>
          <w:sz w:val="28"/>
          <w:szCs w:val="36"/>
        </w:rPr>
      </w:pPr>
      <w:r>
        <w:rPr>
          <w:rFonts w:eastAsia="黑体"/>
          <w:b/>
          <w:bCs/>
          <w:sz w:val="28"/>
          <w:szCs w:val="36"/>
        </w:rPr>
        <w:t xml:space="preserve"> </w:t>
      </w:r>
      <w:r>
        <w:rPr>
          <w:rFonts w:hint="eastAsia" w:eastAsia="黑体"/>
          <w:b/>
          <w:bCs/>
          <w:sz w:val="28"/>
          <w:szCs w:val="36"/>
        </w:rPr>
        <w:drawing>
          <wp:inline distT="0" distB="0" distL="114300" distR="114300">
            <wp:extent cx="3229610" cy="2421255"/>
            <wp:effectExtent l="0" t="0" r="8890" b="17145"/>
            <wp:docPr id="31" name="图片 31" descr="c40810a62f66f16c2821b31aed9b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40810a62f66f16c2821b31aed9b422"/>
                    <pic:cNvPicPr>
                      <a:picLocks noChangeAspect="1"/>
                    </pic:cNvPicPr>
                  </pic:nvPicPr>
                  <pic:blipFill>
                    <a:blip r:embed="rId54"/>
                    <a:stretch>
                      <a:fillRect/>
                    </a:stretch>
                  </pic:blipFill>
                  <pic:spPr>
                    <a:xfrm>
                      <a:off x="0" y="0"/>
                      <a:ext cx="3229610" cy="2421255"/>
                    </a:xfrm>
                    <a:prstGeom prst="rect">
                      <a:avLst/>
                    </a:prstGeom>
                  </pic:spPr>
                </pic:pic>
              </a:graphicData>
            </a:graphic>
          </wp:inline>
        </w:drawing>
      </w:r>
      <w:r>
        <w:rPr>
          <w:rFonts w:hint="eastAsia" w:eastAsia="黑体"/>
          <w:b/>
          <w:bCs/>
          <w:sz w:val="28"/>
          <w:szCs w:val="36"/>
        </w:rPr>
        <w:drawing>
          <wp:inline distT="0" distB="0" distL="114300" distR="114300">
            <wp:extent cx="3215640" cy="2411095"/>
            <wp:effectExtent l="0" t="0" r="3810" b="8255"/>
            <wp:docPr id="30" name="图片 30" descr="53f9c7d39a5e8091910db852ee1c9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53f9c7d39a5e8091910db852ee1c9a9"/>
                    <pic:cNvPicPr>
                      <a:picLocks noChangeAspect="1"/>
                    </pic:cNvPicPr>
                  </pic:nvPicPr>
                  <pic:blipFill>
                    <a:blip r:embed="rId55"/>
                    <a:stretch>
                      <a:fillRect/>
                    </a:stretch>
                  </pic:blipFill>
                  <pic:spPr>
                    <a:xfrm>
                      <a:off x="0" y="0"/>
                      <a:ext cx="3215640" cy="2411095"/>
                    </a:xfrm>
                    <a:prstGeom prst="rect">
                      <a:avLst/>
                    </a:prstGeom>
                  </pic:spPr>
                </pic:pic>
              </a:graphicData>
            </a:graphic>
          </wp:inline>
        </w:drawing>
      </w:r>
    </w:p>
    <w:p>
      <w:pPr>
        <w:ind w:firstLine="1687" w:firstLineChars="600"/>
        <w:rPr>
          <w:rFonts w:eastAsia="黑体"/>
          <w:b/>
          <w:bCs/>
          <w:sz w:val="28"/>
          <w:szCs w:val="36"/>
        </w:rPr>
      </w:pPr>
      <w:r>
        <w:rPr>
          <w:rFonts w:eastAsia="黑体"/>
          <w:b/>
          <w:bCs/>
          <w:sz w:val="28"/>
          <w:szCs w:val="36"/>
        </w:rPr>
        <w:t xml:space="preserve">项目东侧                             </w:t>
      </w:r>
      <w:r>
        <w:rPr>
          <w:rFonts w:hint="eastAsia" w:eastAsia="黑体"/>
          <w:b/>
          <w:bCs/>
          <w:sz w:val="28"/>
          <w:szCs w:val="36"/>
        </w:rPr>
        <w:t xml:space="preserve">                               </w:t>
      </w:r>
      <w:r>
        <w:rPr>
          <w:rFonts w:eastAsia="黑体"/>
          <w:b/>
          <w:bCs/>
          <w:sz w:val="28"/>
          <w:szCs w:val="36"/>
        </w:rPr>
        <w:t xml:space="preserve">  项目西侧</w:t>
      </w:r>
    </w:p>
    <w:p>
      <w:pPr>
        <w:ind w:firstLine="560"/>
        <w:jc w:val="center"/>
        <w:rPr>
          <w:rFonts w:eastAsia="黑体"/>
          <w:b/>
          <w:bCs/>
          <w:sz w:val="28"/>
          <w:szCs w:val="36"/>
        </w:rPr>
      </w:pPr>
    </w:p>
    <w:p>
      <w:pPr>
        <w:ind w:firstLine="562"/>
        <w:jc w:val="center"/>
        <w:rPr>
          <w:rFonts w:eastAsia="黑体"/>
          <w:b/>
          <w:bCs/>
          <w:sz w:val="28"/>
          <w:szCs w:val="36"/>
        </w:rPr>
      </w:pPr>
      <w:r>
        <w:rPr>
          <w:rFonts w:eastAsia="黑体"/>
          <w:b/>
          <w:bCs/>
          <w:sz w:val="28"/>
          <w:szCs w:val="36"/>
        </w:rPr>
        <w:t>附图8  四至关系图</w:t>
      </w:r>
    </w:p>
    <w:p>
      <w:pPr>
        <w:ind w:firstLine="560"/>
        <w:jc w:val="center"/>
        <w:rPr>
          <w:rFonts w:eastAsia="黑体"/>
          <w:b/>
          <w:bCs/>
          <w:sz w:val="28"/>
          <w:szCs w:val="36"/>
        </w:rPr>
      </w:pPr>
    </w:p>
    <w:p>
      <w:pPr>
        <w:ind w:firstLine="422"/>
      </w:pPr>
    </w:p>
    <w:p>
      <w:pPr>
        <w:ind w:firstLine="422"/>
      </w:pPr>
      <w:r>
        <w:br w:type="page"/>
      </w:r>
    </w:p>
    <w:p>
      <w:pPr>
        <w:pStyle w:val="39"/>
        <w:ind w:left="0" w:leftChars="0" w:firstLine="0" w:firstLineChars="0"/>
        <w:jc w:val="center"/>
      </w:pPr>
      <w:r>
        <w:drawing>
          <wp:inline distT="0" distB="0" distL="114300" distR="114300">
            <wp:extent cx="6107430" cy="4578985"/>
            <wp:effectExtent l="0" t="0" r="7620" b="12065"/>
            <wp:docPr id="85" name="图片 85" descr="2921971385475d1e4f5c1a794156f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2921971385475d1e4f5c1a794156fbc"/>
                    <pic:cNvPicPr>
                      <a:picLocks noChangeAspect="1"/>
                    </pic:cNvPicPr>
                  </pic:nvPicPr>
                  <pic:blipFill>
                    <a:blip r:embed="rId56"/>
                    <a:stretch>
                      <a:fillRect/>
                    </a:stretch>
                  </pic:blipFill>
                  <pic:spPr>
                    <a:xfrm>
                      <a:off x="0" y="0"/>
                      <a:ext cx="6107430" cy="4578985"/>
                    </a:xfrm>
                    <a:prstGeom prst="rect">
                      <a:avLst/>
                    </a:prstGeom>
                  </pic:spPr>
                </pic:pic>
              </a:graphicData>
            </a:graphic>
          </wp:inline>
        </w:drawing>
      </w:r>
      <w:r>
        <w:drawing>
          <wp:inline distT="0" distB="0" distL="114300" distR="114300">
            <wp:extent cx="6118860" cy="4332605"/>
            <wp:effectExtent l="0" t="0" r="15240" b="10795"/>
            <wp:docPr id="26" name="图片 26" descr="胡-工程师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胡-工程师证"/>
                    <pic:cNvPicPr>
                      <a:picLocks noChangeAspect="1"/>
                    </pic:cNvPicPr>
                  </pic:nvPicPr>
                  <pic:blipFill>
                    <a:blip r:embed="rId57"/>
                    <a:stretch>
                      <a:fillRect/>
                    </a:stretch>
                  </pic:blipFill>
                  <pic:spPr>
                    <a:xfrm>
                      <a:off x="0" y="0"/>
                      <a:ext cx="6118860" cy="4332605"/>
                    </a:xfrm>
                    <a:prstGeom prst="rect">
                      <a:avLst/>
                    </a:prstGeom>
                    <a:noFill/>
                    <a:ln>
                      <a:noFill/>
                    </a:ln>
                  </pic:spPr>
                </pic:pic>
              </a:graphicData>
            </a:graphic>
          </wp:inline>
        </w:drawing>
      </w:r>
    </w:p>
    <w:p>
      <w:pPr>
        <w:ind w:firstLine="562"/>
        <w:jc w:val="center"/>
      </w:pPr>
      <w:r>
        <w:rPr>
          <w:rFonts w:eastAsia="黑体"/>
          <w:b/>
          <w:bCs/>
          <w:sz w:val="28"/>
          <w:szCs w:val="36"/>
        </w:rPr>
        <w:t>附图9  工程师</w:t>
      </w:r>
      <w:r>
        <w:rPr>
          <w:rFonts w:hint="eastAsia" w:eastAsia="黑体"/>
          <w:b/>
          <w:bCs/>
          <w:sz w:val="28"/>
          <w:szCs w:val="36"/>
        </w:rPr>
        <w:t>现场踏勘</w:t>
      </w:r>
      <w:r>
        <w:rPr>
          <w:rFonts w:eastAsia="黑体"/>
          <w:b/>
          <w:bCs/>
          <w:sz w:val="28"/>
          <w:szCs w:val="36"/>
        </w:rPr>
        <w:t>及资质</w:t>
      </w:r>
    </w:p>
    <w:sectPr>
      <w:pgSz w:w="11906" w:h="16838"/>
      <w:pgMar w:top="720" w:right="720" w:bottom="720" w:left="720" w:header="851" w:footer="992" w:gutter="0"/>
      <w:cols w:space="720" w:num="1"/>
      <w:docGrid w:type="lines" w:linePitch="317"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等线 Light">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font>
  <w:font w:name="华文中宋">
    <w:panose1 w:val="02010600040101010101"/>
    <w:charset w:val="86"/>
    <w:family w:val="auto"/>
    <w:pitch w:val="default"/>
    <w:sig w:usb0="00000287" w:usb1="080F0000" w:usb2="00000000" w:usb3="00000000" w:csb0="0004009F" w:csb1="DFD70000"/>
  </w:font>
  <w:font w:name="Microsoft YaHei UI">
    <w:panose1 w:val="020B0503020204020204"/>
    <w:charset w:val="86"/>
    <w:family w:val="swiss"/>
    <w:pitch w:val="default"/>
    <w:sig w:usb0="80000287" w:usb1="2ACF3C50" w:usb2="00000016" w:usb3="00000000" w:csb0="0004001F" w:csb1="00000000"/>
  </w:font>
  <w:font w:name="汉鼎简书宋">
    <w:altName w:val="宋体"/>
    <w:panose1 w:val="00000000000000000000"/>
    <w:charset w:val="86"/>
    <w:family w:val="modern"/>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方正小标宋_GBK">
    <w:altName w:val="微软雅黑"/>
    <w:panose1 w:val="00000000000000000000"/>
    <w:charset w:val="86"/>
    <w:family w:val="auto"/>
    <w:pitch w:val="default"/>
    <w:sig w:usb0="00000000" w:usb1="00000000" w:usb2="00082016" w:usb3="00000000" w:csb0="00040001"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3"/>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B+RKA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gfkSgKwIAAFcEAAAOAAAAAAAAAAEAIAAAAB8BAABkcnMvZTJvRG9jLnhtbFBLBQYAAAAABgAG&#10;AFkBAAC8BQAAAAA=&#10;">
              <v:fill on="f" focussize="0,0"/>
              <v:stroke on="f" weight="0.5pt"/>
              <v:imagedata o:title=""/>
              <o:lock v:ext="edit" aspectratio="f"/>
              <v:textbox inset="0mm,0mm,0mm,0mm" style="mso-fit-shape-to-text:t;">
                <w:txbxContent>
                  <w:p>
                    <w:pPr>
                      <w:pStyle w:val="23"/>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007B009"/>
    <w:multiLevelType w:val="singleLevel"/>
    <w:tmpl w:val="2007B009"/>
    <w:lvl w:ilvl="0" w:tentative="0">
      <w:start w:val="4"/>
      <w:numFmt w:val="decimal"/>
      <w:suff w:val="nothing"/>
      <w:lvlText w:val="%1、"/>
      <w:lvlJc w:val="left"/>
    </w:lvl>
  </w:abstractNum>
  <w:abstractNum w:abstractNumId="1">
    <w:nsid w:val="2098271A"/>
    <w:multiLevelType w:val="multilevel"/>
    <w:tmpl w:val="2098271A"/>
    <w:lvl w:ilvl="0" w:tentative="0">
      <w:start w:val="1"/>
      <w:numFmt w:val="decimal"/>
      <w:lvlText w:val="（%1）"/>
      <w:lvlJc w:val="left"/>
      <w:pPr>
        <w:ind w:left="1200" w:hanging="720"/>
      </w:pPr>
      <w:rPr>
        <w:rFonts w:hint="default"/>
        <w:color w:val="auto"/>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2">
    <w:nsid w:val="5446EDB0"/>
    <w:multiLevelType w:val="singleLevel"/>
    <w:tmpl w:val="5446EDB0"/>
    <w:lvl w:ilvl="0" w:tentative="0">
      <w:start w:val="1"/>
      <w:numFmt w:val="decimal"/>
      <w:pStyle w:val="295"/>
      <w:suff w:val="space"/>
      <w:lvlText w:val="表%1"/>
      <w:lvlJc w:val="left"/>
      <w:pPr>
        <w:tabs>
          <w:tab w:val="left" w:pos="0"/>
        </w:tabs>
        <w:ind w:left="0" w:firstLine="0"/>
      </w:pPr>
      <w:rPr>
        <w:rFonts w:hint="default" w:ascii="Times New Roman" w:hAnsi="Times New Roman" w:eastAsia="黑体" w:cs="宋体"/>
        <w:sz w:val="21"/>
      </w:rPr>
    </w:lvl>
  </w:abstractNum>
  <w:abstractNum w:abstractNumId="3">
    <w:nsid w:val="5980F426"/>
    <w:multiLevelType w:val="singleLevel"/>
    <w:tmpl w:val="5980F426"/>
    <w:lvl w:ilvl="0" w:tentative="0">
      <w:start w:val="1"/>
      <w:numFmt w:val="decimal"/>
      <w:pStyle w:val="293"/>
      <w:suff w:val="nothing"/>
      <w:lvlText w:val="图%1"/>
      <w:lvlJc w:val="left"/>
      <w:pPr>
        <w:tabs>
          <w:tab w:val="left" w:pos="0"/>
        </w:tabs>
      </w:pPr>
      <w:rPr>
        <w:rFonts w:hint="default" w:ascii="Times New Roman" w:hAnsi="Times New Roman" w:eastAsia="宋体" w:cs="宋体"/>
      </w:rPr>
    </w:lvl>
  </w:abstractNum>
  <w:abstractNum w:abstractNumId="4">
    <w:nsid w:val="5E38A6C6"/>
    <w:multiLevelType w:val="singleLevel"/>
    <w:tmpl w:val="5E38A6C6"/>
    <w:lvl w:ilvl="0" w:tentative="0">
      <w:start w:val="2"/>
      <w:numFmt w:val="decimal"/>
      <w:suff w:val="nothing"/>
      <w:lvlText w:val="%1、"/>
      <w:lvlJc w:val="left"/>
    </w:lvl>
  </w:abstractNum>
  <w:abstractNum w:abstractNumId="5">
    <w:nsid w:val="6A591D32"/>
    <w:multiLevelType w:val="multilevel"/>
    <w:tmpl w:val="6A591D32"/>
    <w:lvl w:ilvl="0" w:tentative="0">
      <w:start w:val="1"/>
      <w:numFmt w:val="japaneseCounting"/>
      <w:pStyle w:val="202"/>
      <w:lvlText w:val="%1、"/>
      <w:lvlJc w:val="left"/>
      <w:pPr>
        <w:ind w:left="982" w:hanging="510"/>
      </w:pPr>
      <w:rPr>
        <w:rFonts w:hint="default"/>
      </w:rPr>
    </w:lvl>
    <w:lvl w:ilvl="1" w:tentative="0">
      <w:start w:val="1"/>
      <w:numFmt w:val="lowerLetter"/>
      <w:lvlText w:val="%2)"/>
      <w:lvlJc w:val="left"/>
      <w:pPr>
        <w:ind w:left="1312" w:hanging="420"/>
      </w:pPr>
    </w:lvl>
    <w:lvl w:ilvl="2" w:tentative="0">
      <w:start w:val="1"/>
      <w:numFmt w:val="lowerRoman"/>
      <w:lvlText w:val="%3."/>
      <w:lvlJc w:val="right"/>
      <w:pPr>
        <w:ind w:left="1732" w:hanging="420"/>
      </w:pPr>
    </w:lvl>
    <w:lvl w:ilvl="3" w:tentative="0">
      <w:start w:val="1"/>
      <w:numFmt w:val="decimal"/>
      <w:lvlText w:val="%4."/>
      <w:lvlJc w:val="left"/>
      <w:pPr>
        <w:ind w:left="2152" w:hanging="420"/>
      </w:pPr>
    </w:lvl>
    <w:lvl w:ilvl="4" w:tentative="0">
      <w:start w:val="1"/>
      <w:numFmt w:val="lowerLetter"/>
      <w:lvlText w:val="%5)"/>
      <w:lvlJc w:val="left"/>
      <w:pPr>
        <w:ind w:left="2572" w:hanging="420"/>
      </w:pPr>
    </w:lvl>
    <w:lvl w:ilvl="5" w:tentative="0">
      <w:start w:val="1"/>
      <w:numFmt w:val="lowerRoman"/>
      <w:lvlText w:val="%6."/>
      <w:lvlJc w:val="right"/>
      <w:pPr>
        <w:ind w:left="2992" w:hanging="420"/>
      </w:pPr>
    </w:lvl>
    <w:lvl w:ilvl="6" w:tentative="0">
      <w:start w:val="1"/>
      <w:numFmt w:val="decimal"/>
      <w:lvlText w:val="%7."/>
      <w:lvlJc w:val="left"/>
      <w:pPr>
        <w:ind w:left="3412" w:hanging="420"/>
      </w:pPr>
    </w:lvl>
    <w:lvl w:ilvl="7" w:tentative="0">
      <w:start w:val="1"/>
      <w:numFmt w:val="lowerLetter"/>
      <w:lvlText w:val="%8)"/>
      <w:lvlJc w:val="left"/>
      <w:pPr>
        <w:ind w:left="3832" w:hanging="420"/>
      </w:pPr>
    </w:lvl>
    <w:lvl w:ilvl="8" w:tentative="0">
      <w:start w:val="1"/>
      <w:numFmt w:val="lowerRoman"/>
      <w:lvlText w:val="%9."/>
      <w:lvlJc w:val="right"/>
      <w:pPr>
        <w:ind w:left="4252" w:hanging="420"/>
      </w:pPr>
    </w:lvl>
  </w:abstractNum>
  <w:abstractNum w:abstractNumId="6">
    <w:nsid w:val="72137FF0"/>
    <w:multiLevelType w:val="singleLevel"/>
    <w:tmpl w:val="72137FF0"/>
    <w:lvl w:ilvl="0" w:tentative="0">
      <w:start w:val="1"/>
      <w:numFmt w:val="chineseCounting"/>
      <w:suff w:val="nothing"/>
      <w:lvlText w:val="%1、"/>
      <w:lvlJc w:val="left"/>
      <w:rPr>
        <w:rFonts w:hint="eastAsia"/>
      </w:rPr>
    </w:lvl>
  </w:abstractNum>
  <w:abstractNum w:abstractNumId="7">
    <w:nsid w:val="7DCE8F79"/>
    <w:multiLevelType w:val="singleLevel"/>
    <w:tmpl w:val="7DCE8F79"/>
    <w:lvl w:ilvl="0" w:tentative="0">
      <w:start w:val="5"/>
      <w:numFmt w:val="chineseCounting"/>
      <w:suff w:val="nothing"/>
      <w:lvlText w:val="%1、"/>
      <w:lvlJc w:val="left"/>
      <w:rPr>
        <w:rFonts w:hint="eastAsia"/>
      </w:rPr>
    </w:lvl>
  </w:abstractNum>
  <w:num w:numId="1">
    <w:abstractNumId w:val="5"/>
  </w:num>
  <w:num w:numId="2">
    <w:abstractNumId w:val="3"/>
  </w:num>
  <w:num w:numId="3">
    <w:abstractNumId w:val="2"/>
  </w:num>
  <w:num w:numId="4">
    <w:abstractNumId w:val="6"/>
  </w:num>
  <w:num w:numId="5">
    <w:abstractNumId w:val="7"/>
  </w:num>
  <w:num w:numId="6">
    <w:abstractNumId w:val="1"/>
  </w:num>
  <w:num w:numId="7">
    <w:abstractNumId w:val="4"/>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noPunctuationKerning w:val="1"/>
  <w:characterSpacingControl w:val="doNotCompress"/>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lkNmY2NWQ3NTFmMWY1MDEzOGYzZjQzMzNlZDMyNTQifQ=="/>
  </w:docVars>
  <w:rsids>
    <w:rsidRoot w:val="00A14947"/>
    <w:rsid w:val="000024E5"/>
    <w:rsid w:val="00002649"/>
    <w:rsid w:val="0000360A"/>
    <w:rsid w:val="00005ADD"/>
    <w:rsid w:val="00006057"/>
    <w:rsid w:val="000060B3"/>
    <w:rsid w:val="0000710A"/>
    <w:rsid w:val="0001154F"/>
    <w:rsid w:val="00011CD5"/>
    <w:rsid w:val="0001293F"/>
    <w:rsid w:val="00012ACB"/>
    <w:rsid w:val="00012B83"/>
    <w:rsid w:val="00014C78"/>
    <w:rsid w:val="00015A96"/>
    <w:rsid w:val="00017443"/>
    <w:rsid w:val="00017F9F"/>
    <w:rsid w:val="000204F2"/>
    <w:rsid w:val="000208B3"/>
    <w:rsid w:val="00023B9C"/>
    <w:rsid w:val="0002544D"/>
    <w:rsid w:val="00025E66"/>
    <w:rsid w:val="000260BA"/>
    <w:rsid w:val="00026B2A"/>
    <w:rsid w:val="00026DFA"/>
    <w:rsid w:val="00027180"/>
    <w:rsid w:val="00030782"/>
    <w:rsid w:val="0003103A"/>
    <w:rsid w:val="000311E5"/>
    <w:rsid w:val="000317CE"/>
    <w:rsid w:val="00031A5B"/>
    <w:rsid w:val="00032C08"/>
    <w:rsid w:val="000334FB"/>
    <w:rsid w:val="0003386C"/>
    <w:rsid w:val="0003431F"/>
    <w:rsid w:val="00034B08"/>
    <w:rsid w:val="00035CA8"/>
    <w:rsid w:val="00036BC3"/>
    <w:rsid w:val="00037EDA"/>
    <w:rsid w:val="0004164E"/>
    <w:rsid w:val="00042588"/>
    <w:rsid w:val="000426A6"/>
    <w:rsid w:val="00042DAC"/>
    <w:rsid w:val="000434B2"/>
    <w:rsid w:val="0004364B"/>
    <w:rsid w:val="00043D48"/>
    <w:rsid w:val="00044D69"/>
    <w:rsid w:val="00044F4A"/>
    <w:rsid w:val="0004563B"/>
    <w:rsid w:val="000476C6"/>
    <w:rsid w:val="000519EE"/>
    <w:rsid w:val="000521F4"/>
    <w:rsid w:val="0005237A"/>
    <w:rsid w:val="000536EC"/>
    <w:rsid w:val="00056F6D"/>
    <w:rsid w:val="000572B7"/>
    <w:rsid w:val="000572D9"/>
    <w:rsid w:val="000578DC"/>
    <w:rsid w:val="00057CE6"/>
    <w:rsid w:val="000609E0"/>
    <w:rsid w:val="00061515"/>
    <w:rsid w:val="00061B1F"/>
    <w:rsid w:val="00061CE6"/>
    <w:rsid w:val="00062622"/>
    <w:rsid w:val="0006311E"/>
    <w:rsid w:val="0006483E"/>
    <w:rsid w:val="00065403"/>
    <w:rsid w:val="000658DF"/>
    <w:rsid w:val="00066F4F"/>
    <w:rsid w:val="00067E6A"/>
    <w:rsid w:val="00071AA1"/>
    <w:rsid w:val="0007282D"/>
    <w:rsid w:val="0007315B"/>
    <w:rsid w:val="000733C4"/>
    <w:rsid w:val="00074783"/>
    <w:rsid w:val="000774AA"/>
    <w:rsid w:val="00080486"/>
    <w:rsid w:val="0008070B"/>
    <w:rsid w:val="0008077F"/>
    <w:rsid w:val="000810AC"/>
    <w:rsid w:val="00081A02"/>
    <w:rsid w:val="00082231"/>
    <w:rsid w:val="00082601"/>
    <w:rsid w:val="00084133"/>
    <w:rsid w:val="00084CC5"/>
    <w:rsid w:val="00084CDF"/>
    <w:rsid w:val="000850AC"/>
    <w:rsid w:val="0008510A"/>
    <w:rsid w:val="000859BF"/>
    <w:rsid w:val="00086B03"/>
    <w:rsid w:val="00087B72"/>
    <w:rsid w:val="000901D5"/>
    <w:rsid w:val="00090D8C"/>
    <w:rsid w:val="00090E82"/>
    <w:rsid w:val="00092987"/>
    <w:rsid w:val="00092D38"/>
    <w:rsid w:val="000932AC"/>
    <w:rsid w:val="000932F4"/>
    <w:rsid w:val="0009377B"/>
    <w:rsid w:val="0009426F"/>
    <w:rsid w:val="00095DCC"/>
    <w:rsid w:val="000968AA"/>
    <w:rsid w:val="0009761F"/>
    <w:rsid w:val="00097A40"/>
    <w:rsid w:val="000A0880"/>
    <w:rsid w:val="000A0A64"/>
    <w:rsid w:val="000A20C9"/>
    <w:rsid w:val="000A2451"/>
    <w:rsid w:val="000A2E25"/>
    <w:rsid w:val="000A339D"/>
    <w:rsid w:val="000A3E67"/>
    <w:rsid w:val="000A4F3C"/>
    <w:rsid w:val="000A5431"/>
    <w:rsid w:val="000A58E9"/>
    <w:rsid w:val="000A687E"/>
    <w:rsid w:val="000B058F"/>
    <w:rsid w:val="000B2C25"/>
    <w:rsid w:val="000B3FCF"/>
    <w:rsid w:val="000B4467"/>
    <w:rsid w:val="000B4DB9"/>
    <w:rsid w:val="000B64B4"/>
    <w:rsid w:val="000B740A"/>
    <w:rsid w:val="000B7AA6"/>
    <w:rsid w:val="000B7B35"/>
    <w:rsid w:val="000C09AC"/>
    <w:rsid w:val="000C2C61"/>
    <w:rsid w:val="000C3CED"/>
    <w:rsid w:val="000C3FB9"/>
    <w:rsid w:val="000C4E85"/>
    <w:rsid w:val="000C513E"/>
    <w:rsid w:val="000C6A09"/>
    <w:rsid w:val="000C767F"/>
    <w:rsid w:val="000C7CBB"/>
    <w:rsid w:val="000D12B6"/>
    <w:rsid w:val="000D14EB"/>
    <w:rsid w:val="000D163C"/>
    <w:rsid w:val="000D1BCE"/>
    <w:rsid w:val="000D2508"/>
    <w:rsid w:val="000D2AA4"/>
    <w:rsid w:val="000D5A44"/>
    <w:rsid w:val="000D5B5C"/>
    <w:rsid w:val="000D5C64"/>
    <w:rsid w:val="000D6795"/>
    <w:rsid w:val="000D6E8B"/>
    <w:rsid w:val="000D7D08"/>
    <w:rsid w:val="000E0125"/>
    <w:rsid w:val="000E1BEB"/>
    <w:rsid w:val="000E32FA"/>
    <w:rsid w:val="000E362C"/>
    <w:rsid w:val="000E3A01"/>
    <w:rsid w:val="000E3ED2"/>
    <w:rsid w:val="000E40DF"/>
    <w:rsid w:val="000E4BAD"/>
    <w:rsid w:val="000E607E"/>
    <w:rsid w:val="000F1591"/>
    <w:rsid w:val="000F1E21"/>
    <w:rsid w:val="000F35BC"/>
    <w:rsid w:val="000F61B4"/>
    <w:rsid w:val="000F6211"/>
    <w:rsid w:val="000F681B"/>
    <w:rsid w:val="000F6E92"/>
    <w:rsid w:val="00100D8C"/>
    <w:rsid w:val="00101691"/>
    <w:rsid w:val="00101BE2"/>
    <w:rsid w:val="00102CD1"/>
    <w:rsid w:val="0010454B"/>
    <w:rsid w:val="00104AB3"/>
    <w:rsid w:val="00104B78"/>
    <w:rsid w:val="00105CE4"/>
    <w:rsid w:val="001076A1"/>
    <w:rsid w:val="00110891"/>
    <w:rsid w:val="00110BB3"/>
    <w:rsid w:val="00111B18"/>
    <w:rsid w:val="00111B89"/>
    <w:rsid w:val="00112D99"/>
    <w:rsid w:val="00113F64"/>
    <w:rsid w:val="00114C5E"/>
    <w:rsid w:val="0011544A"/>
    <w:rsid w:val="00115EE0"/>
    <w:rsid w:val="001178ED"/>
    <w:rsid w:val="001205E7"/>
    <w:rsid w:val="001209A0"/>
    <w:rsid w:val="001210DE"/>
    <w:rsid w:val="0012329E"/>
    <w:rsid w:val="00125236"/>
    <w:rsid w:val="00125C13"/>
    <w:rsid w:val="00130031"/>
    <w:rsid w:val="00131584"/>
    <w:rsid w:val="00131F42"/>
    <w:rsid w:val="001322F9"/>
    <w:rsid w:val="0013405E"/>
    <w:rsid w:val="001354E3"/>
    <w:rsid w:val="001357F1"/>
    <w:rsid w:val="00135D76"/>
    <w:rsid w:val="00136194"/>
    <w:rsid w:val="001366BD"/>
    <w:rsid w:val="001402B8"/>
    <w:rsid w:val="001404D8"/>
    <w:rsid w:val="00140FA8"/>
    <w:rsid w:val="0014121F"/>
    <w:rsid w:val="00142693"/>
    <w:rsid w:val="00142A5A"/>
    <w:rsid w:val="00142B9E"/>
    <w:rsid w:val="00142FEB"/>
    <w:rsid w:val="00143522"/>
    <w:rsid w:val="00143A2D"/>
    <w:rsid w:val="001442C8"/>
    <w:rsid w:val="001453D1"/>
    <w:rsid w:val="00145A41"/>
    <w:rsid w:val="00147056"/>
    <w:rsid w:val="00151583"/>
    <w:rsid w:val="00151675"/>
    <w:rsid w:val="00151A04"/>
    <w:rsid w:val="00151DA7"/>
    <w:rsid w:val="0015245D"/>
    <w:rsid w:val="001524E0"/>
    <w:rsid w:val="0015454C"/>
    <w:rsid w:val="001549DE"/>
    <w:rsid w:val="00154A84"/>
    <w:rsid w:val="001557AA"/>
    <w:rsid w:val="00155C6E"/>
    <w:rsid w:val="00155F08"/>
    <w:rsid w:val="00157435"/>
    <w:rsid w:val="00157921"/>
    <w:rsid w:val="00160C06"/>
    <w:rsid w:val="0016228F"/>
    <w:rsid w:val="00162481"/>
    <w:rsid w:val="00162FD5"/>
    <w:rsid w:val="00163C28"/>
    <w:rsid w:val="0016425D"/>
    <w:rsid w:val="001643DF"/>
    <w:rsid w:val="0016490B"/>
    <w:rsid w:val="00164B06"/>
    <w:rsid w:val="00164D76"/>
    <w:rsid w:val="00165853"/>
    <w:rsid w:val="00166487"/>
    <w:rsid w:val="00166A2F"/>
    <w:rsid w:val="001674DE"/>
    <w:rsid w:val="00170BF8"/>
    <w:rsid w:val="00170CB9"/>
    <w:rsid w:val="00171B0C"/>
    <w:rsid w:val="00171D94"/>
    <w:rsid w:val="0017224E"/>
    <w:rsid w:val="001733E5"/>
    <w:rsid w:val="00174013"/>
    <w:rsid w:val="0017504D"/>
    <w:rsid w:val="00175A10"/>
    <w:rsid w:val="0017671A"/>
    <w:rsid w:val="00177422"/>
    <w:rsid w:val="00180485"/>
    <w:rsid w:val="0018377F"/>
    <w:rsid w:val="00184590"/>
    <w:rsid w:val="00186034"/>
    <w:rsid w:val="00186586"/>
    <w:rsid w:val="00186D46"/>
    <w:rsid w:val="001870D1"/>
    <w:rsid w:val="0018781E"/>
    <w:rsid w:val="0019062B"/>
    <w:rsid w:val="00190725"/>
    <w:rsid w:val="00190A13"/>
    <w:rsid w:val="0019262D"/>
    <w:rsid w:val="00194213"/>
    <w:rsid w:val="00197A2E"/>
    <w:rsid w:val="001A13D4"/>
    <w:rsid w:val="001A1B35"/>
    <w:rsid w:val="001A37F7"/>
    <w:rsid w:val="001A3B7A"/>
    <w:rsid w:val="001A3ED6"/>
    <w:rsid w:val="001A48A2"/>
    <w:rsid w:val="001A546A"/>
    <w:rsid w:val="001A5C9B"/>
    <w:rsid w:val="001A682D"/>
    <w:rsid w:val="001A6F47"/>
    <w:rsid w:val="001A6F61"/>
    <w:rsid w:val="001A7844"/>
    <w:rsid w:val="001A7A42"/>
    <w:rsid w:val="001B0618"/>
    <w:rsid w:val="001B1322"/>
    <w:rsid w:val="001B295A"/>
    <w:rsid w:val="001B361B"/>
    <w:rsid w:val="001B3FF5"/>
    <w:rsid w:val="001B486E"/>
    <w:rsid w:val="001B4BA9"/>
    <w:rsid w:val="001B6763"/>
    <w:rsid w:val="001B72B8"/>
    <w:rsid w:val="001C064F"/>
    <w:rsid w:val="001C1921"/>
    <w:rsid w:val="001C192F"/>
    <w:rsid w:val="001C1F54"/>
    <w:rsid w:val="001C2789"/>
    <w:rsid w:val="001C3E83"/>
    <w:rsid w:val="001C4215"/>
    <w:rsid w:val="001C4919"/>
    <w:rsid w:val="001C5957"/>
    <w:rsid w:val="001C5F14"/>
    <w:rsid w:val="001C66C0"/>
    <w:rsid w:val="001C69B3"/>
    <w:rsid w:val="001C6C13"/>
    <w:rsid w:val="001C75D3"/>
    <w:rsid w:val="001D0005"/>
    <w:rsid w:val="001D06A9"/>
    <w:rsid w:val="001D0F1D"/>
    <w:rsid w:val="001D26AB"/>
    <w:rsid w:val="001D367D"/>
    <w:rsid w:val="001D48AC"/>
    <w:rsid w:val="001D4CAD"/>
    <w:rsid w:val="001D5595"/>
    <w:rsid w:val="001D5F58"/>
    <w:rsid w:val="001D6D30"/>
    <w:rsid w:val="001D73E3"/>
    <w:rsid w:val="001D7874"/>
    <w:rsid w:val="001D7E2F"/>
    <w:rsid w:val="001D7F22"/>
    <w:rsid w:val="001E0974"/>
    <w:rsid w:val="001E0B4D"/>
    <w:rsid w:val="001E156C"/>
    <w:rsid w:val="001E296E"/>
    <w:rsid w:val="001E5D0D"/>
    <w:rsid w:val="001E5F8A"/>
    <w:rsid w:val="001E706A"/>
    <w:rsid w:val="001E76DD"/>
    <w:rsid w:val="001E78A4"/>
    <w:rsid w:val="001F0A6A"/>
    <w:rsid w:val="001F0D2E"/>
    <w:rsid w:val="001F0F17"/>
    <w:rsid w:val="001F15A0"/>
    <w:rsid w:val="001F2940"/>
    <w:rsid w:val="001F3347"/>
    <w:rsid w:val="001F3D17"/>
    <w:rsid w:val="001F5BFD"/>
    <w:rsid w:val="001F5CA2"/>
    <w:rsid w:val="001F69E4"/>
    <w:rsid w:val="001F713D"/>
    <w:rsid w:val="002019EE"/>
    <w:rsid w:val="00203CE1"/>
    <w:rsid w:val="00204A20"/>
    <w:rsid w:val="002059A5"/>
    <w:rsid w:val="00206AB6"/>
    <w:rsid w:val="00207394"/>
    <w:rsid w:val="002079BA"/>
    <w:rsid w:val="002102D8"/>
    <w:rsid w:val="00211AFC"/>
    <w:rsid w:val="00212525"/>
    <w:rsid w:val="002125B4"/>
    <w:rsid w:val="00213B49"/>
    <w:rsid w:val="002154A4"/>
    <w:rsid w:val="002155B8"/>
    <w:rsid w:val="00216DBC"/>
    <w:rsid w:val="00217078"/>
    <w:rsid w:val="0021764A"/>
    <w:rsid w:val="0022092E"/>
    <w:rsid w:val="00221E83"/>
    <w:rsid w:val="002224EF"/>
    <w:rsid w:val="00224839"/>
    <w:rsid w:val="002249B2"/>
    <w:rsid w:val="00226574"/>
    <w:rsid w:val="00226B61"/>
    <w:rsid w:val="002275C9"/>
    <w:rsid w:val="002278EC"/>
    <w:rsid w:val="00227988"/>
    <w:rsid w:val="00230AFA"/>
    <w:rsid w:val="002313F0"/>
    <w:rsid w:val="0023155A"/>
    <w:rsid w:val="00231D82"/>
    <w:rsid w:val="0023280E"/>
    <w:rsid w:val="002377D1"/>
    <w:rsid w:val="00241E15"/>
    <w:rsid w:val="002429D6"/>
    <w:rsid w:val="002431B3"/>
    <w:rsid w:val="002431F9"/>
    <w:rsid w:val="00243927"/>
    <w:rsid w:val="002445D0"/>
    <w:rsid w:val="002445DF"/>
    <w:rsid w:val="00245E94"/>
    <w:rsid w:val="002506BC"/>
    <w:rsid w:val="00250BF7"/>
    <w:rsid w:val="00251A24"/>
    <w:rsid w:val="00252329"/>
    <w:rsid w:val="00252D82"/>
    <w:rsid w:val="002535DB"/>
    <w:rsid w:val="00254345"/>
    <w:rsid w:val="00256D7A"/>
    <w:rsid w:val="0026277A"/>
    <w:rsid w:val="00263860"/>
    <w:rsid w:val="00264395"/>
    <w:rsid w:val="002644BD"/>
    <w:rsid w:val="00264557"/>
    <w:rsid w:val="00267EE4"/>
    <w:rsid w:val="00271649"/>
    <w:rsid w:val="002724FF"/>
    <w:rsid w:val="00273328"/>
    <w:rsid w:val="00273650"/>
    <w:rsid w:val="0027542F"/>
    <w:rsid w:val="0027641E"/>
    <w:rsid w:val="00276C57"/>
    <w:rsid w:val="00277537"/>
    <w:rsid w:val="002805AB"/>
    <w:rsid w:val="00281404"/>
    <w:rsid w:val="002816C8"/>
    <w:rsid w:val="00281828"/>
    <w:rsid w:val="00281DF2"/>
    <w:rsid w:val="00281E16"/>
    <w:rsid w:val="002837B0"/>
    <w:rsid w:val="00283C05"/>
    <w:rsid w:val="00283C2D"/>
    <w:rsid w:val="00284204"/>
    <w:rsid w:val="00284DCD"/>
    <w:rsid w:val="00285559"/>
    <w:rsid w:val="00287161"/>
    <w:rsid w:val="00287C7A"/>
    <w:rsid w:val="00291030"/>
    <w:rsid w:val="00291310"/>
    <w:rsid w:val="00291773"/>
    <w:rsid w:val="00291A7E"/>
    <w:rsid w:val="00293052"/>
    <w:rsid w:val="0029591D"/>
    <w:rsid w:val="00296DD0"/>
    <w:rsid w:val="00297718"/>
    <w:rsid w:val="002A0256"/>
    <w:rsid w:val="002A0CB9"/>
    <w:rsid w:val="002A168C"/>
    <w:rsid w:val="002A31E7"/>
    <w:rsid w:val="002A3A64"/>
    <w:rsid w:val="002A3DC7"/>
    <w:rsid w:val="002A4FCD"/>
    <w:rsid w:val="002A5261"/>
    <w:rsid w:val="002A5CE7"/>
    <w:rsid w:val="002A62DF"/>
    <w:rsid w:val="002B0D58"/>
    <w:rsid w:val="002B2E7A"/>
    <w:rsid w:val="002B30CE"/>
    <w:rsid w:val="002B45BF"/>
    <w:rsid w:val="002B49E2"/>
    <w:rsid w:val="002B4A05"/>
    <w:rsid w:val="002B618E"/>
    <w:rsid w:val="002B6860"/>
    <w:rsid w:val="002B7B00"/>
    <w:rsid w:val="002B7BEC"/>
    <w:rsid w:val="002B7C44"/>
    <w:rsid w:val="002C2B17"/>
    <w:rsid w:val="002C304A"/>
    <w:rsid w:val="002C3D79"/>
    <w:rsid w:val="002C73C2"/>
    <w:rsid w:val="002D00FE"/>
    <w:rsid w:val="002D1E96"/>
    <w:rsid w:val="002D39E5"/>
    <w:rsid w:val="002D3A12"/>
    <w:rsid w:val="002D3A50"/>
    <w:rsid w:val="002D3CB6"/>
    <w:rsid w:val="002D3DD0"/>
    <w:rsid w:val="002D46B6"/>
    <w:rsid w:val="002D538C"/>
    <w:rsid w:val="002D552D"/>
    <w:rsid w:val="002D64E8"/>
    <w:rsid w:val="002D727D"/>
    <w:rsid w:val="002D7450"/>
    <w:rsid w:val="002D756A"/>
    <w:rsid w:val="002E05DD"/>
    <w:rsid w:val="002E0F7D"/>
    <w:rsid w:val="002E1DE5"/>
    <w:rsid w:val="002E1F3A"/>
    <w:rsid w:val="002E298A"/>
    <w:rsid w:val="002E3AC5"/>
    <w:rsid w:val="002E483C"/>
    <w:rsid w:val="002E4D64"/>
    <w:rsid w:val="002E531D"/>
    <w:rsid w:val="002E5988"/>
    <w:rsid w:val="002E648F"/>
    <w:rsid w:val="002F0263"/>
    <w:rsid w:val="002F0CA6"/>
    <w:rsid w:val="002F24BD"/>
    <w:rsid w:val="002F25C0"/>
    <w:rsid w:val="002F5548"/>
    <w:rsid w:val="002F57AF"/>
    <w:rsid w:val="002F59F5"/>
    <w:rsid w:val="002F5B8D"/>
    <w:rsid w:val="00301055"/>
    <w:rsid w:val="00301978"/>
    <w:rsid w:val="00302B5B"/>
    <w:rsid w:val="0030332C"/>
    <w:rsid w:val="003051C2"/>
    <w:rsid w:val="00305F8A"/>
    <w:rsid w:val="00312296"/>
    <w:rsid w:val="00312EE5"/>
    <w:rsid w:val="003137B9"/>
    <w:rsid w:val="003144B9"/>
    <w:rsid w:val="00314703"/>
    <w:rsid w:val="00314F0E"/>
    <w:rsid w:val="00315313"/>
    <w:rsid w:val="00315A91"/>
    <w:rsid w:val="00317BB3"/>
    <w:rsid w:val="003209E1"/>
    <w:rsid w:val="00321D8E"/>
    <w:rsid w:val="003227C6"/>
    <w:rsid w:val="00325928"/>
    <w:rsid w:val="00325939"/>
    <w:rsid w:val="00325A9A"/>
    <w:rsid w:val="00325DD6"/>
    <w:rsid w:val="0032690D"/>
    <w:rsid w:val="003279DC"/>
    <w:rsid w:val="00330511"/>
    <w:rsid w:val="003308AD"/>
    <w:rsid w:val="0033191E"/>
    <w:rsid w:val="00331ED1"/>
    <w:rsid w:val="00331F67"/>
    <w:rsid w:val="00332863"/>
    <w:rsid w:val="0033386B"/>
    <w:rsid w:val="0033410D"/>
    <w:rsid w:val="00334A15"/>
    <w:rsid w:val="00334CA7"/>
    <w:rsid w:val="0033684D"/>
    <w:rsid w:val="00337B42"/>
    <w:rsid w:val="00340217"/>
    <w:rsid w:val="003409D9"/>
    <w:rsid w:val="0034180D"/>
    <w:rsid w:val="00341B42"/>
    <w:rsid w:val="00341D2F"/>
    <w:rsid w:val="00341F99"/>
    <w:rsid w:val="0034348F"/>
    <w:rsid w:val="0034527A"/>
    <w:rsid w:val="00346E16"/>
    <w:rsid w:val="00350266"/>
    <w:rsid w:val="00350CDD"/>
    <w:rsid w:val="00351801"/>
    <w:rsid w:val="00351A48"/>
    <w:rsid w:val="003525CC"/>
    <w:rsid w:val="0035323D"/>
    <w:rsid w:val="003539AE"/>
    <w:rsid w:val="0035506D"/>
    <w:rsid w:val="003559F8"/>
    <w:rsid w:val="00356653"/>
    <w:rsid w:val="0035743F"/>
    <w:rsid w:val="00357B35"/>
    <w:rsid w:val="00357BE2"/>
    <w:rsid w:val="00360ECD"/>
    <w:rsid w:val="00360F70"/>
    <w:rsid w:val="003613A4"/>
    <w:rsid w:val="0036170C"/>
    <w:rsid w:val="00364569"/>
    <w:rsid w:val="003648F5"/>
    <w:rsid w:val="00364A63"/>
    <w:rsid w:val="003656E4"/>
    <w:rsid w:val="003659B7"/>
    <w:rsid w:val="0036655D"/>
    <w:rsid w:val="00366C39"/>
    <w:rsid w:val="00366E0F"/>
    <w:rsid w:val="00370680"/>
    <w:rsid w:val="00371481"/>
    <w:rsid w:val="00371A0A"/>
    <w:rsid w:val="0037228F"/>
    <w:rsid w:val="0037396A"/>
    <w:rsid w:val="0037406C"/>
    <w:rsid w:val="003743E6"/>
    <w:rsid w:val="00375B4D"/>
    <w:rsid w:val="003763D7"/>
    <w:rsid w:val="00376616"/>
    <w:rsid w:val="00376CCC"/>
    <w:rsid w:val="0037744F"/>
    <w:rsid w:val="00377C18"/>
    <w:rsid w:val="0038067D"/>
    <w:rsid w:val="00380D21"/>
    <w:rsid w:val="003813FC"/>
    <w:rsid w:val="00381A72"/>
    <w:rsid w:val="0038271A"/>
    <w:rsid w:val="00383905"/>
    <w:rsid w:val="00384676"/>
    <w:rsid w:val="00384CF9"/>
    <w:rsid w:val="00385466"/>
    <w:rsid w:val="00385A62"/>
    <w:rsid w:val="00385D3B"/>
    <w:rsid w:val="003864AA"/>
    <w:rsid w:val="00386DD3"/>
    <w:rsid w:val="003878E3"/>
    <w:rsid w:val="00387BFA"/>
    <w:rsid w:val="00390857"/>
    <w:rsid w:val="00390B21"/>
    <w:rsid w:val="00391582"/>
    <w:rsid w:val="003921B5"/>
    <w:rsid w:val="00394332"/>
    <w:rsid w:val="0039659B"/>
    <w:rsid w:val="00396965"/>
    <w:rsid w:val="00396E5D"/>
    <w:rsid w:val="003A0102"/>
    <w:rsid w:val="003A0D15"/>
    <w:rsid w:val="003A128C"/>
    <w:rsid w:val="003A36CC"/>
    <w:rsid w:val="003A3BE9"/>
    <w:rsid w:val="003A4BF3"/>
    <w:rsid w:val="003A55DF"/>
    <w:rsid w:val="003A604B"/>
    <w:rsid w:val="003A6B99"/>
    <w:rsid w:val="003B20AC"/>
    <w:rsid w:val="003B27FF"/>
    <w:rsid w:val="003B3301"/>
    <w:rsid w:val="003B420D"/>
    <w:rsid w:val="003B434A"/>
    <w:rsid w:val="003B4766"/>
    <w:rsid w:val="003B69EE"/>
    <w:rsid w:val="003B7396"/>
    <w:rsid w:val="003C0A4C"/>
    <w:rsid w:val="003C0D9C"/>
    <w:rsid w:val="003C0E48"/>
    <w:rsid w:val="003C0E72"/>
    <w:rsid w:val="003C0F8E"/>
    <w:rsid w:val="003C14A4"/>
    <w:rsid w:val="003C20E4"/>
    <w:rsid w:val="003C43DF"/>
    <w:rsid w:val="003C47A4"/>
    <w:rsid w:val="003C5D99"/>
    <w:rsid w:val="003C60C3"/>
    <w:rsid w:val="003C6C16"/>
    <w:rsid w:val="003C701D"/>
    <w:rsid w:val="003C7DAB"/>
    <w:rsid w:val="003D0345"/>
    <w:rsid w:val="003D03AC"/>
    <w:rsid w:val="003D0B62"/>
    <w:rsid w:val="003D0D60"/>
    <w:rsid w:val="003D175E"/>
    <w:rsid w:val="003D3E68"/>
    <w:rsid w:val="003D6374"/>
    <w:rsid w:val="003D6458"/>
    <w:rsid w:val="003D794D"/>
    <w:rsid w:val="003E0161"/>
    <w:rsid w:val="003E06AD"/>
    <w:rsid w:val="003E0A0D"/>
    <w:rsid w:val="003E3058"/>
    <w:rsid w:val="003E3AC4"/>
    <w:rsid w:val="003E5A5B"/>
    <w:rsid w:val="003E6F4F"/>
    <w:rsid w:val="003E7557"/>
    <w:rsid w:val="003E76A9"/>
    <w:rsid w:val="003E7F51"/>
    <w:rsid w:val="003F061F"/>
    <w:rsid w:val="003F0809"/>
    <w:rsid w:val="003F1726"/>
    <w:rsid w:val="003F203D"/>
    <w:rsid w:val="003F266B"/>
    <w:rsid w:val="003F3398"/>
    <w:rsid w:val="003F3495"/>
    <w:rsid w:val="003F3B00"/>
    <w:rsid w:val="003F44ED"/>
    <w:rsid w:val="003F5ED0"/>
    <w:rsid w:val="003F68AF"/>
    <w:rsid w:val="003F6A8C"/>
    <w:rsid w:val="003F746A"/>
    <w:rsid w:val="003F755C"/>
    <w:rsid w:val="004002F9"/>
    <w:rsid w:val="00404074"/>
    <w:rsid w:val="00404A41"/>
    <w:rsid w:val="00405568"/>
    <w:rsid w:val="004055EF"/>
    <w:rsid w:val="00406F01"/>
    <w:rsid w:val="00407487"/>
    <w:rsid w:val="004075CA"/>
    <w:rsid w:val="00410F65"/>
    <w:rsid w:val="00413308"/>
    <w:rsid w:val="00415F36"/>
    <w:rsid w:val="00416D50"/>
    <w:rsid w:val="00416E21"/>
    <w:rsid w:val="00416FD5"/>
    <w:rsid w:val="00417278"/>
    <w:rsid w:val="00417772"/>
    <w:rsid w:val="00420E6A"/>
    <w:rsid w:val="00421532"/>
    <w:rsid w:val="00423B5B"/>
    <w:rsid w:val="00424AEF"/>
    <w:rsid w:val="00424B34"/>
    <w:rsid w:val="00424DBE"/>
    <w:rsid w:val="00425A9E"/>
    <w:rsid w:val="00426C98"/>
    <w:rsid w:val="00426D6B"/>
    <w:rsid w:val="00427BE7"/>
    <w:rsid w:val="00430B2E"/>
    <w:rsid w:val="00430D1A"/>
    <w:rsid w:val="00431E6C"/>
    <w:rsid w:val="00431FB9"/>
    <w:rsid w:val="004320C2"/>
    <w:rsid w:val="004329CD"/>
    <w:rsid w:val="004336D6"/>
    <w:rsid w:val="00433CE7"/>
    <w:rsid w:val="004342B3"/>
    <w:rsid w:val="00434979"/>
    <w:rsid w:val="004368B3"/>
    <w:rsid w:val="004410F1"/>
    <w:rsid w:val="00441603"/>
    <w:rsid w:val="0044201F"/>
    <w:rsid w:val="004423A1"/>
    <w:rsid w:val="00442D0A"/>
    <w:rsid w:val="0044344F"/>
    <w:rsid w:val="00445123"/>
    <w:rsid w:val="0044571F"/>
    <w:rsid w:val="00445DCC"/>
    <w:rsid w:val="00446943"/>
    <w:rsid w:val="00446EC2"/>
    <w:rsid w:val="004470F1"/>
    <w:rsid w:val="00447E45"/>
    <w:rsid w:val="00451E9F"/>
    <w:rsid w:val="004521EF"/>
    <w:rsid w:val="00452738"/>
    <w:rsid w:val="00452D47"/>
    <w:rsid w:val="004545CD"/>
    <w:rsid w:val="00455BE0"/>
    <w:rsid w:val="00456091"/>
    <w:rsid w:val="0045687C"/>
    <w:rsid w:val="004576AC"/>
    <w:rsid w:val="00460FED"/>
    <w:rsid w:val="004610FC"/>
    <w:rsid w:val="0046184B"/>
    <w:rsid w:val="00461C89"/>
    <w:rsid w:val="00461F9C"/>
    <w:rsid w:val="00463194"/>
    <w:rsid w:val="00464F32"/>
    <w:rsid w:val="004655F6"/>
    <w:rsid w:val="00466321"/>
    <w:rsid w:val="00470EC6"/>
    <w:rsid w:val="004732F3"/>
    <w:rsid w:val="0047372F"/>
    <w:rsid w:val="00474F85"/>
    <w:rsid w:val="0047581A"/>
    <w:rsid w:val="00477419"/>
    <w:rsid w:val="00480405"/>
    <w:rsid w:val="004808E2"/>
    <w:rsid w:val="00480A3B"/>
    <w:rsid w:val="00481100"/>
    <w:rsid w:val="00481992"/>
    <w:rsid w:val="0048463E"/>
    <w:rsid w:val="0048483E"/>
    <w:rsid w:val="00484B9B"/>
    <w:rsid w:val="004851B5"/>
    <w:rsid w:val="004855F6"/>
    <w:rsid w:val="00485E06"/>
    <w:rsid w:val="00485F15"/>
    <w:rsid w:val="0048661E"/>
    <w:rsid w:val="004869CF"/>
    <w:rsid w:val="004871ED"/>
    <w:rsid w:val="00490B13"/>
    <w:rsid w:val="00490BE8"/>
    <w:rsid w:val="00491189"/>
    <w:rsid w:val="00491BF9"/>
    <w:rsid w:val="00492683"/>
    <w:rsid w:val="00492DCD"/>
    <w:rsid w:val="00493107"/>
    <w:rsid w:val="0049418C"/>
    <w:rsid w:val="00494623"/>
    <w:rsid w:val="00494670"/>
    <w:rsid w:val="00494A3D"/>
    <w:rsid w:val="00495918"/>
    <w:rsid w:val="00495E00"/>
    <w:rsid w:val="0049794D"/>
    <w:rsid w:val="00497B91"/>
    <w:rsid w:val="004A109B"/>
    <w:rsid w:val="004A3823"/>
    <w:rsid w:val="004A6173"/>
    <w:rsid w:val="004A67B1"/>
    <w:rsid w:val="004A723D"/>
    <w:rsid w:val="004B1384"/>
    <w:rsid w:val="004B23EA"/>
    <w:rsid w:val="004B2428"/>
    <w:rsid w:val="004B2CAD"/>
    <w:rsid w:val="004B775E"/>
    <w:rsid w:val="004B7B37"/>
    <w:rsid w:val="004B7B48"/>
    <w:rsid w:val="004C013D"/>
    <w:rsid w:val="004C0339"/>
    <w:rsid w:val="004C3274"/>
    <w:rsid w:val="004C39C6"/>
    <w:rsid w:val="004C5BF0"/>
    <w:rsid w:val="004C6D90"/>
    <w:rsid w:val="004C7A69"/>
    <w:rsid w:val="004C7C59"/>
    <w:rsid w:val="004D0241"/>
    <w:rsid w:val="004D0A64"/>
    <w:rsid w:val="004D0E36"/>
    <w:rsid w:val="004D1753"/>
    <w:rsid w:val="004D1967"/>
    <w:rsid w:val="004D2C6B"/>
    <w:rsid w:val="004D546B"/>
    <w:rsid w:val="004D769E"/>
    <w:rsid w:val="004E0035"/>
    <w:rsid w:val="004E127E"/>
    <w:rsid w:val="004E1291"/>
    <w:rsid w:val="004E1649"/>
    <w:rsid w:val="004E3E77"/>
    <w:rsid w:val="004E5A64"/>
    <w:rsid w:val="004E6946"/>
    <w:rsid w:val="004E69A4"/>
    <w:rsid w:val="004E76F6"/>
    <w:rsid w:val="004F0110"/>
    <w:rsid w:val="004F1AD8"/>
    <w:rsid w:val="004F2D2E"/>
    <w:rsid w:val="004F3CF6"/>
    <w:rsid w:val="004F6C6E"/>
    <w:rsid w:val="004F6FD2"/>
    <w:rsid w:val="004F7393"/>
    <w:rsid w:val="004F7E25"/>
    <w:rsid w:val="004F7E9A"/>
    <w:rsid w:val="00500398"/>
    <w:rsid w:val="005005EA"/>
    <w:rsid w:val="0050102F"/>
    <w:rsid w:val="00501545"/>
    <w:rsid w:val="00501763"/>
    <w:rsid w:val="0050196B"/>
    <w:rsid w:val="00502F95"/>
    <w:rsid w:val="00503605"/>
    <w:rsid w:val="005039CB"/>
    <w:rsid w:val="005047FC"/>
    <w:rsid w:val="00504C07"/>
    <w:rsid w:val="0050524A"/>
    <w:rsid w:val="0050558F"/>
    <w:rsid w:val="00505DC5"/>
    <w:rsid w:val="00506286"/>
    <w:rsid w:val="005071C5"/>
    <w:rsid w:val="00507299"/>
    <w:rsid w:val="00510302"/>
    <w:rsid w:val="00510598"/>
    <w:rsid w:val="00510657"/>
    <w:rsid w:val="00510813"/>
    <w:rsid w:val="00510FDB"/>
    <w:rsid w:val="00511990"/>
    <w:rsid w:val="00511DE0"/>
    <w:rsid w:val="0051250A"/>
    <w:rsid w:val="0051345C"/>
    <w:rsid w:val="00514870"/>
    <w:rsid w:val="00514B9B"/>
    <w:rsid w:val="0051511F"/>
    <w:rsid w:val="00515325"/>
    <w:rsid w:val="0051595B"/>
    <w:rsid w:val="00516B4F"/>
    <w:rsid w:val="00517F02"/>
    <w:rsid w:val="00521987"/>
    <w:rsid w:val="00522275"/>
    <w:rsid w:val="00523092"/>
    <w:rsid w:val="00524303"/>
    <w:rsid w:val="005247C3"/>
    <w:rsid w:val="005258A2"/>
    <w:rsid w:val="00527AA1"/>
    <w:rsid w:val="005301F6"/>
    <w:rsid w:val="00530F9E"/>
    <w:rsid w:val="0053356D"/>
    <w:rsid w:val="005336DF"/>
    <w:rsid w:val="00533D1A"/>
    <w:rsid w:val="00533E4B"/>
    <w:rsid w:val="00534868"/>
    <w:rsid w:val="00534CCB"/>
    <w:rsid w:val="00535411"/>
    <w:rsid w:val="00535A48"/>
    <w:rsid w:val="00535ED7"/>
    <w:rsid w:val="00536579"/>
    <w:rsid w:val="005371FD"/>
    <w:rsid w:val="00537C30"/>
    <w:rsid w:val="005401AE"/>
    <w:rsid w:val="005407B7"/>
    <w:rsid w:val="00541BF1"/>
    <w:rsid w:val="005422AE"/>
    <w:rsid w:val="00542E07"/>
    <w:rsid w:val="00542FBF"/>
    <w:rsid w:val="00545424"/>
    <w:rsid w:val="005455F6"/>
    <w:rsid w:val="00547771"/>
    <w:rsid w:val="0055083E"/>
    <w:rsid w:val="0055099F"/>
    <w:rsid w:val="005515E9"/>
    <w:rsid w:val="00551F0E"/>
    <w:rsid w:val="0055393E"/>
    <w:rsid w:val="00554A7B"/>
    <w:rsid w:val="0055572C"/>
    <w:rsid w:val="0055605B"/>
    <w:rsid w:val="00557F84"/>
    <w:rsid w:val="0056004F"/>
    <w:rsid w:val="0056106A"/>
    <w:rsid w:val="00561BB7"/>
    <w:rsid w:val="005627B4"/>
    <w:rsid w:val="00563022"/>
    <w:rsid w:val="00563F07"/>
    <w:rsid w:val="00567FDA"/>
    <w:rsid w:val="0057204F"/>
    <w:rsid w:val="005720AE"/>
    <w:rsid w:val="005725FF"/>
    <w:rsid w:val="00573429"/>
    <w:rsid w:val="00573CBB"/>
    <w:rsid w:val="00574021"/>
    <w:rsid w:val="00574642"/>
    <w:rsid w:val="00576B18"/>
    <w:rsid w:val="0058010B"/>
    <w:rsid w:val="0058223C"/>
    <w:rsid w:val="00582686"/>
    <w:rsid w:val="00582F18"/>
    <w:rsid w:val="00582FDB"/>
    <w:rsid w:val="00583AAA"/>
    <w:rsid w:val="00586344"/>
    <w:rsid w:val="00586602"/>
    <w:rsid w:val="00586680"/>
    <w:rsid w:val="00586E87"/>
    <w:rsid w:val="00586EC2"/>
    <w:rsid w:val="00591B61"/>
    <w:rsid w:val="00592356"/>
    <w:rsid w:val="005931C0"/>
    <w:rsid w:val="00594D77"/>
    <w:rsid w:val="005969E4"/>
    <w:rsid w:val="005973AA"/>
    <w:rsid w:val="00597917"/>
    <w:rsid w:val="00597B0B"/>
    <w:rsid w:val="005A06B7"/>
    <w:rsid w:val="005A06F8"/>
    <w:rsid w:val="005A0EE1"/>
    <w:rsid w:val="005A13F1"/>
    <w:rsid w:val="005A1759"/>
    <w:rsid w:val="005A19C8"/>
    <w:rsid w:val="005A2106"/>
    <w:rsid w:val="005A23B5"/>
    <w:rsid w:val="005A2468"/>
    <w:rsid w:val="005A2DEC"/>
    <w:rsid w:val="005A2E9E"/>
    <w:rsid w:val="005A334D"/>
    <w:rsid w:val="005A60E7"/>
    <w:rsid w:val="005A63FB"/>
    <w:rsid w:val="005A68A7"/>
    <w:rsid w:val="005A75C7"/>
    <w:rsid w:val="005A79DD"/>
    <w:rsid w:val="005B0365"/>
    <w:rsid w:val="005B04CA"/>
    <w:rsid w:val="005B0C1A"/>
    <w:rsid w:val="005B2A88"/>
    <w:rsid w:val="005B2BE7"/>
    <w:rsid w:val="005B4836"/>
    <w:rsid w:val="005B4B83"/>
    <w:rsid w:val="005B67B3"/>
    <w:rsid w:val="005C0504"/>
    <w:rsid w:val="005C124F"/>
    <w:rsid w:val="005C125C"/>
    <w:rsid w:val="005C2110"/>
    <w:rsid w:val="005C2D1C"/>
    <w:rsid w:val="005C2DB1"/>
    <w:rsid w:val="005C2FA4"/>
    <w:rsid w:val="005C41CD"/>
    <w:rsid w:val="005C4F50"/>
    <w:rsid w:val="005C59D0"/>
    <w:rsid w:val="005C5ABD"/>
    <w:rsid w:val="005C7876"/>
    <w:rsid w:val="005C7A32"/>
    <w:rsid w:val="005D0496"/>
    <w:rsid w:val="005D04AC"/>
    <w:rsid w:val="005D0DB5"/>
    <w:rsid w:val="005D1313"/>
    <w:rsid w:val="005D20DA"/>
    <w:rsid w:val="005D2ED7"/>
    <w:rsid w:val="005D36AB"/>
    <w:rsid w:val="005D3D73"/>
    <w:rsid w:val="005D5E3D"/>
    <w:rsid w:val="005D6B39"/>
    <w:rsid w:val="005D6DA4"/>
    <w:rsid w:val="005E0808"/>
    <w:rsid w:val="005E1462"/>
    <w:rsid w:val="005E1F28"/>
    <w:rsid w:val="005E325B"/>
    <w:rsid w:val="005E3E34"/>
    <w:rsid w:val="005E540B"/>
    <w:rsid w:val="005E767E"/>
    <w:rsid w:val="005E7E2A"/>
    <w:rsid w:val="005F008C"/>
    <w:rsid w:val="005F119A"/>
    <w:rsid w:val="005F2581"/>
    <w:rsid w:val="005F27AF"/>
    <w:rsid w:val="005F2919"/>
    <w:rsid w:val="005F2BCF"/>
    <w:rsid w:val="005F3C9D"/>
    <w:rsid w:val="005F43A7"/>
    <w:rsid w:val="005F5BFC"/>
    <w:rsid w:val="00600739"/>
    <w:rsid w:val="00601819"/>
    <w:rsid w:val="006027B7"/>
    <w:rsid w:val="0060280A"/>
    <w:rsid w:val="00603607"/>
    <w:rsid w:val="0060547D"/>
    <w:rsid w:val="00605D6E"/>
    <w:rsid w:val="006068BA"/>
    <w:rsid w:val="0060748C"/>
    <w:rsid w:val="00610F24"/>
    <w:rsid w:val="00610F3C"/>
    <w:rsid w:val="00611376"/>
    <w:rsid w:val="00614D24"/>
    <w:rsid w:val="00615089"/>
    <w:rsid w:val="0061709E"/>
    <w:rsid w:val="00617CC3"/>
    <w:rsid w:val="006202A3"/>
    <w:rsid w:val="00622022"/>
    <w:rsid w:val="006224D4"/>
    <w:rsid w:val="00623383"/>
    <w:rsid w:val="00624162"/>
    <w:rsid w:val="00625E34"/>
    <w:rsid w:val="00626A0C"/>
    <w:rsid w:val="0062766C"/>
    <w:rsid w:val="00627FAC"/>
    <w:rsid w:val="006300AA"/>
    <w:rsid w:val="00630380"/>
    <w:rsid w:val="0063153F"/>
    <w:rsid w:val="00631F01"/>
    <w:rsid w:val="00632D0E"/>
    <w:rsid w:val="00632D69"/>
    <w:rsid w:val="00633C29"/>
    <w:rsid w:val="00634335"/>
    <w:rsid w:val="0063457B"/>
    <w:rsid w:val="0063489D"/>
    <w:rsid w:val="00636325"/>
    <w:rsid w:val="0063637E"/>
    <w:rsid w:val="00636809"/>
    <w:rsid w:val="006377A6"/>
    <w:rsid w:val="00637A3D"/>
    <w:rsid w:val="0064047E"/>
    <w:rsid w:val="006411EF"/>
    <w:rsid w:val="00642170"/>
    <w:rsid w:val="00642459"/>
    <w:rsid w:val="00643244"/>
    <w:rsid w:val="00643450"/>
    <w:rsid w:val="00644B15"/>
    <w:rsid w:val="00644C65"/>
    <w:rsid w:val="00644F2C"/>
    <w:rsid w:val="006458B6"/>
    <w:rsid w:val="006460EC"/>
    <w:rsid w:val="00646531"/>
    <w:rsid w:val="00647AC3"/>
    <w:rsid w:val="00647D79"/>
    <w:rsid w:val="00647E0D"/>
    <w:rsid w:val="00651458"/>
    <w:rsid w:val="00651FCA"/>
    <w:rsid w:val="006529B8"/>
    <w:rsid w:val="00652E68"/>
    <w:rsid w:val="006536CF"/>
    <w:rsid w:val="006547F6"/>
    <w:rsid w:val="006556D3"/>
    <w:rsid w:val="00655A09"/>
    <w:rsid w:val="00655F08"/>
    <w:rsid w:val="0065633D"/>
    <w:rsid w:val="00656625"/>
    <w:rsid w:val="0065724D"/>
    <w:rsid w:val="0065751A"/>
    <w:rsid w:val="00661AF5"/>
    <w:rsid w:val="00661C3E"/>
    <w:rsid w:val="006624D4"/>
    <w:rsid w:val="00665694"/>
    <w:rsid w:val="0066654E"/>
    <w:rsid w:val="00666715"/>
    <w:rsid w:val="006668EB"/>
    <w:rsid w:val="00666E1F"/>
    <w:rsid w:val="006679D4"/>
    <w:rsid w:val="00670855"/>
    <w:rsid w:val="00671219"/>
    <w:rsid w:val="00672683"/>
    <w:rsid w:val="00672BCF"/>
    <w:rsid w:val="00672DBA"/>
    <w:rsid w:val="0067322F"/>
    <w:rsid w:val="006745DE"/>
    <w:rsid w:val="00674899"/>
    <w:rsid w:val="006748B8"/>
    <w:rsid w:val="00674E53"/>
    <w:rsid w:val="00676C7D"/>
    <w:rsid w:val="00677323"/>
    <w:rsid w:val="006775C0"/>
    <w:rsid w:val="006775C3"/>
    <w:rsid w:val="00680A73"/>
    <w:rsid w:val="00680DD8"/>
    <w:rsid w:val="0068179F"/>
    <w:rsid w:val="0068230B"/>
    <w:rsid w:val="00682386"/>
    <w:rsid w:val="006825C8"/>
    <w:rsid w:val="00682FD8"/>
    <w:rsid w:val="006837CD"/>
    <w:rsid w:val="00684003"/>
    <w:rsid w:val="00684319"/>
    <w:rsid w:val="0068559D"/>
    <w:rsid w:val="00686597"/>
    <w:rsid w:val="006866AF"/>
    <w:rsid w:val="00687CDF"/>
    <w:rsid w:val="0069177A"/>
    <w:rsid w:val="0069255A"/>
    <w:rsid w:val="0069290A"/>
    <w:rsid w:val="00693B87"/>
    <w:rsid w:val="00696BE3"/>
    <w:rsid w:val="006973B8"/>
    <w:rsid w:val="0069775A"/>
    <w:rsid w:val="00697813"/>
    <w:rsid w:val="006A013D"/>
    <w:rsid w:val="006A0755"/>
    <w:rsid w:val="006A099C"/>
    <w:rsid w:val="006A2852"/>
    <w:rsid w:val="006A3017"/>
    <w:rsid w:val="006A3EE8"/>
    <w:rsid w:val="006A43BA"/>
    <w:rsid w:val="006A469F"/>
    <w:rsid w:val="006A72BF"/>
    <w:rsid w:val="006A73C5"/>
    <w:rsid w:val="006B03F2"/>
    <w:rsid w:val="006B0C69"/>
    <w:rsid w:val="006B1C28"/>
    <w:rsid w:val="006B23AB"/>
    <w:rsid w:val="006B37DC"/>
    <w:rsid w:val="006B4A30"/>
    <w:rsid w:val="006B4F68"/>
    <w:rsid w:val="006B55C2"/>
    <w:rsid w:val="006B5CD7"/>
    <w:rsid w:val="006B61D6"/>
    <w:rsid w:val="006B66DB"/>
    <w:rsid w:val="006B79F0"/>
    <w:rsid w:val="006C0592"/>
    <w:rsid w:val="006C0AAD"/>
    <w:rsid w:val="006C0E84"/>
    <w:rsid w:val="006C216D"/>
    <w:rsid w:val="006C272E"/>
    <w:rsid w:val="006C2E90"/>
    <w:rsid w:val="006C348E"/>
    <w:rsid w:val="006C3AA5"/>
    <w:rsid w:val="006C414C"/>
    <w:rsid w:val="006C4961"/>
    <w:rsid w:val="006C5479"/>
    <w:rsid w:val="006D09C1"/>
    <w:rsid w:val="006D0A14"/>
    <w:rsid w:val="006D0B51"/>
    <w:rsid w:val="006D0E03"/>
    <w:rsid w:val="006D1332"/>
    <w:rsid w:val="006D13B5"/>
    <w:rsid w:val="006D1A03"/>
    <w:rsid w:val="006D3267"/>
    <w:rsid w:val="006D4110"/>
    <w:rsid w:val="006D443D"/>
    <w:rsid w:val="006D4585"/>
    <w:rsid w:val="006D5881"/>
    <w:rsid w:val="006D58C6"/>
    <w:rsid w:val="006D5A04"/>
    <w:rsid w:val="006D6C4A"/>
    <w:rsid w:val="006D756E"/>
    <w:rsid w:val="006E0B88"/>
    <w:rsid w:val="006E12FF"/>
    <w:rsid w:val="006E30E6"/>
    <w:rsid w:val="006E377C"/>
    <w:rsid w:val="006E47D0"/>
    <w:rsid w:val="006E49DD"/>
    <w:rsid w:val="006E4D16"/>
    <w:rsid w:val="006E607E"/>
    <w:rsid w:val="006E60E1"/>
    <w:rsid w:val="006E648C"/>
    <w:rsid w:val="006F11C6"/>
    <w:rsid w:val="006F1A9A"/>
    <w:rsid w:val="006F212F"/>
    <w:rsid w:val="006F5CAB"/>
    <w:rsid w:val="006F5E56"/>
    <w:rsid w:val="006F6506"/>
    <w:rsid w:val="0070099B"/>
    <w:rsid w:val="007019EC"/>
    <w:rsid w:val="00701EB3"/>
    <w:rsid w:val="007021EC"/>
    <w:rsid w:val="00705F90"/>
    <w:rsid w:val="00705FDE"/>
    <w:rsid w:val="007061CC"/>
    <w:rsid w:val="00706C5D"/>
    <w:rsid w:val="007102E1"/>
    <w:rsid w:val="007119B3"/>
    <w:rsid w:val="0071361F"/>
    <w:rsid w:val="00713EC9"/>
    <w:rsid w:val="0071525C"/>
    <w:rsid w:val="00716FCB"/>
    <w:rsid w:val="00717095"/>
    <w:rsid w:val="0071720C"/>
    <w:rsid w:val="00717EB5"/>
    <w:rsid w:val="00720985"/>
    <w:rsid w:val="00720ED4"/>
    <w:rsid w:val="007223EE"/>
    <w:rsid w:val="00723604"/>
    <w:rsid w:val="007240CF"/>
    <w:rsid w:val="0072474D"/>
    <w:rsid w:val="00730383"/>
    <w:rsid w:val="0073076E"/>
    <w:rsid w:val="00730DA9"/>
    <w:rsid w:val="00731F81"/>
    <w:rsid w:val="00732922"/>
    <w:rsid w:val="00732932"/>
    <w:rsid w:val="00732DB6"/>
    <w:rsid w:val="00733925"/>
    <w:rsid w:val="0073404A"/>
    <w:rsid w:val="007368D3"/>
    <w:rsid w:val="00736E85"/>
    <w:rsid w:val="007402AD"/>
    <w:rsid w:val="00741005"/>
    <w:rsid w:val="007419B3"/>
    <w:rsid w:val="00743005"/>
    <w:rsid w:val="007430F4"/>
    <w:rsid w:val="00743697"/>
    <w:rsid w:val="00743E1C"/>
    <w:rsid w:val="00744303"/>
    <w:rsid w:val="0074461A"/>
    <w:rsid w:val="00746CE9"/>
    <w:rsid w:val="00747515"/>
    <w:rsid w:val="00747CB4"/>
    <w:rsid w:val="00747F36"/>
    <w:rsid w:val="007509ED"/>
    <w:rsid w:val="00750AF5"/>
    <w:rsid w:val="00751295"/>
    <w:rsid w:val="0075162E"/>
    <w:rsid w:val="00751D1F"/>
    <w:rsid w:val="00752577"/>
    <w:rsid w:val="00752B02"/>
    <w:rsid w:val="00754034"/>
    <w:rsid w:val="00755725"/>
    <w:rsid w:val="00755DE5"/>
    <w:rsid w:val="00756556"/>
    <w:rsid w:val="00757DBF"/>
    <w:rsid w:val="007602FA"/>
    <w:rsid w:val="00760C8D"/>
    <w:rsid w:val="007618C4"/>
    <w:rsid w:val="0076295B"/>
    <w:rsid w:val="00763559"/>
    <w:rsid w:val="00763629"/>
    <w:rsid w:val="0076381A"/>
    <w:rsid w:val="00764014"/>
    <w:rsid w:val="00764214"/>
    <w:rsid w:val="007645C5"/>
    <w:rsid w:val="00765A8A"/>
    <w:rsid w:val="00767980"/>
    <w:rsid w:val="00770B19"/>
    <w:rsid w:val="007720D4"/>
    <w:rsid w:val="00773ED4"/>
    <w:rsid w:val="007745D9"/>
    <w:rsid w:val="0077463F"/>
    <w:rsid w:val="0077614E"/>
    <w:rsid w:val="00776B1D"/>
    <w:rsid w:val="007779D2"/>
    <w:rsid w:val="00780AA1"/>
    <w:rsid w:val="00780AD1"/>
    <w:rsid w:val="00782044"/>
    <w:rsid w:val="0078249B"/>
    <w:rsid w:val="00782584"/>
    <w:rsid w:val="007829ED"/>
    <w:rsid w:val="007836EA"/>
    <w:rsid w:val="00783F22"/>
    <w:rsid w:val="00784CDA"/>
    <w:rsid w:val="00784CFB"/>
    <w:rsid w:val="00786012"/>
    <w:rsid w:val="007875E0"/>
    <w:rsid w:val="007906C4"/>
    <w:rsid w:val="00791C81"/>
    <w:rsid w:val="007940EA"/>
    <w:rsid w:val="00795E3A"/>
    <w:rsid w:val="007967E8"/>
    <w:rsid w:val="00796E63"/>
    <w:rsid w:val="00797413"/>
    <w:rsid w:val="00797DC9"/>
    <w:rsid w:val="007A16C2"/>
    <w:rsid w:val="007A212F"/>
    <w:rsid w:val="007A2170"/>
    <w:rsid w:val="007A22BF"/>
    <w:rsid w:val="007A2AAE"/>
    <w:rsid w:val="007A3323"/>
    <w:rsid w:val="007A63FE"/>
    <w:rsid w:val="007A655E"/>
    <w:rsid w:val="007A7AB9"/>
    <w:rsid w:val="007A7CEF"/>
    <w:rsid w:val="007B08E5"/>
    <w:rsid w:val="007B209C"/>
    <w:rsid w:val="007B2D5E"/>
    <w:rsid w:val="007B2E82"/>
    <w:rsid w:val="007B3AF2"/>
    <w:rsid w:val="007B4321"/>
    <w:rsid w:val="007B4D5C"/>
    <w:rsid w:val="007B53FD"/>
    <w:rsid w:val="007B549D"/>
    <w:rsid w:val="007B6953"/>
    <w:rsid w:val="007B6C02"/>
    <w:rsid w:val="007B72B8"/>
    <w:rsid w:val="007B7A58"/>
    <w:rsid w:val="007C21B5"/>
    <w:rsid w:val="007C3C22"/>
    <w:rsid w:val="007C3D1C"/>
    <w:rsid w:val="007C4E8C"/>
    <w:rsid w:val="007C62E9"/>
    <w:rsid w:val="007D003F"/>
    <w:rsid w:val="007D0A7C"/>
    <w:rsid w:val="007D189E"/>
    <w:rsid w:val="007D29D8"/>
    <w:rsid w:val="007D2CE9"/>
    <w:rsid w:val="007D2EB0"/>
    <w:rsid w:val="007D2F0F"/>
    <w:rsid w:val="007D4E5D"/>
    <w:rsid w:val="007D67E7"/>
    <w:rsid w:val="007D7A24"/>
    <w:rsid w:val="007E004B"/>
    <w:rsid w:val="007E10DD"/>
    <w:rsid w:val="007E16C4"/>
    <w:rsid w:val="007E3092"/>
    <w:rsid w:val="007E3996"/>
    <w:rsid w:val="007E4300"/>
    <w:rsid w:val="007E4542"/>
    <w:rsid w:val="007E4BD2"/>
    <w:rsid w:val="007E4FF8"/>
    <w:rsid w:val="007E73A0"/>
    <w:rsid w:val="007E7C3F"/>
    <w:rsid w:val="007F09A2"/>
    <w:rsid w:val="007F29F1"/>
    <w:rsid w:val="007F3DB5"/>
    <w:rsid w:val="007F44A2"/>
    <w:rsid w:val="007F44BA"/>
    <w:rsid w:val="007F5EE6"/>
    <w:rsid w:val="007F5F4C"/>
    <w:rsid w:val="007F716D"/>
    <w:rsid w:val="00800545"/>
    <w:rsid w:val="00801393"/>
    <w:rsid w:val="00801661"/>
    <w:rsid w:val="00802084"/>
    <w:rsid w:val="00802F88"/>
    <w:rsid w:val="00803260"/>
    <w:rsid w:val="00803488"/>
    <w:rsid w:val="0080429E"/>
    <w:rsid w:val="0080479E"/>
    <w:rsid w:val="00804C1B"/>
    <w:rsid w:val="00805D79"/>
    <w:rsid w:val="00806EF0"/>
    <w:rsid w:val="0080734A"/>
    <w:rsid w:val="0081293E"/>
    <w:rsid w:val="008129B0"/>
    <w:rsid w:val="0081380F"/>
    <w:rsid w:val="00814AB0"/>
    <w:rsid w:val="00815410"/>
    <w:rsid w:val="00815465"/>
    <w:rsid w:val="00815603"/>
    <w:rsid w:val="008161CF"/>
    <w:rsid w:val="00816A59"/>
    <w:rsid w:val="00817E9A"/>
    <w:rsid w:val="008211C7"/>
    <w:rsid w:val="008216D9"/>
    <w:rsid w:val="00821B64"/>
    <w:rsid w:val="008239BE"/>
    <w:rsid w:val="00824740"/>
    <w:rsid w:val="00824D23"/>
    <w:rsid w:val="0082548F"/>
    <w:rsid w:val="0082696B"/>
    <w:rsid w:val="00826E45"/>
    <w:rsid w:val="00827414"/>
    <w:rsid w:val="008306BD"/>
    <w:rsid w:val="0083072A"/>
    <w:rsid w:val="00830971"/>
    <w:rsid w:val="00830BD5"/>
    <w:rsid w:val="00831A80"/>
    <w:rsid w:val="008325A6"/>
    <w:rsid w:val="00832CDC"/>
    <w:rsid w:val="00833743"/>
    <w:rsid w:val="008340A4"/>
    <w:rsid w:val="00834713"/>
    <w:rsid w:val="008347E5"/>
    <w:rsid w:val="00835A68"/>
    <w:rsid w:val="00835D6B"/>
    <w:rsid w:val="008364FC"/>
    <w:rsid w:val="008368A3"/>
    <w:rsid w:val="00836AB1"/>
    <w:rsid w:val="00837872"/>
    <w:rsid w:val="00837A2F"/>
    <w:rsid w:val="0084131C"/>
    <w:rsid w:val="00842494"/>
    <w:rsid w:val="00843673"/>
    <w:rsid w:val="0084650F"/>
    <w:rsid w:val="008473BE"/>
    <w:rsid w:val="0084783F"/>
    <w:rsid w:val="00847B76"/>
    <w:rsid w:val="00851F4E"/>
    <w:rsid w:val="0085575C"/>
    <w:rsid w:val="00856672"/>
    <w:rsid w:val="00856BB4"/>
    <w:rsid w:val="0085736D"/>
    <w:rsid w:val="00860C1B"/>
    <w:rsid w:val="00860D11"/>
    <w:rsid w:val="00861693"/>
    <w:rsid w:val="00864B4D"/>
    <w:rsid w:val="00866F9B"/>
    <w:rsid w:val="008703AC"/>
    <w:rsid w:val="00870991"/>
    <w:rsid w:val="00870D4F"/>
    <w:rsid w:val="00871157"/>
    <w:rsid w:val="008712FC"/>
    <w:rsid w:val="0087135F"/>
    <w:rsid w:val="0087171F"/>
    <w:rsid w:val="00871ACD"/>
    <w:rsid w:val="0087257D"/>
    <w:rsid w:val="00872D94"/>
    <w:rsid w:val="00873061"/>
    <w:rsid w:val="00873077"/>
    <w:rsid w:val="0087403D"/>
    <w:rsid w:val="00874340"/>
    <w:rsid w:val="00874735"/>
    <w:rsid w:val="00874C4C"/>
    <w:rsid w:val="0087534E"/>
    <w:rsid w:val="00875935"/>
    <w:rsid w:val="00875999"/>
    <w:rsid w:val="00875AB2"/>
    <w:rsid w:val="00877488"/>
    <w:rsid w:val="008779C2"/>
    <w:rsid w:val="00877DD6"/>
    <w:rsid w:val="00880364"/>
    <w:rsid w:val="0088085B"/>
    <w:rsid w:val="00882ABC"/>
    <w:rsid w:val="0088316D"/>
    <w:rsid w:val="0088417F"/>
    <w:rsid w:val="00885843"/>
    <w:rsid w:val="00886717"/>
    <w:rsid w:val="008876C1"/>
    <w:rsid w:val="00887834"/>
    <w:rsid w:val="00891592"/>
    <w:rsid w:val="00891E88"/>
    <w:rsid w:val="00891E9E"/>
    <w:rsid w:val="00892BCF"/>
    <w:rsid w:val="00893043"/>
    <w:rsid w:val="0089306E"/>
    <w:rsid w:val="00893877"/>
    <w:rsid w:val="008956E5"/>
    <w:rsid w:val="00895C1C"/>
    <w:rsid w:val="00896B68"/>
    <w:rsid w:val="00896EA2"/>
    <w:rsid w:val="0089762C"/>
    <w:rsid w:val="008A04BA"/>
    <w:rsid w:val="008A0576"/>
    <w:rsid w:val="008A1896"/>
    <w:rsid w:val="008A2F68"/>
    <w:rsid w:val="008A3666"/>
    <w:rsid w:val="008A41B2"/>
    <w:rsid w:val="008A46CB"/>
    <w:rsid w:val="008A6970"/>
    <w:rsid w:val="008A7599"/>
    <w:rsid w:val="008B1E27"/>
    <w:rsid w:val="008B4FA6"/>
    <w:rsid w:val="008B5282"/>
    <w:rsid w:val="008B6434"/>
    <w:rsid w:val="008B7034"/>
    <w:rsid w:val="008B7C17"/>
    <w:rsid w:val="008B7C40"/>
    <w:rsid w:val="008C0172"/>
    <w:rsid w:val="008C018C"/>
    <w:rsid w:val="008C0CFA"/>
    <w:rsid w:val="008C134C"/>
    <w:rsid w:val="008C221F"/>
    <w:rsid w:val="008C249E"/>
    <w:rsid w:val="008C2D01"/>
    <w:rsid w:val="008C40E4"/>
    <w:rsid w:val="008C40E6"/>
    <w:rsid w:val="008C59CC"/>
    <w:rsid w:val="008D0F7A"/>
    <w:rsid w:val="008D10F0"/>
    <w:rsid w:val="008D1327"/>
    <w:rsid w:val="008D1AAF"/>
    <w:rsid w:val="008D2E07"/>
    <w:rsid w:val="008D2E9D"/>
    <w:rsid w:val="008D3FDC"/>
    <w:rsid w:val="008D4039"/>
    <w:rsid w:val="008D4425"/>
    <w:rsid w:val="008D68E4"/>
    <w:rsid w:val="008D7B9C"/>
    <w:rsid w:val="008E008F"/>
    <w:rsid w:val="008E0506"/>
    <w:rsid w:val="008E0CFF"/>
    <w:rsid w:val="008E0F3E"/>
    <w:rsid w:val="008E166D"/>
    <w:rsid w:val="008E1EC1"/>
    <w:rsid w:val="008E2E7F"/>
    <w:rsid w:val="008E3687"/>
    <w:rsid w:val="008E37DE"/>
    <w:rsid w:val="008E3F7C"/>
    <w:rsid w:val="008E40EB"/>
    <w:rsid w:val="008E5D6B"/>
    <w:rsid w:val="008E63E8"/>
    <w:rsid w:val="008E76F0"/>
    <w:rsid w:val="008F03F3"/>
    <w:rsid w:val="008F0BC6"/>
    <w:rsid w:val="008F15FE"/>
    <w:rsid w:val="008F2CF7"/>
    <w:rsid w:val="008F2D29"/>
    <w:rsid w:val="008F4755"/>
    <w:rsid w:val="008F5187"/>
    <w:rsid w:val="008F60D8"/>
    <w:rsid w:val="008F6AED"/>
    <w:rsid w:val="008F73F4"/>
    <w:rsid w:val="008F73FA"/>
    <w:rsid w:val="008F786F"/>
    <w:rsid w:val="0090029A"/>
    <w:rsid w:val="00900819"/>
    <w:rsid w:val="009010E6"/>
    <w:rsid w:val="009015A8"/>
    <w:rsid w:val="00901BC2"/>
    <w:rsid w:val="00902727"/>
    <w:rsid w:val="0090312B"/>
    <w:rsid w:val="00903832"/>
    <w:rsid w:val="00903EB2"/>
    <w:rsid w:val="009040DA"/>
    <w:rsid w:val="00904176"/>
    <w:rsid w:val="00904BB7"/>
    <w:rsid w:val="0090573D"/>
    <w:rsid w:val="00907147"/>
    <w:rsid w:val="00907FBA"/>
    <w:rsid w:val="009110F7"/>
    <w:rsid w:val="00911F75"/>
    <w:rsid w:val="00912810"/>
    <w:rsid w:val="00912C7B"/>
    <w:rsid w:val="00914E3A"/>
    <w:rsid w:val="00914E6D"/>
    <w:rsid w:val="00916628"/>
    <w:rsid w:val="009170C0"/>
    <w:rsid w:val="0091736D"/>
    <w:rsid w:val="00920686"/>
    <w:rsid w:val="00921AC1"/>
    <w:rsid w:val="00921C06"/>
    <w:rsid w:val="00922255"/>
    <w:rsid w:val="0092229F"/>
    <w:rsid w:val="009233C8"/>
    <w:rsid w:val="00924D13"/>
    <w:rsid w:val="00930045"/>
    <w:rsid w:val="0093037A"/>
    <w:rsid w:val="00930554"/>
    <w:rsid w:val="00930BC8"/>
    <w:rsid w:val="0093170F"/>
    <w:rsid w:val="00931DE0"/>
    <w:rsid w:val="00932F7B"/>
    <w:rsid w:val="00933E7A"/>
    <w:rsid w:val="0093560F"/>
    <w:rsid w:val="0093684E"/>
    <w:rsid w:val="00937C45"/>
    <w:rsid w:val="009410F3"/>
    <w:rsid w:val="009412A5"/>
    <w:rsid w:val="0094154D"/>
    <w:rsid w:val="00942868"/>
    <w:rsid w:val="00943482"/>
    <w:rsid w:val="00943C7B"/>
    <w:rsid w:val="00943DA0"/>
    <w:rsid w:val="00946B9C"/>
    <w:rsid w:val="00946FF0"/>
    <w:rsid w:val="00950F62"/>
    <w:rsid w:val="0095155F"/>
    <w:rsid w:val="009528C9"/>
    <w:rsid w:val="00952FBF"/>
    <w:rsid w:val="00954429"/>
    <w:rsid w:val="009546EA"/>
    <w:rsid w:val="009552F9"/>
    <w:rsid w:val="009563CE"/>
    <w:rsid w:val="00957E87"/>
    <w:rsid w:val="009608EA"/>
    <w:rsid w:val="0096128D"/>
    <w:rsid w:val="00963AB3"/>
    <w:rsid w:val="00965938"/>
    <w:rsid w:val="00965C3F"/>
    <w:rsid w:val="00966389"/>
    <w:rsid w:val="009672D5"/>
    <w:rsid w:val="0096756F"/>
    <w:rsid w:val="00970143"/>
    <w:rsid w:val="009717E2"/>
    <w:rsid w:val="00972263"/>
    <w:rsid w:val="009734C1"/>
    <w:rsid w:val="00974CFA"/>
    <w:rsid w:val="0097585F"/>
    <w:rsid w:val="00976328"/>
    <w:rsid w:val="0097680D"/>
    <w:rsid w:val="00976F77"/>
    <w:rsid w:val="009778D2"/>
    <w:rsid w:val="0098035A"/>
    <w:rsid w:val="00982438"/>
    <w:rsid w:val="00982FF1"/>
    <w:rsid w:val="00983004"/>
    <w:rsid w:val="0098404C"/>
    <w:rsid w:val="00985283"/>
    <w:rsid w:val="009853D4"/>
    <w:rsid w:val="009873B1"/>
    <w:rsid w:val="00987993"/>
    <w:rsid w:val="009912E9"/>
    <w:rsid w:val="00992A52"/>
    <w:rsid w:val="0099311B"/>
    <w:rsid w:val="00995992"/>
    <w:rsid w:val="00997556"/>
    <w:rsid w:val="009975EE"/>
    <w:rsid w:val="009979BD"/>
    <w:rsid w:val="009A03E5"/>
    <w:rsid w:val="009A0ECF"/>
    <w:rsid w:val="009A0F3B"/>
    <w:rsid w:val="009A1BB4"/>
    <w:rsid w:val="009A2585"/>
    <w:rsid w:val="009A2628"/>
    <w:rsid w:val="009A3200"/>
    <w:rsid w:val="009A4514"/>
    <w:rsid w:val="009A4DE6"/>
    <w:rsid w:val="009A5CEF"/>
    <w:rsid w:val="009A611B"/>
    <w:rsid w:val="009A62A5"/>
    <w:rsid w:val="009A6A9B"/>
    <w:rsid w:val="009A71B3"/>
    <w:rsid w:val="009B0009"/>
    <w:rsid w:val="009B070D"/>
    <w:rsid w:val="009B0897"/>
    <w:rsid w:val="009B0B2E"/>
    <w:rsid w:val="009B11FC"/>
    <w:rsid w:val="009B1B67"/>
    <w:rsid w:val="009B3757"/>
    <w:rsid w:val="009B74E8"/>
    <w:rsid w:val="009B7BD9"/>
    <w:rsid w:val="009C1B4A"/>
    <w:rsid w:val="009C27FC"/>
    <w:rsid w:val="009C2FC7"/>
    <w:rsid w:val="009C30A9"/>
    <w:rsid w:val="009C3ED6"/>
    <w:rsid w:val="009C41AC"/>
    <w:rsid w:val="009C49DE"/>
    <w:rsid w:val="009C4FD1"/>
    <w:rsid w:val="009C66DA"/>
    <w:rsid w:val="009C7A81"/>
    <w:rsid w:val="009C7DD5"/>
    <w:rsid w:val="009D12E1"/>
    <w:rsid w:val="009D17FC"/>
    <w:rsid w:val="009D1A8B"/>
    <w:rsid w:val="009D1FB5"/>
    <w:rsid w:val="009D36A6"/>
    <w:rsid w:val="009D3F0C"/>
    <w:rsid w:val="009D4560"/>
    <w:rsid w:val="009D4AA4"/>
    <w:rsid w:val="009D50AD"/>
    <w:rsid w:val="009D73C2"/>
    <w:rsid w:val="009D780D"/>
    <w:rsid w:val="009E0CE1"/>
    <w:rsid w:val="009E0FC3"/>
    <w:rsid w:val="009E211B"/>
    <w:rsid w:val="009E227D"/>
    <w:rsid w:val="009E2536"/>
    <w:rsid w:val="009E2736"/>
    <w:rsid w:val="009E3003"/>
    <w:rsid w:val="009E42BD"/>
    <w:rsid w:val="009E49A9"/>
    <w:rsid w:val="009E4B78"/>
    <w:rsid w:val="009E5019"/>
    <w:rsid w:val="009E56F6"/>
    <w:rsid w:val="009E61FF"/>
    <w:rsid w:val="009E7776"/>
    <w:rsid w:val="009F008B"/>
    <w:rsid w:val="009F06C9"/>
    <w:rsid w:val="009F0F3C"/>
    <w:rsid w:val="009F1009"/>
    <w:rsid w:val="009F122D"/>
    <w:rsid w:val="009F2508"/>
    <w:rsid w:val="009F62EF"/>
    <w:rsid w:val="009F631B"/>
    <w:rsid w:val="009F6C2D"/>
    <w:rsid w:val="009F725F"/>
    <w:rsid w:val="009F7709"/>
    <w:rsid w:val="009F7BFE"/>
    <w:rsid w:val="00A01800"/>
    <w:rsid w:val="00A02AAB"/>
    <w:rsid w:val="00A037EF"/>
    <w:rsid w:val="00A04F1B"/>
    <w:rsid w:val="00A0501B"/>
    <w:rsid w:val="00A06844"/>
    <w:rsid w:val="00A06CB6"/>
    <w:rsid w:val="00A07F8B"/>
    <w:rsid w:val="00A1038A"/>
    <w:rsid w:val="00A10479"/>
    <w:rsid w:val="00A125EE"/>
    <w:rsid w:val="00A13202"/>
    <w:rsid w:val="00A13679"/>
    <w:rsid w:val="00A137BF"/>
    <w:rsid w:val="00A13AAF"/>
    <w:rsid w:val="00A13D79"/>
    <w:rsid w:val="00A14947"/>
    <w:rsid w:val="00A15796"/>
    <w:rsid w:val="00A16215"/>
    <w:rsid w:val="00A1673C"/>
    <w:rsid w:val="00A200AF"/>
    <w:rsid w:val="00A20D7B"/>
    <w:rsid w:val="00A20F40"/>
    <w:rsid w:val="00A21E1F"/>
    <w:rsid w:val="00A2227F"/>
    <w:rsid w:val="00A226B5"/>
    <w:rsid w:val="00A22751"/>
    <w:rsid w:val="00A233CF"/>
    <w:rsid w:val="00A262B1"/>
    <w:rsid w:val="00A26AB2"/>
    <w:rsid w:val="00A27ACB"/>
    <w:rsid w:val="00A27FC0"/>
    <w:rsid w:val="00A30261"/>
    <w:rsid w:val="00A30362"/>
    <w:rsid w:val="00A317D3"/>
    <w:rsid w:val="00A32A83"/>
    <w:rsid w:val="00A3400C"/>
    <w:rsid w:val="00A3518D"/>
    <w:rsid w:val="00A35984"/>
    <w:rsid w:val="00A3619A"/>
    <w:rsid w:val="00A36763"/>
    <w:rsid w:val="00A368DB"/>
    <w:rsid w:val="00A36BB5"/>
    <w:rsid w:val="00A37B60"/>
    <w:rsid w:val="00A40291"/>
    <w:rsid w:val="00A41F36"/>
    <w:rsid w:val="00A423AA"/>
    <w:rsid w:val="00A44B06"/>
    <w:rsid w:val="00A44F49"/>
    <w:rsid w:val="00A45D9F"/>
    <w:rsid w:val="00A473CB"/>
    <w:rsid w:val="00A47CEF"/>
    <w:rsid w:val="00A50340"/>
    <w:rsid w:val="00A5165D"/>
    <w:rsid w:val="00A53C05"/>
    <w:rsid w:val="00A53EC6"/>
    <w:rsid w:val="00A54405"/>
    <w:rsid w:val="00A548C3"/>
    <w:rsid w:val="00A55C0F"/>
    <w:rsid w:val="00A56332"/>
    <w:rsid w:val="00A60311"/>
    <w:rsid w:val="00A60431"/>
    <w:rsid w:val="00A606D8"/>
    <w:rsid w:val="00A6091E"/>
    <w:rsid w:val="00A60E80"/>
    <w:rsid w:val="00A614F7"/>
    <w:rsid w:val="00A61FE5"/>
    <w:rsid w:val="00A62439"/>
    <w:rsid w:val="00A62814"/>
    <w:rsid w:val="00A62CF7"/>
    <w:rsid w:val="00A64701"/>
    <w:rsid w:val="00A64F58"/>
    <w:rsid w:val="00A66672"/>
    <w:rsid w:val="00A70162"/>
    <w:rsid w:val="00A70188"/>
    <w:rsid w:val="00A70280"/>
    <w:rsid w:val="00A72843"/>
    <w:rsid w:val="00A736A9"/>
    <w:rsid w:val="00A741CB"/>
    <w:rsid w:val="00A74566"/>
    <w:rsid w:val="00A760C9"/>
    <w:rsid w:val="00A76BF2"/>
    <w:rsid w:val="00A806B2"/>
    <w:rsid w:val="00A82AF5"/>
    <w:rsid w:val="00A83C7C"/>
    <w:rsid w:val="00A86EC9"/>
    <w:rsid w:val="00A870C3"/>
    <w:rsid w:val="00A8713F"/>
    <w:rsid w:val="00A87230"/>
    <w:rsid w:val="00A87C06"/>
    <w:rsid w:val="00A90321"/>
    <w:rsid w:val="00A90BA1"/>
    <w:rsid w:val="00A92613"/>
    <w:rsid w:val="00A93B0D"/>
    <w:rsid w:val="00A93F39"/>
    <w:rsid w:val="00A944F9"/>
    <w:rsid w:val="00A947B3"/>
    <w:rsid w:val="00A94917"/>
    <w:rsid w:val="00A95A49"/>
    <w:rsid w:val="00A97247"/>
    <w:rsid w:val="00A97A9A"/>
    <w:rsid w:val="00AA0671"/>
    <w:rsid w:val="00AA0D76"/>
    <w:rsid w:val="00AA2531"/>
    <w:rsid w:val="00AA2609"/>
    <w:rsid w:val="00AA2F66"/>
    <w:rsid w:val="00AA41E6"/>
    <w:rsid w:val="00AA4C5A"/>
    <w:rsid w:val="00AA644F"/>
    <w:rsid w:val="00AA66EB"/>
    <w:rsid w:val="00AA6B20"/>
    <w:rsid w:val="00AA6E55"/>
    <w:rsid w:val="00AA7357"/>
    <w:rsid w:val="00AB0A2F"/>
    <w:rsid w:val="00AB1705"/>
    <w:rsid w:val="00AB1B35"/>
    <w:rsid w:val="00AB1E09"/>
    <w:rsid w:val="00AB20FC"/>
    <w:rsid w:val="00AB370F"/>
    <w:rsid w:val="00AB387C"/>
    <w:rsid w:val="00AB3EEE"/>
    <w:rsid w:val="00AB5330"/>
    <w:rsid w:val="00AB61B8"/>
    <w:rsid w:val="00AB62C5"/>
    <w:rsid w:val="00AB7747"/>
    <w:rsid w:val="00AB7AEC"/>
    <w:rsid w:val="00AB7ED5"/>
    <w:rsid w:val="00AC05F1"/>
    <w:rsid w:val="00AC06A5"/>
    <w:rsid w:val="00AC074C"/>
    <w:rsid w:val="00AC14CE"/>
    <w:rsid w:val="00AC2A56"/>
    <w:rsid w:val="00AC2B29"/>
    <w:rsid w:val="00AC6AE6"/>
    <w:rsid w:val="00AC7C8C"/>
    <w:rsid w:val="00AC7DE3"/>
    <w:rsid w:val="00AD055E"/>
    <w:rsid w:val="00AD12F0"/>
    <w:rsid w:val="00AD1D37"/>
    <w:rsid w:val="00AD2295"/>
    <w:rsid w:val="00AD23DF"/>
    <w:rsid w:val="00AD33F5"/>
    <w:rsid w:val="00AD358E"/>
    <w:rsid w:val="00AD47A7"/>
    <w:rsid w:val="00AD5A97"/>
    <w:rsid w:val="00AD74EF"/>
    <w:rsid w:val="00AD7BF7"/>
    <w:rsid w:val="00AD7D00"/>
    <w:rsid w:val="00AD7EF3"/>
    <w:rsid w:val="00AE0E69"/>
    <w:rsid w:val="00AE20CD"/>
    <w:rsid w:val="00AE5BEF"/>
    <w:rsid w:val="00AE5E00"/>
    <w:rsid w:val="00AE6F70"/>
    <w:rsid w:val="00AF0CBF"/>
    <w:rsid w:val="00AF257F"/>
    <w:rsid w:val="00AF274C"/>
    <w:rsid w:val="00AF278F"/>
    <w:rsid w:val="00AF33CF"/>
    <w:rsid w:val="00AF4D50"/>
    <w:rsid w:val="00AF526B"/>
    <w:rsid w:val="00AF6179"/>
    <w:rsid w:val="00AF6396"/>
    <w:rsid w:val="00B00D51"/>
    <w:rsid w:val="00B02030"/>
    <w:rsid w:val="00B0286D"/>
    <w:rsid w:val="00B03E7E"/>
    <w:rsid w:val="00B03F58"/>
    <w:rsid w:val="00B05D31"/>
    <w:rsid w:val="00B061D4"/>
    <w:rsid w:val="00B069B8"/>
    <w:rsid w:val="00B06F3E"/>
    <w:rsid w:val="00B10007"/>
    <w:rsid w:val="00B10286"/>
    <w:rsid w:val="00B11B84"/>
    <w:rsid w:val="00B11E66"/>
    <w:rsid w:val="00B1295A"/>
    <w:rsid w:val="00B14A97"/>
    <w:rsid w:val="00B14DD9"/>
    <w:rsid w:val="00B159B8"/>
    <w:rsid w:val="00B16808"/>
    <w:rsid w:val="00B1700A"/>
    <w:rsid w:val="00B1726C"/>
    <w:rsid w:val="00B17546"/>
    <w:rsid w:val="00B20160"/>
    <w:rsid w:val="00B20394"/>
    <w:rsid w:val="00B204D0"/>
    <w:rsid w:val="00B2083E"/>
    <w:rsid w:val="00B20A45"/>
    <w:rsid w:val="00B21068"/>
    <w:rsid w:val="00B222E3"/>
    <w:rsid w:val="00B22C5C"/>
    <w:rsid w:val="00B22FA0"/>
    <w:rsid w:val="00B24BAB"/>
    <w:rsid w:val="00B24F28"/>
    <w:rsid w:val="00B24F30"/>
    <w:rsid w:val="00B256F8"/>
    <w:rsid w:val="00B262BB"/>
    <w:rsid w:val="00B26E5F"/>
    <w:rsid w:val="00B30258"/>
    <w:rsid w:val="00B307F8"/>
    <w:rsid w:val="00B30A44"/>
    <w:rsid w:val="00B315EB"/>
    <w:rsid w:val="00B31ABF"/>
    <w:rsid w:val="00B31C95"/>
    <w:rsid w:val="00B31D58"/>
    <w:rsid w:val="00B31ED2"/>
    <w:rsid w:val="00B333B5"/>
    <w:rsid w:val="00B33BE3"/>
    <w:rsid w:val="00B342BE"/>
    <w:rsid w:val="00B3612F"/>
    <w:rsid w:val="00B362DD"/>
    <w:rsid w:val="00B3632B"/>
    <w:rsid w:val="00B41773"/>
    <w:rsid w:val="00B421CA"/>
    <w:rsid w:val="00B422A0"/>
    <w:rsid w:val="00B425B3"/>
    <w:rsid w:val="00B42A12"/>
    <w:rsid w:val="00B45C5E"/>
    <w:rsid w:val="00B45C86"/>
    <w:rsid w:val="00B45D3B"/>
    <w:rsid w:val="00B4623B"/>
    <w:rsid w:val="00B46248"/>
    <w:rsid w:val="00B47049"/>
    <w:rsid w:val="00B50B55"/>
    <w:rsid w:val="00B50BBB"/>
    <w:rsid w:val="00B514F3"/>
    <w:rsid w:val="00B51D5A"/>
    <w:rsid w:val="00B5321A"/>
    <w:rsid w:val="00B53B5D"/>
    <w:rsid w:val="00B53D12"/>
    <w:rsid w:val="00B53F9D"/>
    <w:rsid w:val="00B53FFA"/>
    <w:rsid w:val="00B54416"/>
    <w:rsid w:val="00B546F2"/>
    <w:rsid w:val="00B54C8F"/>
    <w:rsid w:val="00B54EE3"/>
    <w:rsid w:val="00B5659F"/>
    <w:rsid w:val="00B56FCD"/>
    <w:rsid w:val="00B57D63"/>
    <w:rsid w:val="00B6055E"/>
    <w:rsid w:val="00B61392"/>
    <w:rsid w:val="00B62C23"/>
    <w:rsid w:val="00B63176"/>
    <w:rsid w:val="00B6317D"/>
    <w:rsid w:val="00B64163"/>
    <w:rsid w:val="00B66182"/>
    <w:rsid w:val="00B676E5"/>
    <w:rsid w:val="00B70610"/>
    <w:rsid w:val="00B74FF3"/>
    <w:rsid w:val="00B76626"/>
    <w:rsid w:val="00B7723F"/>
    <w:rsid w:val="00B772D7"/>
    <w:rsid w:val="00B7740A"/>
    <w:rsid w:val="00B80534"/>
    <w:rsid w:val="00B81087"/>
    <w:rsid w:val="00B81C5C"/>
    <w:rsid w:val="00B8235F"/>
    <w:rsid w:val="00B83824"/>
    <w:rsid w:val="00B83C6E"/>
    <w:rsid w:val="00B8433C"/>
    <w:rsid w:val="00B85A10"/>
    <w:rsid w:val="00B85D1B"/>
    <w:rsid w:val="00B87491"/>
    <w:rsid w:val="00B87B9E"/>
    <w:rsid w:val="00B90803"/>
    <w:rsid w:val="00B90C66"/>
    <w:rsid w:val="00B916BF"/>
    <w:rsid w:val="00B92F67"/>
    <w:rsid w:val="00B952B6"/>
    <w:rsid w:val="00B963D6"/>
    <w:rsid w:val="00B9691C"/>
    <w:rsid w:val="00BA009B"/>
    <w:rsid w:val="00BA0B13"/>
    <w:rsid w:val="00BA10F6"/>
    <w:rsid w:val="00BA28D6"/>
    <w:rsid w:val="00BA29E9"/>
    <w:rsid w:val="00BA30A0"/>
    <w:rsid w:val="00BA36AF"/>
    <w:rsid w:val="00BA3C72"/>
    <w:rsid w:val="00BA3F85"/>
    <w:rsid w:val="00BA4582"/>
    <w:rsid w:val="00BA6664"/>
    <w:rsid w:val="00BA7142"/>
    <w:rsid w:val="00BA775B"/>
    <w:rsid w:val="00BB237C"/>
    <w:rsid w:val="00BB283F"/>
    <w:rsid w:val="00BB2AC6"/>
    <w:rsid w:val="00BB41A3"/>
    <w:rsid w:val="00BB450C"/>
    <w:rsid w:val="00BB7499"/>
    <w:rsid w:val="00BC0374"/>
    <w:rsid w:val="00BC26E4"/>
    <w:rsid w:val="00BC32DC"/>
    <w:rsid w:val="00BC35B6"/>
    <w:rsid w:val="00BC4B9D"/>
    <w:rsid w:val="00BC6365"/>
    <w:rsid w:val="00BC6651"/>
    <w:rsid w:val="00BD1B51"/>
    <w:rsid w:val="00BD252F"/>
    <w:rsid w:val="00BD2DAD"/>
    <w:rsid w:val="00BD3CD1"/>
    <w:rsid w:val="00BD4596"/>
    <w:rsid w:val="00BD5DE5"/>
    <w:rsid w:val="00BD7EBD"/>
    <w:rsid w:val="00BE1405"/>
    <w:rsid w:val="00BE288E"/>
    <w:rsid w:val="00BE2B08"/>
    <w:rsid w:val="00BE312D"/>
    <w:rsid w:val="00BE49BC"/>
    <w:rsid w:val="00BE5A6B"/>
    <w:rsid w:val="00BE682F"/>
    <w:rsid w:val="00BE6E24"/>
    <w:rsid w:val="00BE70F9"/>
    <w:rsid w:val="00BF0BD4"/>
    <w:rsid w:val="00BF1760"/>
    <w:rsid w:val="00BF1C20"/>
    <w:rsid w:val="00BF2D6B"/>
    <w:rsid w:val="00BF35D8"/>
    <w:rsid w:val="00BF3C35"/>
    <w:rsid w:val="00BF5E39"/>
    <w:rsid w:val="00BF7F8E"/>
    <w:rsid w:val="00C02A33"/>
    <w:rsid w:val="00C0358E"/>
    <w:rsid w:val="00C05DF2"/>
    <w:rsid w:val="00C07098"/>
    <w:rsid w:val="00C10578"/>
    <w:rsid w:val="00C12C7A"/>
    <w:rsid w:val="00C13039"/>
    <w:rsid w:val="00C135BC"/>
    <w:rsid w:val="00C13D57"/>
    <w:rsid w:val="00C14483"/>
    <w:rsid w:val="00C14E39"/>
    <w:rsid w:val="00C15C95"/>
    <w:rsid w:val="00C21203"/>
    <w:rsid w:val="00C217F5"/>
    <w:rsid w:val="00C21C7F"/>
    <w:rsid w:val="00C23AD1"/>
    <w:rsid w:val="00C23DCC"/>
    <w:rsid w:val="00C23E38"/>
    <w:rsid w:val="00C248B6"/>
    <w:rsid w:val="00C2596A"/>
    <w:rsid w:val="00C26550"/>
    <w:rsid w:val="00C266C9"/>
    <w:rsid w:val="00C27537"/>
    <w:rsid w:val="00C30D9C"/>
    <w:rsid w:val="00C318CC"/>
    <w:rsid w:val="00C328FE"/>
    <w:rsid w:val="00C331FD"/>
    <w:rsid w:val="00C33507"/>
    <w:rsid w:val="00C33ECB"/>
    <w:rsid w:val="00C3708D"/>
    <w:rsid w:val="00C404F1"/>
    <w:rsid w:val="00C408EE"/>
    <w:rsid w:val="00C42362"/>
    <w:rsid w:val="00C42C17"/>
    <w:rsid w:val="00C43C0E"/>
    <w:rsid w:val="00C4409D"/>
    <w:rsid w:val="00C44E72"/>
    <w:rsid w:val="00C451D2"/>
    <w:rsid w:val="00C45450"/>
    <w:rsid w:val="00C45A06"/>
    <w:rsid w:val="00C46993"/>
    <w:rsid w:val="00C47164"/>
    <w:rsid w:val="00C47E5B"/>
    <w:rsid w:val="00C50FC2"/>
    <w:rsid w:val="00C530A2"/>
    <w:rsid w:val="00C53BBC"/>
    <w:rsid w:val="00C53BF1"/>
    <w:rsid w:val="00C540CD"/>
    <w:rsid w:val="00C5509B"/>
    <w:rsid w:val="00C554D4"/>
    <w:rsid w:val="00C5565D"/>
    <w:rsid w:val="00C55C5E"/>
    <w:rsid w:val="00C55DEF"/>
    <w:rsid w:val="00C61E4B"/>
    <w:rsid w:val="00C624FC"/>
    <w:rsid w:val="00C62597"/>
    <w:rsid w:val="00C62B3D"/>
    <w:rsid w:val="00C64AA6"/>
    <w:rsid w:val="00C64BFF"/>
    <w:rsid w:val="00C66B49"/>
    <w:rsid w:val="00C67CC5"/>
    <w:rsid w:val="00C704E9"/>
    <w:rsid w:val="00C708E2"/>
    <w:rsid w:val="00C70CDA"/>
    <w:rsid w:val="00C71B40"/>
    <w:rsid w:val="00C72C63"/>
    <w:rsid w:val="00C72E2A"/>
    <w:rsid w:val="00C731BB"/>
    <w:rsid w:val="00C732FF"/>
    <w:rsid w:val="00C73F01"/>
    <w:rsid w:val="00C74AD7"/>
    <w:rsid w:val="00C763C9"/>
    <w:rsid w:val="00C76735"/>
    <w:rsid w:val="00C76BA6"/>
    <w:rsid w:val="00C778D7"/>
    <w:rsid w:val="00C80057"/>
    <w:rsid w:val="00C80CC3"/>
    <w:rsid w:val="00C812BA"/>
    <w:rsid w:val="00C82232"/>
    <w:rsid w:val="00C82710"/>
    <w:rsid w:val="00C82913"/>
    <w:rsid w:val="00C84735"/>
    <w:rsid w:val="00C86309"/>
    <w:rsid w:val="00C86581"/>
    <w:rsid w:val="00C87EA6"/>
    <w:rsid w:val="00C92626"/>
    <w:rsid w:val="00C9277C"/>
    <w:rsid w:val="00C92F38"/>
    <w:rsid w:val="00C95942"/>
    <w:rsid w:val="00C95C86"/>
    <w:rsid w:val="00C972B1"/>
    <w:rsid w:val="00C97A4B"/>
    <w:rsid w:val="00CA0095"/>
    <w:rsid w:val="00CA219D"/>
    <w:rsid w:val="00CA2CCE"/>
    <w:rsid w:val="00CA3C47"/>
    <w:rsid w:val="00CA43FD"/>
    <w:rsid w:val="00CA51BA"/>
    <w:rsid w:val="00CA581D"/>
    <w:rsid w:val="00CA59B5"/>
    <w:rsid w:val="00CA7EF8"/>
    <w:rsid w:val="00CB0817"/>
    <w:rsid w:val="00CB0B46"/>
    <w:rsid w:val="00CB19A5"/>
    <w:rsid w:val="00CB2BB6"/>
    <w:rsid w:val="00CB47E5"/>
    <w:rsid w:val="00CB56A5"/>
    <w:rsid w:val="00CB5C23"/>
    <w:rsid w:val="00CB5F91"/>
    <w:rsid w:val="00CC06CA"/>
    <w:rsid w:val="00CC1F84"/>
    <w:rsid w:val="00CC489B"/>
    <w:rsid w:val="00CC4962"/>
    <w:rsid w:val="00CC65CF"/>
    <w:rsid w:val="00CC7377"/>
    <w:rsid w:val="00CD19AC"/>
    <w:rsid w:val="00CD20AC"/>
    <w:rsid w:val="00CD2BCD"/>
    <w:rsid w:val="00CD3A4C"/>
    <w:rsid w:val="00CD3DBA"/>
    <w:rsid w:val="00CD43A0"/>
    <w:rsid w:val="00CD489A"/>
    <w:rsid w:val="00CD4A37"/>
    <w:rsid w:val="00CD53F1"/>
    <w:rsid w:val="00CD58F3"/>
    <w:rsid w:val="00CD65C9"/>
    <w:rsid w:val="00CD71CC"/>
    <w:rsid w:val="00CD739B"/>
    <w:rsid w:val="00CD75DD"/>
    <w:rsid w:val="00CD79FB"/>
    <w:rsid w:val="00CE09AB"/>
    <w:rsid w:val="00CE0FF4"/>
    <w:rsid w:val="00CE10E9"/>
    <w:rsid w:val="00CE1F01"/>
    <w:rsid w:val="00CE2910"/>
    <w:rsid w:val="00CE4423"/>
    <w:rsid w:val="00CE5393"/>
    <w:rsid w:val="00CE53B3"/>
    <w:rsid w:val="00CE634A"/>
    <w:rsid w:val="00CE6625"/>
    <w:rsid w:val="00CF0778"/>
    <w:rsid w:val="00CF0B80"/>
    <w:rsid w:val="00CF0B8E"/>
    <w:rsid w:val="00CF1CA0"/>
    <w:rsid w:val="00CF21D4"/>
    <w:rsid w:val="00CF2AB8"/>
    <w:rsid w:val="00CF36BE"/>
    <w:rsid w:val="00CF523E"/>
    <w:rsid w:val="00CF5E68"/>
    <w:rsid w:val="00CF6000"/>
    <w:rsid w:val="00CF63CF"/>
    <w:rsid w:val="00CF6DD0"/>
    <w:rsid w:val="00CF74EB"/>
    <w:rsid w:val="00CF7A1F"/>
    <w:rsid w:val="00D00103"/>
    <w:rsid w:val="00D003F3"/>
    <w:rsid w:val="00D00790"/>
    <w:rsid w:val="00D008D9"/>
    <w:rsid w:val="00D03070"/>
    <w:rsid w:val="00D032F3"/>
    <w:rsid w:val="00D0364F"/>
    <w:rsid w:val="00D04492"/>
    <w:rsid w:val="00D04A53"/>
    <w:rsid w:val="00D04DBF"/>
    <w:rsid w:val="00D05B40"/>
    <w:rsid w:val="00D06351"/>
    <w:rsid w:val="00D06834"/>
    <w:rsid w:val="00D072F7"/>
    <w:rsid w:val="00D10440"/>
    <w:rsid w:val="00D10EFC"/>
    <w:rsid w:val="00D1126E"/>
    <w:rsid w:val="00D1217D"/>
    <w:rsid w:val="00D127DE"/>
    <w:rsid w:val="00D1413B"/>
    <w:rsid w:val="00D14230"/>
    <w:rsid w:val="00D145C5"/>
    <w:rsid w:val="00D14F77"/>
    <w:rsid w:val="00D1551F"/>
    <w:rsid w:val="00D163B7"/>
    <w:rsid w:val="00D168F7"/>
    <w:rsid w:val="00D16FEB"/>
    <w:rsid w:val="00D179A2"/>
    <w:rsid w:val="00D179E9"/>
    <w:rsid w:val="00D202FF"/>
    <w:rsid w:val="00D20E34"/>
    <w:rsid w:val="00D210AE"/>
    <w:rsid w:val="00D21977"/>
    <w:rsid w:val="00D229F8"/>
    <w:rsid w:val="00D247CD"/>
    <w:rsid w:val="00D254DA"/>
    <w:rsid w:val="00D2570F"/>
    <w:rsid w:val="00D26BBC"/>
    <w:rsid w:val="00D275F3"/>
    <w:rsid w:val="00D308ED"/>
    <w:rsid w:val="00D311E6"/>
    <w:rsid w:val="00D3181F"/>
    <w:rsid w:val="00D329B6"/>
    <w:rsid w:val="00D32BE7"/>
    <w:rsid w:val="00D33F4F"/>
    <w:rsid w:val="00D367F5"/>
    <w:rsid w:val="00D36D86"/>
    <w:rsid w:val="00D37011"/>
    <w:rsid w:val="00D40A46"/>
    <w:rsid w:val="00D41024"/>
    <w:rsid w:val="00D428AA"/>
    <w:rsid w:val="00D42E65"/>
    <w:rsid w:val="00D4495B"/>
    <w:rsid w:val="00D46D35"/>
    <w:rsid w:val="00D47DF1"/>
    <w:rsid w:val="00D501DD"/>
    <w:rsid w:val="00D502D3"/>
    <w:rsid w:val="00D502D9"/>
    <w:rsid w:val="00D50639"/>
    <w:rsid w:val="00D50A34"/>
    <w:rsid w:val="00D5177E"/>
    <w:rsid w:val="00D51DD7"/>
    <w:rsid w:val="00D52222"/>
    <w:rsid w:val="00D53EFA"/>
    <w:rsid w:val="00D54992"/>
    <w:rsid w:val="00D57125"/>
    <w:rsid w:val="00D618FE"/>
    <w:rsid w:val="00D63729"/>
    <w:rsid w:val="00D6438B"/>
    <w:rsid w:val="00D655E1"/>
    <w:rsid w:val="00D65EB1"/>
    <w:rsid w:val="00D66560"/>
    <w:rsid w:val="00D66597"/>
    <w:rsid w:val="00D70700"/>
    <w:rsid w:val="00D70D40"/>
    <w:rsid w:val="00D71D85"/>
    <w:rsid w:val="00D72ED6"/>
    <w:rsid w:val="00D72EE6"/>
    <w:rsid w:val="00D74E12"/>
    <w:rsid w:val="00D75916"/>
    <w:rsid w:val="00D77E31"/>
    <w:rsid w:val="00D82222"/>
    <w:rsid w:val="00D8292A"/>
    <w:rsid w:val="00D83DFF"/>
    <w:rsid w:val="00D84920"/>
    <w:rsid w:val="00D8672C"/>
    <w:rsid w:val="00D875BD"/>
    <w:rsid w:val="00D87B11"/>
    <w:rsid w:val="00D900BF"/>
    <w:rsid w:val="00D90366"/>
    <w:rsid w:val="00D90C28"/>
    <w:rsid w:val="00D911B9"/>
    <w:rsid w:val="00D92CEF"/>
    <w:rsid w:val="00D92EC2"/>
    <w:rsid w:val="00D93067"/>
    <w:rsid w:val="00D93D98"/>
    <w:rsid w:val="00D942EC"/>
    <w:rsid w:val="00D94A7C"/>
    <w:rsid w:val="00D95896"/>
    <w:rsid w:val="00D961F6"/>
    <w:rsid w:val="00D97702"/>
    <w:rsid w:val="00DA153C"/>
    <w:rsid w:val="00DA1755"/>
    <w:rsid w:val="00DA2B51"/>
    <w:rsid w:val="00DA33AD"/>
    <w:rsid w:val="00DA4088"/>
    <w:rsid w:val="00DA4743"/>
    <w:rsid w:val="00DA4E5B"/>
    <w:rsid w:val="00DA59D9"/>
    <w:rsid w:val="00DA60E3"/>
    <w:rsid w:val="00DA696F"/>
    <w:rsid w:val="00DA7231"/>
    <w:rsid w:val="00DA7477"/>
    <w:rsid w:val="00DB12EA"/>
    <w:rsid w:val="00DB1DFE"/>
    <w:rsid w:val="00DB2374"/>
    <w:rsid w:val="00DB2391"/>
    <w:rsid w:val="00DB2983"/>
    <w:rsid w:val="00DB35F2"/>
    <w:rsid w:val="00DC093B"/>
    <w:rsid w:val="00DC1257"/>
    <w:rsid w:val="00DC25DA"/>
    <w:rsid w:val="00DC3DC0"/>
    <w:rsid w:val="00DC45A6"/>
    <w:rsid w:val="00DC4AC8"/>
    <w:rsid w:val="00DC588C"/>
    <w:rsid w:val="00DC5950"/>
    <w:rsid w:val="00DC5B2B"/>
    <w:rsid w:val="00DC7A73"/>
    <w:rsid w:val="00DD09A0"/>
    <w:rsid w:val="00DD23BB"/>
    <w:rsid w:val="00DD27B9"/>
    <w:rsid w:val="00DD283D"/>
    <w:rsid w:val="00DD2A1E"/>
    <w:rsid w:val="00DD318D"/>
    <w:rsid w:val="00DD473A"/>
    <w:rsid w:val="00DD509D"/>
    <w:rsid w:val="00DD5278"/>
    <w:rsid w:val="00DD625F"/>
    <w:rsid w:val="00DD6383"/>
    <w:rsid w:val="00DD7203"/>
    <w:rsid w:val="00DE2B33"/>
    <w:rsid w:val="00DE3B14"/>
    <w:rsid w:val="00DE4BC8"/>
    <w:rsid w:val="00DE5988"/>
    <w:rsid w:val="00DE5C69"/>
    <w:rsid w:val="00DE65FB"/>
    <w:rsid w:val="00DE6C20"/>
    <w:rsid w:val="00DE70E2"/>
    <w:rsid w:val="00DE78C8"/>
    <w:rsid w:val="00DF2338"/>
    <w:rsid w:val="00DF2B83"/>
    <w:rsid w:val="00DF2E12"/>
    <w:rsid w:val="00DF47E4"/>
    <w:rsid w:val="00DF4FED"/>
    <w:rsid w:val="00DF514A"/>
    <w:rsid w:val="00DF5B89"/>
    <w:rsid w:val="00DF5BBC"/>
    <w:rsid w:val="00DF6690"/>
    <w:rsid w:val="00DF6804"/>
    <w:rsid w:val="00DF6D33"/>
    <w:rsid w:val="00DF7901"/>
    <w:rsid w:val="00E005A7"/>
    <w:rsid w:val="00E01475"/>
    <w:rsid w:val="00E01613"/>
    <w:rsid w:val="00E017C9"/>
    <w:rsid w:val="00E02A05"/>
    <w:rsid w:val="00E0358D"/>
    <w:rsid w:val="00E03BCD"/>
    <w:rsid w:val="00E03E8D"/>
    <w:rsid w:val="00E04323"/>
    <w:rsid w:val="00E049E5"/>
    <w:rsid w:val="00E04B50"/>
    <w:rsid w:val="00E070A2"/>
    <w:rsid w:val="00E105F0"/>
    <w:rsid w:val="00E10B24"/>
    <w:rsid w:val="00E15FC2"/>
    <w:rsid w:val="00E164C1"/>
    <w:rsid w:val="00E16855"/>
    <w:rsid w:val="00E16F40"/>
    <w:rsid w:val="00E1756D"/>
    <w:rsid w:val="00E2038A"/>
    <w:rsid w:val="00E20971"/>
    <w:rsid w:val="00E21451"/>
    <w:rsid w:val="00E21ED7"/>
    <w:rsid w:val="00E23296"/>
    <w:rsid w:val="00E2439C"/>
    <w:rsid w:val="00E24C2E"/>
    <w:rsid w:val="00E2656A"/>
    <w:rsid w:val="00E268B8"/>
    <w:rsid w:val="00E26B61"/>
    <w:rsid w:val="00E30ADF"/>
    <w:rsid w:val="00E3153C"/>
    <w:rsid w:val="00E31F0C"/>
    <w:rsid w:val="00E32BDA"/>
    <w:rsid w:val="00E333D5"/>
    <w:rsid w:val="00E33D0A"/>
    <w:rsid w:val="00E3437F"/>
    <w:rsid w:val="00E35405"/>
    <w:rsid w:val="00E37C3F"/>
    <w:rsid w:val="00E37DDF"/>
    <w:rsid w:val="00E37ED8"/>
    <w:rsid w:val="00E404D4"/>
    <w:rsid w:val="00E412D0"/>
    <w:rsid w:val="00E41463"/>
    <w:rsid w:val="00E42FE2"/>
    <w:rsid w:val="00E43506"/>
    <w:rsid w:val="00E43714"/>
    <w:rsid w:val="00E439CC"/>
    <w:rsid w:val="00E4587C"/>
    <w:rsid w:val="00E45CD7"/>
    <w:rsid w:val="00E46E68"/>
    <w:rsid w:val="00E53216"/>
    <w:rsid w:val="00E542FF"/>
    <w:rsid w:val="00E5616C"/>
    <w:rsid w:val="00E56294"/>
    <w:rsid w:val="00E56322"/>
    <w:rsid w:val="00E56379"/>
    <w:rsid w:val="00E5688B"/>
    <w:rsid w:val="00E57A27"/>
    <w:rsid w:val="00E60982"/>
    <w:rsid w:val="00E60A5D"/>
    <w:rsid w:val="00E60D5D"/>
    <w:rsid w:val="00E61892"/>
    <w:rsid w:val="00E61DD7"/>
    <w:rsid w:val="00E62A58"/>
    <w:rsid w:val="00E62C62"/>
    <w:rsid w:val="00E653BA"/>
    <w:rsid w:val="00E654C1"/>
    <w:rsid w:val="00E65D97"/>
    <w:rsid w:val="00E71DF7"/>
    <w:rsid w:val="00E72A5A"/>
    <w:rsid w:val="00E73255"/>
    <w:rsid w:val="00E73354"/>
    <w:rsid w:val="00E75378"/>
    <w:rsid w:val="00E761DF"/>
    <w:rsid w:val="00E76BFB"/>
    <w:rsid w:val="00E76EB5"/>
    <w:rsid w:val="00E77759"/>
    <w:rsid w:val="00E77CE4"/>
    <w:rsid w:val="00E77DB5"/>
    <w:rsid w:val="00E801E2"/>
    <w:rsid w:val="00E813C4"/>
    <w:rsid w:val="00E816C2"/>
    <w:rsid w:val="00E81BCC"/>
    <w:rsid w:val="00E824A5"/>
    <w:rsid w:val="00E84B78"/>
    <w:rsid w:val="00E85382"/>
    <w:rsid w:val="00E85FBD"/>
    <w:rsid w:val="00E874DF"/>
    <w:rsid w:val="00E87B69"/>
    <w:rsid w:val="00E87F64"/>
    <w:rsid w:val="00E9242D"/>
    <w:rsid w:val="00E92A5F"/>
    <w:rsid w:val="00E939E5"/>
    <w:rsid w:val="00E94368"/>
    <w:rsid w:val="00E947D7"/>
    <w:rsid w:val="00E95242"/>
    <w:rsid w:val="00E95D37"/>
    <w:rsid w:val="00E964AB"/>
    <w:rsid w:val="00E9681B"/>
    <w:rsid w:val="00E96A14"/>
    <w:rsid w:val="00E96B8C"/>
    <w:rsid w:val="00E97531"/>
    <w:rsid w:val="00E97D49"/>
    <w:rsid w:val="00EA2FA1"/>
    <w:rsid w:val="00EA32C4"/>
    <w:rsid w:val="00EA3472"/>
    <w:rsid w:val="00EA4738"/>
    <w:rsid w:val="00EA69B7"/>
    <w:rsid w:val="00EB05AB"/>
    <w:rsid w:val="00EB0734"/>
    <w:rsid w:val="00EB44B8"/>
    <w:rsid w:val="00EB5086"/>
    <w:rsid w:val="00EB5255"/>
    <w:rsid w:val="00EB5411"/>
    <w:rsid w:val="00EB5C47"/>
    <w:rsid w:val="00EB73C3"/>
    <w:rsid w:val="00EC2343"/>
    <w:rsid w:val="00EC2D48"/>
    <w:rsid w:val="00EC3BCE"/>
    <w:rsid w:val="00EC4843"/>
    <w:rsid w:val="00EC5A5D"/>
    <w:rsid w:val="00EC7020"/>
    <w:rsid w:val="00ED0639"/>
    <w:rsid w:val="00ED1655"/>
    <w:rsid w:val="00ED167C"/>
    <w:rsid w:val="00ED175F"/>
    <w:rsid w:val="00ED3495"/>
    <w:rsid w:val="00ED4235"/>
    <w:rsid w:val="00ED5BFC"/>
    <w:rsid w:val="00ED6ABD"/>
    <w:rsid w:val="00ED7464"/>
    <w:rsid w:val="00EE039D"/>
    <w:rsid w:val="00EE0706"/>
    <w:rsid w:val="00EE0C9F"/>
    <w:rsid w:val="00EE1F77"/>
    <w:rsid w:val="00EE3A95"/>
    <w:rsid w:val="00EE42CD"/>
    <w:rsid w:val="00EE4B9F"/>
    <w:rsid w:val="00EE4E78"/>
    <w:rsid w:val="00EE5129"/>
    <w:rsid w:val="00EE5ABA"/>
    <w:rsid w:val="00EE7758"/>
    <w:rsid w:val="00EE7B78"/>
    <w:rsid w:val="00EF093C"/>
    <w:rsid w:val="00EF2073"/>
    <w:rsid w:val="00EF2859"/>
    <w:rsid w:val="00EF383E"/>
    <w:rsid w:val="00EF3BA1"/>
    <w:rsid w:val="00EF3ED4"/>
    <w:rsid w:val="00EF463B"/>
    <w:rsid w:val="00EF4755"/>
    <w:rsid w:val="00EF4771"/>
    <w:rsid w:val="00EF4ADF"/>
    <w:rsid w:val="00EF5125"/>
    <w:rsid w:val="00EF52DD"/>
    <w:rsid w:val="00EF57BF"/>
    <w:rsid w:val="00EF5FF8"/>
    <w:rsid w:val="00EF6136"/>
    <w:rsid w:val="00EF63EE"/>
    <w:rsid w:val="00EF6ED3"/>
    <w:rsid w:val="00EF7135"/>
    <w:rsid w:val="00F00A07"/>
    <w:rsid w:val="00F017B6"/>
    <w:rsid w:val="00F027DB"/>
    <w:rsid w:val="00F03685"/>
    <w:rsid w:val="00F037CE"/>
    <w:rsid w:val="00F0560E"/>
    <w:rsid w:val="00F05BE1"/>
    <w:rsid w:val="00F05F63"/>
    <w:rsid w:val="00F10BB5"/>
    <w:rsid w:val="00F11D0E"/>
    <w:rsid w:val="00F132B4"/>
    <w:rsid w:val="00F14A7A"/>
    <w:rsid w:val="00F14E48"/>
    <w:rsid w:val="00F151BD"/>
    <w:rsid w:val="00F15504"/>
    <w:rsid w:val="00F15A28"/>
    <w:rsid w:val="00F15A39"/>
    <w:rsid w:val="00F164DF"/>
    <w:rsid w:val="00F16A45"/>
    <w:rsid w:val="00F20663"/>
    <w:rsid w:val="00F20939"/>
    <w:rsid w:val="00F217FD"/>
    <w:rsid w:val="00F22417"/>
    <w:rsid w:val="00F225CF"/>
    <w:rsid w:val="00F22985"/>
    <w:rsid w:val="00F23305"/>
    <w:rsid w:val="00F2359C"/>
    <w:rsid w:val="00F23E60"/>
    <w:rsid w:val="00F24404"/>
    <w:rsid w:val="00F24654"/>
    <w:rsid w:val="00F24C0F"/>
    <w:rsid w:val="00F25563"/>
    <w:rsid w:val="00F25712"/>
    <w:rsid w:val="00F25BE5"/>
    <w:rsid w:val="00F25C2D"/>
    <w:rsid w:val="00F26D59"/>
    <w:rsid w:val="00F272B2"/>
    <w:rsid w:val="00F3106C"/>
    <w:rsid w:val="00F31327"/>
    <w:rsid w:val="00F31D48"/>
    <w:rsid w:val="00F3277D"/>
    <w:rsid w:val="00F3383E"/>
    <w:rsid w:val="00F339F5"/>
    <w:rsid w:val="00F34930"/>
    <w:rsid w:val="00F349BC"/>
    <w:rsid w:val="00F35A73"/>
    <w:rsid w:val="00F367E1"/>
    <w:rsid w:val="00F37F13"/>
    <w:rsid w:val="00F40865"/>
    <w:rsid w:val="00F42349"/>
    <w:rsid w:val="00F440C0"/>
    <w:rsid w:val="00F44A58"/>
    <w:rsid w:val="00F45202"/>
    <w:rsid w:val="00F4564F"/>
    <w:rsid w:val="00F465A7"/>
    <w:rsid w:val="00F4663C"/>
    <w:rsid w:val="00F505AE"/>
    <w:rsid w:val="00F50B7C"/>
    <w:rsid w:val="00F50EFC"/>
    <w:rsid w:val="00F51BEA"/>
    <w:rsid w:val="00F51C41"/>
    <w:rsid w:val="00F52872"/>
    <w:rsid w:val="00F531A5"/>
    <w:rsid w:val="00F545D2"/>
    <w:rsid w:val="00F550E6"/>
    <w:rsid w:val="00F55292"/>
    <w:rsid w:val="00F558C6"/>
    <w:rsid w:val="00F55F60"/>
    <w:rsid w:val="00F56B35"/>
    <w:rsid w:val="00F57075"/>
    <w:rsid w:val="00F612E7"/>
    <w:rsid w:val="00F65478"/>
    <w:rsid w:val="00F66F04"/>
    <w:rsid w:val="00F673D5"/>
    <w:rsid w:val="00F71549"/>
    <w:rsid w:val="00F71788"/>
    <w:rsid w:val="00F718AF"/>
    <w:rsid w:val="00F72594"/>
    <w:rsid w:val="00F72858"/>
    <w:rsid w:val="00F72BCE"/>
    <w:rsid w:val="00F74345"/>
    <w:rsid w:val="00F74382"/>
    <w:rsid w:val="00F74A02"/>
    <w:rsid w:val="00F7532E"/>
    <w:rsid w:val="00F76B31"/>
    <w:rsid w:val="00F77AB0"/>
    <w:rsid w:val="00F77E8C"/>
    <w:rsid w:val="00F80351"/>
    <w:rsid w:val="00F80A0A"/>
    <w:rsid w:val="00F82176"/>
    <w:rsid w:val="00F8265E"/>
    <w:rsid w:val="00F82B13"/>
    <w:rsid w:val="00F82B19"/>
    <w:rsid w:val="00F84D4B"/>
    <w:rsid w:val="00F85FEC"/>
    <w:rsid w:val="00F900AD"/>
    <w:rsid w:val="00F90DB3"/>
    <w:rsid w:val="00F91A3B"/>
    <w:rsid w:val="00F9212D"/>
    <w:rsid w:val="00F94F75"/>
    <w:rsid w:val="00F9573D"/>
    <w:rsid w:val="00F95A08"/>
    <w:rsid w:val="00F95DB3"/>
    <w:rsid w:val="00F965DA"/>
    <w:rsid w:val="00FA1023"/>
    <w:rsid w:val="00FA361D"/>
    <w:rsid w:val="00FA406A"/>
    <w:rsid w:val="00FA4559"/>
    <w:rsid w:val="00FA575D"/>
    <w:rsid w:val="00FA684E"/>
    <w:rsid w:val="00FA74FD"/>
    <w:rsid w:val="00FA76C4"/>
    <w:rsid w:val="00FB0B84"/>
    <w:rsid w:val="00FB1BEC"/>
    <w:rsid w:val="00FB3772"/>
    <w:rsid w:val="00FB3E60"/>
    <w:rsid w:val="00FB42D0"/>
    <w:rsid w:val="00FB4961"/>
    <w:rsid w:val="00FB503A"/>
    <w:rsid w:val="00FB516C"/>
    <w:rsid w:val="00FB551D"/>
    <w:rsid w:val="00FB7513"/>
    <w:rsid w:val="00FB755B"/>
    <w:rsid w:val="00FB76F7"/>
    <w:rsid w:val="00FB7A95"/>
    <w:rsid w:val="00FC2F84"/>
    <w:rsid w:val="00FC3890"/>
    <w:rsid w:val="00FC3BEB"/>
    <w:rsid w:val="00FC56B3"/>
    <w:rsid w:val="00FC5FD6"/>
    <w:rsid w:val="00FC605D"/>
    <w:rsid w:val="00FC626F"/>
    <w:rsid w:val="00FC6634"/>
    <w:rsid w:val="00FC66FB"/>
    <w:rsid w:val="00FC6E21"/>
    <w:rsid w:val="00FD0236"/>
    <w:rsid w:val="00FD0E8A"/>
    <w:rsid w:val="00FD17D5"/>
    <w:rsid w:val="00FD18F4"/>
    <w:rsid w:val="00FD2886"/>
    <w:rsid w:val="00FD35EC"/>
    <w:rsid w:val="00FD4163"/>
    <w:rsid w:val="00FD4C18"/>
    <w:rsid w:val="00FD54DB"/>
    <w:rsid w:val="00FD619F"/>
    <w:rsid w:val="00FE0713"/>
    <w:rsid w:val="00FE1DFA"/>
    <w:rsid w:val="00FE22E3"/>
    <w:rsid w:val="00FE345C"/>
    <w:rsid w:val="00FE3F83"/>
    <w:rsid w:val="00FE3FF1"/>
    <w:rsid w:val="00FE5A86"/>
    <w:rsid w:val="00FE6945"/>
    <w:rsid w:val="00FE6D30"/>
    <w:rsid w:val="00FE7EA8"/>
    <w:rsid w:val="00FF06F3"/>
    <w:rsid w:val="00FF5C5E"/>
    <w:rsid w:val="00FF6261"/>
    <w:rsid w:val="00FF68A7"/>
    <w:rsid w:val="00FF6C61"/>
    <w:rsid w:val="01290F7E"/>
    <w:rsid w:val="015D1E09"/>
    <w:rsid w:val="020C6FB1"/>
    <w:rsid w:val="0227066B"/>
    <w:rsid w:val="025804C8"/>
    <w:rsid w:val="02697903"/>
    <w:rsid w:val="02F96569"/>
    <w:rsid w:val="036C34DA"/>
    <w:rsid w:val="03A964DC"/>
    <w:rsid w:val="03D8291E"/>
    <w:rsid w:val="03EA4EAF"/>
    <w:rsid w:val="03EA7B21"/>
    <w:rsid w:val="041A1188"/>
    <w:rsid w:val="0437654D"/>
    <w:rsid w:val="04E20848"/>
    <w:rsid w:val="05F83EAE"/>
    <w:rsid w:val="063E7D85"/>
    <w:rsid w:val="070272A7"/>
    <w:rsid w:val="07293586"/>
    <w:rsid w:val="07295285"/>
    <w:rsid w:val="07636392"/>
    <w:rsid w:val="07770C56"/>
    <w:rsid w:val="07DC5772"/>
    <w:rsid w:val="08C07E24"/>
    <w:rsid w:val="092217DD"/>
    <w:rsid w:val="093A7294"/>
    <w:rsid w:val="0A263993"/>
    <w:rsid w:val="0A2D3AC2"/>
    <w:rsid w:val="0AA755DF"/>
    <w:rsid w:val="0ABD2281"/>
    <w:rsid w:val="0B120D44"/>
    <w:rsid w:val="0BD27BF6"/>
    <w:rsid w:val="0C3B3C7D"/>
    <w:rsid w:val="0C956E62"/>
    <w:rsid w:val="0CAB2EAE"/>
    <w:rsid w:val="0CE66F39"/>
    <w:rsid w:val="0CFB0826"/>
    <w:rsid w:val="0D621C7D"/>
    <w:rsid w:val="0D67469E"/>
    <w:rsid w:val="0E73034D"/>
    <w:rsid w:val="0F13775A"/>
    <w:rsid w:val="0F5F45FE"/>
    <w:rsid w:val="0F9A112B"/>
    <w:rsid w:val="106D2F64"/>
    <w:rsid w:val="10B63710"/>
    <w:rsid w:val="10F10820"/>
    <w:rsid w:val="110A3EA0"/>
    <w:rsid w:val="111C2F7A"/>
    <w:rsid w:val="11665CA1"/>
    <w:rsid w:val="1261441F"/>
    <w:rsid w:val="126F4E9C"/>
    <w:rsid w:val="12F9332B"/>
    <w:rsid w:val="13951726"/>
    <w:rsid w:val="13BB36C2"/>
    <w:rsid w:val="14264ACD"/>
    <w:rsid w:val="14396509"/>
    <w:rsid w:val="149A0527"/>
    <w:rsid w:val="14DD2C3C"/>
    <w:rsid w:val="16087E1D"/>
    <w:rsid w:val="17701D14"/>
    <w:rsid w:val="17735226"/>
    <w:rsid w:val="179D57D6"/>
    <w:rsid w:val="181B0BD3"/>
    <w:rsid w:val="18786026"/>
    <w:rsid w:val="189F624C"/>
    <w:rsid w:val="193A32DB"/>
    <w:rsid w:val="1A0C3000"/>
    <w:rsid w:val="1A1C66C0"/>
    <w:rsid w:val="1A42393B"/>
    <w:rsid w:val="1A9F09B9"/>
    <w:rsid w:val="1AAD45DE"/>
    <w:rsid w:val="1B046F80"/>
    <w:rsid w:val="1B3267B5"/>
    <w:rsid w:val="1B40161D"/>
    <w:rsid w:val="1B441859"/>
    <w:rsid w:val="1B4B5C73"/>
    <w:rsid w:val="1B6606B1"/>
    <w:rsid w:val="1C230BDA"/>
    <w:rsid w:val="1C5E7925"/>
    <w:rsid w:val="1CFD070F"/>
    <w:rsid w:val="1D5F6196"/>
    <w:rsid w:val="1D6132A5"/>
    <w:rsid w:val="1D8E56D5"/>
    <w:rsid w:val="1DA64AB7"/>
    <w:rsid w:val="1DE877AA"/>
    <w:rsid w:val="1E7A43DA"/>
    <w:rsid w:val="1FE7539E"/>
    <w:rsid w:val="20305E02"/>
    <w:rsid w:val="205967CD"/>
    <w:rsid w:val="20671BE0"/>
    <w:rsid w:val="20963CB8"/>
    <w:rsid w:val="20A81A1B"/>
    <w:rsid w:val="20B07FB6"/>
    <w:rsid w:val="20B646FB"/>
    <w:rsid w:val="213B74B1"/>
    <w:rsid w:val="215A2310"/>
    <w:rsid w:val="21AE197F"/>
    <w:rsid w:val="21DE318A"/>
    <w:rsid w:val="21EF5B80"/>
    <w:rsid w:val="22576990"/>
    <w:rsid w:val="22680EB9"/>
    <w:rsid w:val="22864B9D"/>
    <w:rsid w:val="22F47480"/>
    <w:rsid w:val="233B65CE"/>
    <w:rsid w:val="23DE1C48"/>
    <w:rsid w:val="240210CD"/>
    <w:rsid w:val="24BF09F7"/>
    <w:rsid w:val="252D53FE"/>
    <w:rsid w:val="25473B5E"/>
    <w:rsid w:val="25C80A58"/>
    <w:rsid w:val="25EC2D81"/>
    <w:rsid w:val="26A16BD9"/>
    <w:rsid w:val="26D0702D"/>
    <w:rsid w:val="272C31D1"/>
    <w:rsid w:val="277057A2"/>
    <w:rsid w:val="28420898"/>
    <w:rsid w:val="285C79F3"/>
    <w:rsid w:val="29206EB8"/>
    <w:rsid w:val="29595666"/>
    <w:rsid w:val="29836B7B"/>
    <w:rsid w:val="29874881"/>
    <w:rsid w:val="29E325E0"/>
    <w:rsid w:val="29E96E08"/>
    <w:rsid w:val="2A452503"/>
    <w:rsid w:val="2ACB1BD4"/>
    <w:rsid w:val="2AE9351E"/>
    <w:rsid w:val="2BA936A8"/>
    <w:rsid w:val="2BE12AB4"/>
    <w:rsid w:val="2C315A5A"/>
    <w:rsid w:val="2C4B1C25"/>
    <w:rsid w:val="2D241E80"/>
    <w:rsid w:val="2D9E56F5"/>
    <w:rsid w:val="2E667F96"/>
    <w:rsid w:val="2E8226AB"/>
    <w:rsid w:val="2EAA65BC"/>
    <w:rsid w:val="2FD065E6"/>
    <w:rsid w:val="2FD96870"/>
    <w:rsid w:val="30580BC9"/>
    <w:rsid w:val="30B80AC3"/>
    <w:rsid w:val="30B84E5A"/>
    <w:rsid w:val="311E2ED7"/>
    <w:rsid w:val="314765CC"/>
    <w:rsid w:val="315619EE"/>
    <w:rsid w:val="315C449C"/>
    <w:rsid w:val="3163566D"/>
    <w:rsid w:val="31B82709"/>
    <w:rsid w:val="31C92DB1"/>
    <w:rsid w:val="31D05482"/>
    <w:rsid w:val="32400B34"/>
    <w:rsid w:val="329E6876"/>
    <w:rsid w:val="32AA09F2"/>
    <w:rsid w:val="333015F2"/>
    <w:rsid w:val="334B6320"/>
    <w:rsid w:val="33D934D4"/>
    <w:rsid w:val="33FE2F6A"/>
    <w:rsid w:val="340E07E5"/>
    <w:rsid w:val="34235BF7"/>
    <w:rsid w:val="342543DD"/>
    <w:rsid w:val="34B86093"/>
    <w:rsid w:val="358C5FA8"/>
    <w:rsid w:val="35C15DF1"/>
    <w:rsid w:val="36074A7F"/>
    <w:rsid w:val="360C475E"/>
    <w:rsid w:val="36796EB5"/>
    <w:rsid w:val="368F7D5B"/>
    <w:rsid w:val="36923549"/>
    <w:rsid w:val="36B75FBF"/>
    <w:rsid w:val="36BD0C45"/>
    <w:rsid w:val="36D1697E"/>
    <w:rsid w:val="370E71BC"/>
    <w:rsid w:val="3752060A"/>
    <w:rsid w:val="37BD6802"/>
    <w:rsid w:val="37E00298"/>
    <w:rsid w:val="37F3240A"/>
    <w:rsid w:val="38722C4C"/>
    <w:rsid w:val="38B302F9"/>
    <w:rsid w:val="38F12CD3"/>
    <w:rsid w:val="38F94775"/>
    <w:rsid w:val="391C2F3A"/>
    <w:rsid w:val="392971ED"/>
    <w:rsid w:val="39325651"/>
    <w:rsid w:val="3A190729"/>
    <w:rsid w:val="3A3F10F6"/>
    <w:rsid w:val="3A872856"/>
    <w:rsid w:val="3ABB0DA7"/>
    <w:rsid w:val="3B3763D1"/>
    <w:rsid w:val="3C2F6E1E"/>
    <w:rsid w:val="3C4F64BA"/>
    <w:rsid w:val="3C643A21"/>
    <w:rsid w:val="3CDA245A"/>
    <w:rsid w:val="3D1E06B7"/>
    <w:rsid w:val="3D3679ED"/>
    <w:rsid w:val="3D5D5EDB"/>
    <w:rsid w:val="3DA23ABA"/>
    <w:rsid w:val="3DE833E8"/>
    <w:rsid w:val="3EDA0523"/>
    <w:rsid w:val="3FBA4553"/>
    <w:rsid w:val="3FD07E1E"/>
    <w:rsid w:val="400F12AB"/>
    <w:rsid w:val="407A6407"/>
    <w:rsid w:val="408426A9"/>
    <w:rsid w:val="40CE2B42"/>
    <w:rsid w:val="40E73D4D"/>
    <w:rsid w:val="412F7760"/>
    <w:rsid w:val="4200449D"/>
    <w:rsid w:val="423A3BCC"/>
    <w:rsid w:val="424E57D2"/>
    <w:rsid w:val="42B26C49"/>
    <w:rsid w:val="433A6FE6"/>
    <w:rsid w:val="43480868"/>
    <w:rsid w:val="4350713C"/>
    <w:rsid w:val="436653E0"/>
    <w:rsid w:val="43C4431A"/>
    <w:rsid w:val="44B951CC"/>
    <w:rsid w:val="44CD14E0"/>
    <w:rsid w:val="44F20B0B"/>
    <w:rsid w:val="452E5F4C"/>
    <w:rsid w:val="45612018"/>
    <w:rsid w:val="458946E9"/>
    <w:rsid w:val="45A47C0E"/>
    <w:rsid w:val="461C3E68"/>
    <w:rsid w:val="46577FD6"/>
    <w:rsid w:val="46D955A7"/>
    <w:rsid w:val="46F65D9F"/>
    <w:rsid w:val="47133957"/>
    <w:rsid w:val="473016F6"/>
    <w:rsid w:val="47A07E0C"/>
    <w:rsid w:val="47B96ED2"/>
    <w:rsid w:val="47ED75E7"/>
    <w:rsid w:val="48416713"/>
    <w:rsid w:val="486A6CFF"/>
    <w:rsid w:val="4870272E"/>
    <w:rsid w:val="49DC7715"/>
    <w:rsid w:val="4A023139"/>
    <w:rsid w:val="4A7B576F"/>
    <w:rsid w:val="4AA74B73"/>
    <w:rsid w:val="4AF561A9"/>
    <w:rsid w:val="4B105AC6"/>
    <w:rsid w:val="4C4A0649"/>
    <w:rsid w:val="4C663113"/>
    <w:rsid w:val="4C7E5ECA"/>
    <w:rsid w:val="4C876AA5"/>
    <w:rsid w:val="4D0E00FB"/>
    <w:rsid w:val="4D176606"/>
    <w:rsid w:val="4D720A19"/>
    <w:rsid w:val="4D850ADA"/>
    <w:rsid w:val="4DEC4FB0"/>
    <w:rsid w:val="4E075D8A"/>
    <w:rsid w:val="4E4024B5"/>
    <w:rsid w:val="4EC00FAD"/>
    <w:rsid w:val="4ECA2430"/>
    <w:rsid w:val="4F9843DC"/>
    <w:rsid w:val="4FC62A8C"/>
    <w:rsid w:val="4FE20F0D"/>
    <w:rsid w:val="4FE51552"/>
    <w:rsid w:val="50504C4B"/>
    <w:rsid w:val="509C6E7C"/>
    <w:rsid w:val="5162104E"/>
    <w:rsid w:val="51E73869"/>
    <w:rsid w:val="52381CD1"/>
    <w:rsid w:val="52D01FDF"/>
    <w:rsid w:val="53A039CC"/>
    <w:rsid w:val="53A1505A"/>
    <w:rsid w:val="54063E08"/>
    <w:rsid w:val="543437E8"/>
    <w:rsid w:val="54F73313"/>
    <w:rsid w:val="54F80955"/>
    <w:rsid w:val="5504559C"/>
    <w:rsid w:val="555170A7"/>
    <w:rsid w:val="5587536D"/>
    <w:rsid w:val="559B174B"/>
    <w:rsid w:val="55A02200"/>
    <w:rsid w:val="55CE0CF4"/>
    <w:rsid w:val="55D26C96"/>
    <w:rsid w:val="56083B91"/>
    <w:rsid w:val="56533ECD"/>
    <w:rsid w:val="56B22A9C"/>
    <w:rsid w:val="577675AB"/>
    <w:rsid w:val="57837663"/>
    <w:rsid w:val="578E3081"/>
    <w:rsid w:val="57B72A76"/>
    <w:rsid w:val="57C3426C"/>
    <w:rsid w:val="57CE1F93"/>
    <w:rsid w:val="57D43044"/>
    <w:rsid w:val="588743D1"/>
    <w:rsid w:val="5887701A"/>
    <w:rsid w:val="597B5D4D"/>
    <w:rsid w:val="59C0439F"/>
    <w:rsid w:val="59D27FD1"/>
    <w:rsid w:val="5AA87E2B"/>
    <w:rsid w:val="5ABE2233"/>
    <w:rsid w:val="5B0959EC"/>
    <w:rsid w:val="5B89064C"/>
    <w:rsid w:val="5BA50C5D"/>
    <w:rsid w:val="5BDF5D95"/>
    <w:rsid w:val="5BE057CB"/>
    <w:rsid w:val="5BFE7528"/>
    <w:rsid w:val="5C2A2760"/>
    <w:rsid w:val="5DE26F46"/>
    <w:rsid w:val="5E2467F1"/>
    <w:rsid w:val="5F1A2B43"/>
    <w:rsid w:val="5FB837BB"/>
    <w:rsid w:val="60752865"/>
    <w:rsid w:val="60CC405A"/>
    <w:rsid w:val="60D74C55"/>
    <w:rsid w:val="61E215D8"/>
    <w:rsid w:val="621B3775"/>
    <w:rsid w:val="62364782"/>
    <w:rsid w:val="636C7B02"/>
    <w:rsid w:val="6394356A"/>
    <w:rsid w:val="63C61B2C"/>
    <w:rsid w:val="63D40BE9"/>
    <w:rsid w:val="63E753EE"/>
    <w:rsid w:val="63EF49BB"/>
    <w:rsid w:val="64102431"/>
    <w:rsid w:val="64A5243A"/>
    <w:rsid w:val="64F25BBD"/>
    <w:rsid w:val="64F531DE"/>
    <w:rsid w:val="65373578"/>
    <w:rsid w:val="65721408"/>
    <w:rsid w:val="65D8633A"/>
    <w:rsid w:val="65E62CB4"/>
    <w:rsid w:val="662F532E"/>
    <w:rsid w:val="66636F9A"/>
    <w:rsid w:val="670A456B"/>
    <w:rsid w:val="67144738"/>
    <w:rsid w:val="671A15CD"/>
    <w:rsid w:val="671F124A"/>
    <w:rsid w:val="677A33C6"/>
    <w:rsid w:val="681F6961"/>
    <w:rsid w:val="682136A3"/>
    <w:rsid w:val="68610A2F"/>
    <w:rsid w:val="68805514"/>
    <w:rsid w:val="68F02638"/>
    <w:rsid w:val="69316E2F"/>
    <w:rsid w:val="694E2071"/>
    <w:rsid w:val="69766163"/>
    <w:rsid w:val="697A3B33"/>
    <w:rsid w:val="69AE4A9D"/>
    <w:rsid w:val="69D44760"/>
    <w:rsid w:val="6A520EC7"/>
    <w:rsid w:val="6A796A16"/>
    <w:rsid w:val="6AF87E20"/>
    <w:rsid w:val="6B322639"/>
    <w:rsid w:val="6B4E5CCB"/>
    <w:rsid w:val="6B5B6E81"/>
    <w:rsid w:val="6C636C38"/>
    <w:rsid w:val="6C6A2195"/>
    <w:rsid w:val="6D693566"/>
    <w:rsid w:val="6DA5345C"/>
    <w:rsid w:val="6DB34098"/>
    <w:rsid w:val="6DB545B6"/>
    <w:rsid w:val="6DE02FB4"/>
    <w:rsid w:val="6E514CED"/>
    <w:rsid w:val="6E71265B"/>
    <w:rsid w:val="6E981914"/>
    <w:rsid w:val="6EB563D5"/>
    <w:rsid w:val="6ED92677"/>
    <w:rsid w:val="6F225983"/>
    <w:rsid w:val="6FFC5590"/>
    <w:rsid w:val="706D1DD0"/>
    <w:rsid w:val="70856B87"/>
    <w:rsid w:val="70D527EE"/>
    <w:rsid w:val="715B5300"/>
    <w:rsid w:val="71D27F8A"/>
    <w:rsid w:val="7216451A"/>
    <w:rsid w:val="72553024"/>
    <w:rsid w:val="72755982"/>
    <w:rsid w:val="72D66D46"/>
    <w:rsid w:val="73122968"/>
    <w:rsid w:val="731F5D5E"/>
    <w:rsid w:val="73C51AD5"/>
    <w:rsid w:val="741E793C"/>
    <w:rsid w:val="745E3944"/>
    <w:rsid w:val="74DC4AE7"/>
    <w:rsid w:val="75814B4C"/>
    <w:rsid w:val="7635099D"/>
    <w:rsid w:val="763F199A"/>
    <w:rsid w:val="773D771A"/>
    <w:rsid w:val="77762421"/>
    <w:rsid w:val="77B56B1F"/>
    <w:rsid w:val="780F09F4"/>
    <w:rsid w:val="781956D0"/>
    <w:rsid w:val="78A90480"/>
    <w:rsid w:val="78FF1293"/>
    <w:rsid w:val="794E16AD"/>
    <w:rsid w:val="79F76EC7"/>
    <w:rsid w:val="7A364017"/>
    <w:rsid w:val="7A8265E1"/>
    <w:rsid w:val="7B335716"/>
    <w:rsid w:val="7B686D42"/>
    <w:rsid w:val="7B841746"/>
    <w:rsid w:val="7C6C5AC7"/>
    <w:rsid w:val="7CC6544B"/>
    <w:rsid w:val="7CCD70A2"/>
    <w:rsid w:val="7CFB5D27"/>
    <w:rsid w:val="7D0239FF"/>
    <w:rsid w:val="7D042727"/>
    <w:rsid w:val="7D5E40CD"/>
    <w:rsid w:val="7DCD56F2"/>
    <w:rsid w:val="7E75107E"/>
    <w:rsid w:val="7EC363D0"/>
    <w:rsid w:val="7F001CE7"/>
    <w:rsid w:val="7FAE2F34"/>
    <w:rsid w:val="7FE47E50"/>
    <w:rsid w:val="7FE726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qFormat="1"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qFormat="1"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qFormat="1" w:unhideWhenUsed="0" w:uiPriority="0" w:semiHidden="0" w:name="List Bullet" w:locked="1"/>
    <w:lsdException w:unhideWhenUsed="0" w:uiPriority="0" w:semiHidden="0" w:name="List Number" w:locked="1"/>
    <w:lsdException w:qFormat="1"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iPriority="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qFormat="1" w:unhideWhenUsed="0" w:uiPriority="0" w:semiHidden="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qFormat="1" w:unhideWhenUsed="0" w:uiPriority="0" w:semiHidden="0" w:name="Table Theme" w:locked="1"/>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autoRedefine/>
    <w:qFormat/>
    <w:locked/>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link w:val="54"/>
    <w:autoRedefine/>
    <w:qFormat/>
    <w:locked/>
    <w:uiPriority w:val="0"/>
    <w:pPr>
      <w:keepNext/>
      <w:keepLines/>
      <w:spacing w:before="260" w:after="260" w:line="416" w:lineRule="auto"/>
      <w:outlineLvl w:val="1"/>
    </w:pPr>
    <w:rPr>
      <w:rFonts w:ascii="Arial" w:hAnsi="Arial" w:eastAsia="黑体"/>
      <w:b/>
      <w:bCs/>
      <w:sz w:val="32"/>
      <w:szCs w:val="32"/>
    </w:rPr>
  </w:style>
  <w:style w:type="paragraph" w:styleId="6">
    <w:name w:val="heading 3"/>
    <w:basedOn w:val="1"/>
    <w:next w:val="1"/>
    <w:link w:val="55"/>
    <w:autoRedefine/>
    <w:qFormat/>
    <w:locked/>
    <w:uiPriority w:val="0"/>
    <w:pPr>
      <w:keepNext/>
      <w:keepLines/>
      <w:spacing w:before="260" w:after="260" w:line="416" w:lineRule="auto"/>
      <w:outlineLvl w:val="2"/>
    </w:pPr>
    <w:rPr>
      <w:b/>
      <w:bCs/>
      <w:sz w:val="32"/>
      <w:szCs w:val="32"/>
    </w:rPr>
  </w:style>
  <w:style w:type="paragraph" w:styleId="7">
    <w:name w:val="heading 4"/>
    <w:basedOn w:val="1"/>
    <w:next w:val="1"/>
    <w:link w:val="56"/>
    <w:autoRedefine/>
    <w:qFormat/>
    <w:locked/>
    <w:uiPriority w:val="0"/>
    <w:pPr>
      <w:keepNext/>
      <w:keepLines/>
      <w:spacing w:before="280" w:after="290" w:line="376" w:lineRule="auto"/>
      <w:outlineLvl w:val="3"/>
    </w:pPr>
    <w:rPr>
      <w:rFonts w:ascii="Arial" w:hAnsi="Arial" w:eastAsia="黑体"/>
      <w:b/>
      <w:bCs/>
      <w:sz w:val="28"/>
      <w:szCs w:val="28"/>
    </w:rPr>
  </w:style>
  <w:style w:type="character" w:default="1" w:styleId="44">
    <w:name w:val="Default Paragraph Font"/>
    <w:autoRedefine/>
    <w:semiHidden/>
    <w:unhideWhenUsed/>
    <w:qFormat/>
    <w:uiPriority w:val="1"/>
  </w:style>
  <w:style w:type="table" w:default="1" w:styleId="40">
    <w:name w:val="Normal Table"/>
    <w:autoRedefine/>
    <w:semiHidden/>
    <w:unhideWhenUsed/>
    <w:uiPriority w:val="99"/>
    <w:tblPr>
      <w:tblCellMar>
        <w:top w:w="0" w:type="dxa"/>
        <w:left w:w="108" w:type="dxa"/>
        <w:bottom w:w="0" w:type="dxa"/>
        <w:right w:w="108" w:type="dxa"/>
      </w:tblCellMar>
    </w:tblPr>
  </w:style>
  <w:style w:type="paragraph" w:styleId="2">
    <w:name w:val="Normal Indent"/>
    <w:basedOn w:val="1"/>
    <w:next w:val="3"/>
    <w:link w:val="57"/>
    <w:autoRedefine/>
    <w:qFormat/>
    <w:locked/>
    <w:uiPriority w:val="0"/>
    <w:pPr>
      <w:ind w:firstLine="420" w:firstLineChars="200"/>
    </w:pPr>
  </w:style>
  <w:style w:type="paragraph" w:styleId="3">
    <w:name w:val="footnote text"/>
    <w:basedOn w:val="1"/>
    <w:autoRedefine/>
    <w:qFormat/>
    <w:locked/>
    <w:uiPriority w:val="0"/>
    <w:pPr>
      <w:snapToGrid w:val="0"/>
      <w:jc w:val="left"/>
    </w:pPr>
    <w:rPr>
      <w:sz w:val="18"/>
      <w:szCs w:val="18"/>
    </w:rPr>
  </w:style>
  <w:style w:type="paragraph" w:styleId="8">
    <w:name w:val="caption"/>
    <w:basedOn w:val="1"/>
    <w:next w:val="1"/>
    <w:autoRedefine/>
    <w:qFormat/>
    <w:locked/>
    <w:uiPriority w:val="0"/>
    <w:rPr>
      <w:rFonts w:ascii="Arial" w:hAnsi="Arial" w:eastAsia="黑体" w:cs="Arial"/>
      <w:sz w:val="20"/>
      <w:szCs w:val="20"/>
    </w:rPr>
  </w:style>
  <w:style w:type="paragraph" w:styleId="9">
    <w:name w:val="List Bullet"/>
    <w:basedOn w:val="1"/>
    <w:autoRedefine/>
    <w:qFormat/>
    <w:locked/>
    <w:uiPriority w:val="0"/>
    <w:pPr>
      <w:adjustRightInd w:val="0"/>
      <w:spacing w:line="280" w:lineRule="atLeast"/>
      <w:textAlignment w:val="baseline"/>
    </w:pPr>
    <w:rPr>
      <w:kern w:val="0"/>
      <w:szCs w:val="20"/>
    </w:rPr>
  </w:style>
  <w:style w:type="paragraph" w:styleId="10">
    <w:name w:val="Document Map"/>
    <w:basedOn w:val="1"/>
    <w:link w:val="58"/>
    <w:autoRedefine/>
    <w:qFormat/>
    <w:locked/>
    <w:uiPriority w:val="0"/>
    <w:pPr>
      <w:shd w:val="clear" w:color="auto" w:fill="000080"/>
    </w:pPr>
  </w:style>
  <w:style w:type="paragraph" w:styleId="11">
    <w:name w:val="annotation text"/>
    <w:basedOn w:val="1"/>
    <w:link w:val="59"/>
    <w:autoRedefine/>
    <w:qFormat/>
    <w:uiPriority w:val="0"/>
    <w:pPr>
      <w:jc w:val="left"/>
    </w:pPr>
    <w:rPr>
      <w:kern w:val="0"/>
      <w:sz w:val="24"/>
      <w:szCs w:val="20"/>
    </w:rPr>
  </w:style>
  <w:style w:type="paragraph" w:styleId="12">
    <w:name w:val="Body Text"/>
    <w:basedOn w:val="1"/>
    <w:link w:val="60"/>
    <w:autoRedefine/>
    <w:qFormat/>
    <w:uiPriority w:val="0"/>
    <w:pPr>
      <w:widowControl/>
      <w:snapToGrid w:val="0"/>
      <w:spacing w:before="60" w:after="160" w:line="259" w:lineRule="auto"/>
      <w:ind w:right="113"/>
    </w:pPr>
    <w:rPr>
      <w:kern w:val="0"/>
      <w:sz w:val="18"/>
      <w:szCs w:val="20"/>
    </w:rPr>
  </w:style>
  <w:style w:type="paragraph" w:styleId="13">
    <w:name w:val="Body Text Indent"/>
    <w:basedOn w:val="1"/>
    <w:next w:val="14"/>
    <w:link w:val="61"/>
    <w:autoRedefine/>
    <w:qFormat/>
    <w:uiPriority w:val="0"/>
    <w:pPr>
      <w:spacing w:after="120"/>
      <w:ind w:left="420" w:leftChars="200"/>
    </w:pPr>
    <w:rPr>
      <w:kern w:val="0"/>
      <w:sz w:val="24"/>
      <w:szCs w:val="20"/>
    </w:rPr>
  </w:style>
  <w:style w:type="paragraph" w:customStyle="1" w:styleId="14">
    <w:name w:val="样式 正文文本缩进 + 行距: 1.5 倍行距"/>
    <w:basedOn w:val="15"/>
    <w:autoRedefine/>
    <w:qFormat/>
    <w:uiPriority w:val="0"/>
    <w:pPr>
      <w:spacing w:after="120" w:line="360" w:lineRule="auto"/>
      <w:ind w:left="90" w:leftChars="32" w:firstLine="560"/>
    </w:pPr>
    <w:rPr>
      <w:rFonts w:cs="宋体"/>
    </w:rPr>
  </w:style>
  <w:style w:type="paragraph" w:customStyle="1" w:styleId="15">
    <w:name w:val="正文文本缩进1"/>
    <w:basedOn w:val="1"/>
    <w:next w:val="14"/>
    <w:autoRedefine/>
    <w:qFormat/>
    <w:uiPriority w:val="0"/>
    <w:pPr>
      <w:spacing w:line="480" w:lineRule="exact"/>
      <w:ind w:firstLine="480" w:firstLineChars="200"/>
    </w:pPr>
    <w:rPr>
      <w:rFonts w:ascii="宋体" w:hAnsi="宋体" w:eastAsia="Times New Roman"/>
      <w:sz w:val="24"/>
    </w:rPr>
  </w:style>
  <w:style w:type="paragraph" w:styleId="16">
    <w:name w:val="List 2"/>
    <w:basedOn w:val="1"/>
    <w:autoRedefine/>
    <w:qFormat/>
    <w:locked/>
    <w:uiPriority w:val="0"/>
    <w:pPr>
      <w:ind w:left="100" w:leftChars="200" w:hanging="200" w:hangingChars="200"/>
    </w:pPr>
    <w:rPr>
      <w:szCs w:val="20"/>
    </w:rPr>
  </w:style>
  <w:style w:type="paragraph" w:styleId="17">
    <w:name w:val="Block Text"/>
    <w:basedOn w:val="1"/>
    <w:autoRedefine/>
    <w:qFormat/>
    <w:locked/>
    <w:uiPriority w:val="0"/>
    <w:pPr>
      <w:ind w:left="113" w:right="113" w:firstLine="555"/>
      <w:jc w:val="left"/>
    </w:pPr>
    <w:rPr>
      <w:sz w:val="28"/>
      <w:szCs w:val="20"/>
    </w:rPr>
  </w:style>
  <w:style w:type="paragraph" w:styleId="18">
    <w:name w:val="toc 5"/>
    <w:basedOn w:val="1"/>
    <w:next w:val="1"/>
    <w:autoRedefine/>
    <w:qFormat/>
    <w:locked/>
    <w:uiPriority w:val="0"/>
    <w:pPr>
      <w:jc w:val="center"/>
    </w:pPr>
    <w:rPr>
      <w:color w:val="000000"/>
      <w:sz w:val="24"/>
    </w:rPr>
  </w:style>
  <w:style w:type="paragraph" w:styleId="19">
    <w:name w:val="Plain Text"/>
    <w:basedOn w:val="1"/>
    <w:link w:val="62"/>
    <w:autoRedefine/>
    <w:qFormat/>
    <w:locked/>
    <w:uiPriority w:val="0"/>
    <w:rPr>
      <w:rFonts w:ascii="宋体" w:hAnsi="Courier New" w:cs="Courier New"/>
      <w:szCs w:val="21"/>
    </w:rPr>
  </w:style>
  <w:style w:type="paragraph" w:styleId="20">
    <w:name w:val="Date"/>
    <w:basedOn w:val="1"/>
    <w:next w:val="1"/>
    <w:link w:val="63"/>
    <w:autoRedefine/>
    <w:qFormat/>
    <w:uiPriority w:val="0"/>
    <w:pPr>
      <w:ind w:left="100" w:leftChars="2500"/>
    </w:pPr>
    <w:rPr>
      <w:kern w:val="0"/>
      <w:sz w:val="24"/>
      <w:szCs w:val="20"/>
    </w:rPr>
  </w:style>
  <w:style w:type="paragraph" w:styleId="21">
    <w:name w:val="Body Text Indent 2"/>
    <w:basedOn w:val="1"/>
    <w:link w:val="64"/>
    <w:autoRedefine/>
    <w:qFormat/>
    <w:locked/>
    <w:uiPriority w:val="0"/>
    <w:pPr>
      <w:ind w:left="432" w:firstLine="407" w:firstLineChars="194"/>
    </w:pPr>
    <w:rPr>
      <w:rFonts w:ascii="宋体" w:hAnsi="宋体"/>
      <w:bCs/>
      <w:szCs w:val="28"/>
    </w:rPr>
  </w:style>
  <w:style w:type="paragraph" w:styleId="22">
    <w:name w:val="Balloon Text"/>
    <w:basedOn w:val="1"/>
    <w:link w:val="65"/>
    <w:autoRedefine/>
    <w:semiHidden/>
    <w:qFormat/>
    <w:uiPriority w:val="0"/>
    <w:rPr>
      <w:kern w:val="0"/>
      <w:sz w:val="18"/>
      <w:szCs w:val="20"/>
    </w:rPr>
  </w:style>
  <w:style w:type="paragraph" w:styleId="23">
    <w:name w:val="footer"/>
    <w:basedOn w:val="1"/>
    <w:link w:val="66"/>
    <w:autoRedefine/>
    <w:qFormat/>
    <w:uiPriority w:val="99"/>
    <w:pPr>
      <w:tabs>
        <w:tab w:val="center" w:pos="4153"/>
        <w:tab w:val="right" w:pos="8306"/>
      </w:tabs>
      <w:snapToGrid w:val="0"/>
      <w:jc w:val="left"/>
    </w:pPr>
    <w:rPr>
      <w:kern w:val="0"/>
      <w:sz w:val="18"/>
      <w:szCs w:val="20"/>
    </w:rPr>
  </w:style>
  <w:style w:type="paragraph" w:styleId="24">
    <w:name w:val="header"/>
    <w:basedOn w:val="1"/>
    <w:next w:val="25"/>
    <w:link w:val="67"/>
    <w:autoRedefine/>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25">
    <w:name w:val="样式5"/>
    <w:basedOn w:val="26"/>
    <w:autoRedefine/>
    <w:qFormat/>
    <w:uiPriority w:val="0"/>
    <w:pPr>
      <w:spacing w:line="460" w:lineRule="exact"/>
      <w:ind w:firstLine="480"/>
    </w:pPr>
  </w:style>
  <w:style w:type="paragraph" w:customStyle="1" w:styleId="26">
    <w:name w:val="正文1"/>
    <w:basedOn w:val="27"/>
    <w:next w:val="1"/>
    <w:autoRedefine/>
    <w:qFormat/>
    <w:uiPriority w:val="0"/>
    <w:pPr>
      <w:spacing w:line="500" w:lineRule="exact"/>
      <w:ind w:firstLine="200"/>
    </w:pPr>
    <w:rPr>
      <w:szCs w:val="20"/>
    </w:rPr>
  </w:style>
  <w:style w:type="paragraph" w:customStyle="1" w:styleId="27">
    <w:name w:val="正文11"/>
    <w:basedOn w:val="1"/>
    <w:autoRedefine/>
    <w:qFormat/>
    <w:uiPriority w:val="0"/>
    <w:pPr>
      <w:adjustRightInd w:val="0"/>
      <w:snapToGrid w:val="0"/>
      <w:spacing w:line="360" w:lineRule="auto"/>
      <w:ind w:firstLine="420" w:firstLineChars="200"/>
    </w:pPr>
    <w:rPr>
      <w:color w:val="000000"/>
      <w:sz w:val="24"/>
    </w:rPr>
  </w:style>
  <w:style w:type="paragraph" w:styleId="28">
    <w:name w:val="toc 1"/>
    <w:basedOn w:val="1"/>
    <w:next w:val="1"/>
    <w:autoRedefine/>
    <w:qFormat/>
    <w:locked/>
    <w:uiPriority w:val="0"/>
    <w:pPr>
      <w:tabs>
        <w:tab w:val="right" w:leader="dot" w:pos="8625"/>
      </w:tabs>
      <w:jc w:val="center"/>
    </w:pPr>
    <w:rPr>
      <w:rFonts w:ascii="宋体" w:hAnsi="宋体"/>
      <w:bCs/>
    </w:rPr>
  </w:style>
  <w:style w:type="paragraph" w:styleId="29">
    <w:name w:val="List"/>
    <w:basedOn w:val="1"/>
    <w:autoRedefine/>
    <w:qFormat/>
    <w:locked/>
    <w:uiPriority w:val="0"/>
    <w:pPr>
      <w:jc w:val="center"/>
    </w:pPr>
    <w:rPr>
      <w:szCs w:val="20"/>
    </w:rPr>
  </w:style>
  <w:style w:type="paragraph" w:styleId="30">
    <w:name w:val="Body Text Indent 3"/>
    <w:basedOn w:val="1"/>
    <w:link w:val="68"/>
    <w:autoRedefine/>
    <w:qFormat/>
    <w:locked/>
    <w:uiPriority w:val="0"/>
    <w:pPr>
      <w:spacing w:after="120"/>
      <w:ind w:left="420" w:leftChars="200"/>
    </w:pPr>
    <w:rPr>
      <w:sz w:val="16"/>
      <w:szCs w:val="16"/>
    </w:rPr>
  </w:style>
  <w:style w:type="paragraph" w:styleId="31">
    <w:name w:val="toc 2"/>
    <w:basedOn w:val="1"/>
    <w:next w:val="1"/>
    <w:autoRedefine/>
    <w:qFormat/>
    <w:locked/>
    <w:uiPriority w:val="0"/>
    <w:pPr>
      <w:ind w:left="210"/>
      <w:jc w:val="left"/>
    </w:pPr>
    <w:rPr>
      <w:smallCaps/>
      <w:sz w:val="20"/>
      <w:szCs w:val="20"/>
    </w:rPr>
  </w:style>
  <w:style w:type="paragraph" w:styleId="32">
    <w:name w:val="Body Text 2"/>
    <w:basedOn w:val="1"/>
    <w:link w:val="69"/>
    <w:autoRedefine/>
    <w:qFormat/>
    <w:locked/>
    <w:uiPriority w:val="0"/>
    <w:pPr>
      <w:spacing w:after="120" w:line="480" w:lineRule="auto"/>
    </w:pPr>
    <w:rPr>
      <w:szCs w:val="20"/>
    </w:rPr>
  </w:style>
  <w:style w:type="paragraph" w:styleId="33">
    <w:name w:val="HTML Preformatted"/>
    <w:basedOn w:val="1"/>
    <w:link w:val="70"/>
    <w:autoRedefine/>
    <w:qFormat/>
    <w:locked/>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34">
    <w:name w:val="Normal (Web)"/>
    <w:basedOn w:val="1"/>
    <w:link w:val="71"/>
    <w:autoRedefine/>
    <w:qFormat/>
    <w:uiPriority w:val="0"/>
    <w:pPr>
      <w:widowControl/>
      <w:spacing w:before="100" w:beforeAutospacing="1" w:after="100" w:afterAutospacing="1"/>
      <w:jc w:val="left"/>
    </w:pPr>
    <w:rPr>
      <w:rFonts w:ascii="宋体" w:hAnsi="宋体"/>
      <w:kern w:val="0"/>
      <w:sz w:val="24"/>
      <w:szCs w:val="20"/>
    </w:rPr>
  </w:style>
  <w:style w:type="paragraph" w:styleId="35">
    <w:name w:val="index 1"/>
    <w:basedOn w:val="1"/>
    <w:next w:val="1"/>
    <w:autoRedefine/>
    <w:qFormat/>
    <w:locked/>
    <w:uiPriority w:val="0"/>
    <w:pPr>
      <w:tabs>
        <w:tab w:val="left" w:pos="5580"/>
      </w:tabs>
      <w:spacing w:line="280" w:lineRule="exact"/>
    </w:pPr>
    <w:rPr>
      <w:rFonts w:ascii="宋体" w:hAnsi="宋体"/>
      <w:spacing w:val="10"/>
    </w:rPr>
  </w:style>
  <w:style w:type="paragraph" w:styleId="36">
    <w:name w:val="Title"/>
    <w:basedOn w:val="1"/>
    <w:next w:val="1"/>
    <w:link w:val="72"/>
    <w:autoRedefine/>
    <w:qFormat/>
    <w:locked/>
    <w:uiPriority w:val="0"/>
    <w:pPr>
      <w:spacing w:before="240" w:after="60"/>
      <w:jc w:val="center"/>
      <w:outlineLvl w:val="0"/>
    </w:pPr>
    <w:rPr>
      <w:rFonts w:ascii="Cambria" w:hAnsi="Cambria"/>
      <w:b/>
      <w:bCs/>
      <w:sz w:val="32"/>
      <w:szCs w:val="32"/>
    </w:rPr>
  </w:style>
  <w:style w:type="paragraph" w:styleId="37">
    <w:name w:val="annotation subject"/>
    <w:basedOn w:val="11"/>
    <w:next w:val="11"/>
    <w:link w:val="73"/>
    <w:autoRedefine/>
    <w:semiHidden/>
    <w:qFormat/>
    <w:uiPriority w:val="0"/>
    <w:rPr>
      <w:b/>
    </w:rPr>
  </w:style>
  <w:style w:type="paragraph" w:styleId="38">
    <w:name w:val="Body Text First Indent"/>
    <w:basedOn w:val="12"/>
    <w:link w:val="74"/>
    <w:autoRedefine/>
    <w:qFormat/>
    <w:locked/>
    <w:uiPriority w:val="0"/>
    <w:pPr>
      <w:widowControl w:val="0"/>
      <w:snapToGrid/>
      <w:spacing w:before="0" w:after="120" w:line="240" w:lineRule="auto"/>
      <w:ind w:right="0" w:firstLine="420" w:firstLineChars="100"/>
    </w:pPr>
    <w:rPr>
      <w:kern w:val="2"/>
      <w:sz w:val="21"/>
      <w:szCs w:val="24"/>
    </w:rPr>
  </w:style>
  <w:style w:type="paragraph" w:styleId="39">
    <w:name w:val="Body Text First Indent 2"/>
    <w:basedOn w:val="13"/>
    <w:next w:val="1"/>
    <w:link w:val="75"/>
    <w:autoRedefine/>
    <w:qFormat/>
    <w:locked/>
    <w:uiPriority w:val="0"/>
    <w:pPr>
      <w:ind w:firstLine="420" w:firstLineChars="200"/>
    </w:pPr>
    <w:rPr>
      <w:kern w:val="2"/>
      <w:sz w:val="21"/>
      <w:szCs w:val="24"/>
    </w:rPr>
  </w:style>
  <w:style w:type="table" w:styleId="41">
    <w:name w:val="Table Grid"/>
    <w:basedOn w:val="40"/>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2">
    <w:name w:val="Table Theme"/>
    <w:basedOn w:val="40"/>
    <w:autoRedefine/>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3">
    <w:name w:val="Table Grid 1"/>
    <w:basedOn w:val="40"/>
    <w:autoRedefine/>
    <w:qFormat/>
    <w:lock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45">
    <w:name w:val="Strong"/>
    <w:basedOn w:val="44"/>
    <w:autoRedefine/>
    <w:qFormat/>
    <w:locked/>
    <w:uiPriority w:val="0"/>
    <w:rPr>
      <w:b/>
      <w:bCs/>
    </w:rPr>
  </w:style>
  <w:style w:type="character" w:styleId="46">
    <w:name w:val="page number"/>
    <w:autoRedefine/>
    <w:qFormat/>
    <w:locked/>
    <w:uiPriority w:val="0"/>
  </w:style>
  <w:style w:type="character" w:styleId="47">
    <w:name w:val="Emphasis"/>
    <w:autoRedefine/>
    <w:qFormat/>
    <w:locked/>
    <w:uiPriority w:val="0"/>
    <w:rPr>
      <w:color w:val="CC0033"/>
    </w:rPr>
  </w:style>
  <w:style w:type="character" w:styleId="48">
    <w:name w:val="Hyperlink"/>
    <w:autoRedefine/>
    <w:qFormat/>
    <w:locked/>
    <w:uiPriority w:val="0"/>
    <w:rPr>
      <w:color w:val="3366CC"/>
      <w:u w:val="single"/>
    </w:rPr>
  </w:style>
  <w:style w:type="character" w:styleId="49">
    <w:name w:val="annotation reference"/>
    <w:autoRedefine/>
    <w:qFormat/>
    <w:uiPriority w:val="0"/>
    <w:rPr>
      <w:sz w:val="21"/>
    </w:rPr>
  </w:style>
  <w:style w:type="paragraph" w:customStyle="1" w:styleId="50">
    <w:name w:val="表格编号"/>
    <w:basedOn w:val="1"/>
    <w:next w:val="51"/>
    <w:autoRedefine/>
    <w:qFormat/>
    <w:uiPriority w:val="99"/>
    <w:pPr>
      <w:snapToGrid w:val="0"/>
      <w:spacing w:before="300" w:after="200" w:line="500" w:lineRule="exact"/>
      <w:jc w:val="left"/>
    </w:pPr>
    <w:rPr>
      <w:sz w:val="24"/>
    </w:rPr>
  </w:style>
  <w:style w:type="paragraph" w:customStyle="1" w:styleId="51">
    <w:name w:val="表格文字"/>
    <w:basedOn w:val="1"/>
    <w:next w:val="1"/>
    <w:link w:val="103"/>
    <w:autoRedefine/>
    <w:qFormat/>
    <w:uiPriority w:val="0"/>
    <w:pPr>
      <w:snapToGrid w:val="0"/>
      <w:spacing w:line="340" w:lineRule="exact"/>
      <w:jc w:val="center"/>
    </w:pPr>
    <w:rPr>
      <w:rFonts w:ascii="Arial" w:hAnsi="Arial"/>
      <w:szCs w:val="20"/>
    </w:rPr>
  </w:style>
  <w:style w:type="paragraph" w:customStyle="1" w:styleId="52">
    <w:name w:val="样式 标题 1一级标题 + 段前: 0.5 行 段后: 0.5 行"/>
    <w:basedOn w:val="4"/>
    <w:autoRedefine/>
    <w:qFormat/>
    <w:uiPriority w:val="99"/>
    <w:pPr>
      <w:spacing w:line="320" w:lineRule="exact"/>
      <w:outlineLvl w:val="9"/>
    </w:pPr>
    <w:rPr>
      <w:spacing w:val="-6"/>
      <w:sz w:val="21"/>
      <w:szCs w:val="21"/>
    </w:rPr>
  </w:style>
  <w:style w:type="paragraph" w:customStyle="1" w:styleId="53">
    <w:name w:val="新格式表"/>
    <w:basedOn w:val="1"/>
    <w:autoRedefine/>
    <w:qFormat/>
    <w:uiPriority w:val="0"/>
    <w:pPr>
      <w:adjustRightInd w:val="0"/>
      <w:snapToGrid w:val="0"/>
      <w:spacing w:line="0" w:lineRule="atLeast"/>
      <w:jc w:val="center"/>
    </w:pPr>
    <w:rPr>
      <w:color w:val="000000"/>
      <w:kern w:val="0"/>
      <w:sz w:val="30"/>
      <w:szCs w:val="21"/>
    </w:rPr>
  </w:style>
  <w:style w:type="character" w:customStyle="1" w:styleId="54">
    <w:name w:val="标题 2 字符"/>
    <w:link w:val="5"/>
    <w:autoRedefine/>
    <w:qFormat/>
    <w:uiPriority w:val="0"/>
    <w:rPr>
      <w:rFonts w:ascii="Arial" w:hAnsi="Arial" w:eastAsia="黑体"/>
      <w:b/>
      <w:bCs/>
      <w:kern w:val="2"/>
      <w:sz w:val="32"/>
      <w:szCs w:val="32"/>
    </w:rPr>
  </w:style>
  <w:style w:type="character" w:customStyle="1" w:styleId="55">
    <w:name w:val="标题 3 字符"/>
    <w:link w:val="6"/>
    <w:autoRedefine/>
    <w:qFormat/>
    <w:uiPriority w:val="0"/>
    <w:rPr>
      <w:b/>
      <w:bCs/>
      <w:kern w:val="2"/>
      <w:sz w:val="32"/>
      <w:szCs w:val="32"/>
    </w:rPr>
  </w:style>
  <w:style w:type="character" w:customStyle="1" w:styleId="56">
    <w:name w:val="标题 4 字符"/>
    <w:link w:val="7"/>
    <w:autoRedefine/>
    <w:qFormat/>
    <w:uiPriority w:val="0"/>
    <w:rPr>
      <w:rFonts w:ascii="Arial" w:hAnsi="Arial" w:eastAsia="黑体"/>
      <w:b/>
      <w:bCs/>
      <w:kern w:val="2"/>
      <w:sz w:val="28"/>
      <w:szCs w:val="28"/>
    </w:rPr>
  </w:style>
  <w:style w:type="character" w:customStyle="1" w:styleId="57">
    <w:name w:val="正文缩进 字符"/>
    <w:link w:val="2"/>
    <w:autoRedefine/>
    <w:qFormat/>
    <w:locked/>
    <w:uiPriority w:val="0"/>
    <w:rPr>
      <w:kern w:val="2"/>
      <w:sz w:val="21"/>
      <w:szCs w:val="24"/>
    </w:rPr>
  </w:style>
  <w:style w:type="character" w:customStyle="1" w:styleId="58">
    <w:name w:val="文档结构图 字符"/>
    <w:link w:val="10"/>
    <w:autoRedefine/>
    <w:qFormat/>
    <w:uiPriority w:val="0"/>
    <w:rPr>
      <w:kern w:val="2"/>
      <w:sz w:val="21"/>
      <w:szCs w:val="24"/>
      <w:shd w:val="clear" w:color="auto" w:fill="000080"/>
    </w:rPr>
  </w:style>
  <w:style w:type="character" w:customStyle="1" w:styleId="59">
    <w:name w:val="批注文字 字符"/>
    <w:link w:val="11"/>
    <w:autoRedefine/>
    <w:qFormat/>
    <w:locked/>
    <w:uiPriority w:val="0"/>
    <w:rPr>
      <w:rFonts w:ascii="Times New Roman" w:hAnsi="Times New Roman" w:eastAsia="宋体"/>
      <w:sz w:val="24"/>
    </w:rPr>
  </w:style>
  <w:style w:type="character" w:customStyle="1" w:styleId="60">
    <w:name w:val="正文文本 字符"/>
    <w:link w:val="12"/>
    <w:autoRedefine/>
    <w:qFormat/>
    <w:locked/>
    <w:uiPriority w:val="0"/>
    <w:rPr>
      <w:sz w:val="18"/>
    </w:rPr>
  </w:style>
  <w:style w:type="character" w:customStyle="1" w:styleId="61">
    <w:name w:val="正文文本缩进 字符"/>
    <w:link w:val="13"/>
    <w:autoRedefine/>
    <w:qFormat/>
    <w:locked/>
    <w:uiPriority w:val="0"/>
    <w:rPr>
      <w:rFonts w:ascii="Times New Roman" w:hAnsi="Times New Roman" w:eastAsia="宋体"/>
      <w:sz w:val="24"/>
    </w:rPr>
  </w:style>
  <w:style w:type="character" w:customStyle="1" w:styleId="62">
    <w:name w:val="纯文本 字符1"/>
    <w:link w:val="19"/>
    <w:autoRedefine/>
    <w:qFormat/>
    <w:uiPriority w:val="0"/>
    <w:rPr>
      <w:rFonts w:ascii="宋体" w:hAnsi="Courier New" w:cs="Courier New"/>
      <w:kern w:val="2"/>
      <w:sz w:val="21"/>
      <w:szCs w:val="21"/>
    </w:rPr>
  </w:style>
  <w:style w:type="character" w:customStyle="1" w:styleId="63">
    <w:name w:val="日期 字符1"/>
    <w:link w:val="20"/>
    <w:autoRedefine/>
    <w:qFormat/>
    <w:locked/>
    <w:uiPriority w:val="0"/>
    <w:rPr>
      <w:rFonts w:ascii="Times New Roman" w:hAnsi="Times New Roman" w:eastAsia="宋体"/>
      <w:sz w:val="24"/>
    </w:rPr>
  </w:style>
  <w:style w:type="character" w:customStyle="1" w:styleId="64">
    <w:name w:val="正文文本缩进 2 字符"/>
    <w:link w:val="21"/>
    <w:autoRedefine/>
    <w:qFormat/>
    <w:uiPriority w:val="0"/>
    <w:rPr>
      <w:rFonts w:ascii="宋体" w:hAnsi="宋体"/>
      <w:bCs/>
      <w:kern w:val="2"/>
      <w:sz w:val="21"/>
      <w:szCs w:val="28"/>
    </w:rPr>
  </w:style>
  <w:style w:type="character" w:customStyle="1" w:styleId="65">
    <w:name w:val="批注框文本 字符"/>
    <w:link w:val="22"/>
    <w:autoRedefine/>
    <w:semiHidden/>
    <w:qFormat/>
    <w:locked/>
    <w:uiPriority w:val="0"/>
    <w:rPr>
      <w:rFonts w:ascii="Times New Roman" w:hAnsi="Times New Roman" w:eastAsia="宋体"/>
      <w:sz w:val="18"/>
    </w:rPr>
  </w:style>
  <w:style w:type="character" w:customStyle="1" w:styleId="66">
    <w:name w:val="页脚 字符1"/>
    <w:link w:val="23"/>
    <w:autoRedefine/>
    <w:qFormat/>
    <w:locked/>
    <w:uiPriority w:val="99"/>
    <w:rPr>
      <w:sz w:val="18"/>
    </w:rPr>
  </w:style>
  <w:style w:type="character" w:customStyle="1" w:styleId="67">
    <w:name w:val="页眉 字符"/>
    <w:link w:val="24"/>
    <w:autoRedefine/>
    <w:qFormat/>
    <w:locked/>
    <w:uiPriority w:val="0"/>
    <w:rPr>
      <w:sz w:val="18"/>
    </w:rPr>
  </w:style>
  <w:style w:type="character" w:customStyle="1" w:styleId="68">
    <w:name w:val="正文文本缩进 3 字符"/>
    <w:link w:val="30"/>
    <w:autoRedefine/>
    <w:qFormat/>
    <w:uiPriority w:val="0"/>
    <w:rPr>
      <w:kern w:val="2"/>
      <w:sz w:val="16"/>
      <w:szCs w:val="16"/>
    </w:rPr>
  </w:style>
  <w:style w:type="character" w:customStyle="1" w:styleId="69">
    <w:name w:val="正文文本 2 字符1"/>
    <w:link w:val="32"/>
    <w:autoRedefine/>
    <w:qFormat/>
    <w:uiPriority w:val="0"/>
    <w:rPr>
      <w:kern w:val="2"/>
      <w:sz w:val="21"/>
    </w:rPr>
  </w:style>
  <w:style w:type="character" w:customStyle="1" w:styleId="70">
    <w:name w:val="HTML 预设格式 字符"/>
    <w:link w:val="33"/>
    <w:autoRedefine/>
    <w:qFormat/>
    <w:uiPriority w:val="0"/>
    <w:rPr>
      <w:rFonts w:ascii="宋体" w:hAnsi="宋体" w:cs="宋体"/>
      <w:sz w:val="24"/>
      <w:szCs w:val="24"/>
    </w:rPr>
  </w:style>
  <w:style w:type="character" w:customStyle="1" w:styleId="71">
    <w:name w:val="普通(网站) 字符"/>
    <w:link w:val="34"/>
    <w:autoRedefine/>
    <w:qFormat/>
    <w:locked/>
    <w:uiPriority w:val="0"/>
    <w:rPr>
      <w:rFonts w:ascii="宋体" w:hAnsi="宋体" w:eastAsia="宋体"/>
      <w:sz w:val="24"/>
    </w:rPr>
  </w:style>
  <w:style w:type="character" w:customStyle="1" w:styleId="72">
    <w:name w:val="标题 字符1"/>
    <w:link w:val="36"/>
    <w:autoRedefine/>
    <w:qFormat/>
    <w:uiPriority w:val="0"/>
    <w:rPr>
      <w:rFonts w:ascii="Cambria" w:hAnsi="Cambria"/>
      <w:b/>
      <w:bCs/>
      <w:kern w:val="2"/>
      <w:sz w:val="32"/>
      <w:szCs w:val="32"/>
    </w:rPr>
  </w:style>
  <w:style w:type="character" w:customStyle="1" w:styleId="73">
    <w:name w:val="批注主题 字符"/>
    <w:link w:val="37"/>
    <w:autoRedefine/>
    <w:semiHidden/>
    <w:qFormat/>
    <w:locked/>
    <w:uiPriority w:val="0"/>
    <w:rPr>
      <w:rFonts w:ascii="Times New Roman" w:hAnsi="Times New Roman" w:eastAsia="宋体"/>
      <w:b/>
      <w:kern w:val="2"/>
      <w:sz w:val="24"/>
    </w:rPr>
  </w:style>
  <w:style w:type="character" w:customStyle="1" w:styleId="74">
    <w:name w:val="正文文本首行缩进 字符"/>
    <w:link w:val="38"/>
    <w:autoRedefine/>
    <w:qFormat/>
    <w:uiPriority w:val="0"/>
    <w:rPr>
      <w:kern w:val="2"/>
      <w:sz w:val="21"/>
      <w:szCs w:val="24"/>
    </w:rPr>
  </w:style>
  <w:style w:type="character" w:customStyle="1" w:styleId="75">
    <w:name w:val="正文文本首行缩进 2 字符"/>
    <w:link w:val="39"/>
    <w:autoRedefine/>
    <w:qFormat/>
    <w:uiPriority w:val="0"/>
    <w:rPr>
      <w:kern w:val="2"/>
      <w:sz w:val="21"/>
      <w:szCs w:val="24"/>
    </w:rPr>
  </w:style>
  <w:style w:type="character" w:customStyle="1" w:styleId="76">
    <w:name w:val="页脚 字符"/>
    <w:autoRedefine/>
    <w:qFormat/>
    <w:uiPriority w:val="99"/>
  </w:style>
  <w:style w:type="character" w:customStyle="1" w:styleId="77">
    <w:name w:val="正文文本 字符1"/>
    <w:autoRedefine/>
    <w:semiHidden/>
    <w:qFormat/>
    <w:uiPriority w:val="0"/>
    <w:rPr>
      <w:rFonts w:ascii="Times New Roman" w:hAnsi="Times New Roman" w:eastAsia="宋体"/>
      <w:sz w:val="24"/>
    </w:rPr>
  </w:style>
  <w:style w:type="character" w:customStyle="1" w:styleId="78">
    <w:name w:val="表格 Char"/>
    <w:link w:val="79"/>
    <w:autoRedefine/>
    <w:qFormat/>
    <w:locked/>
    <w:uiPriority w:val="99"/>
    <w:rPr>
      <w:rFonts w:ascii="宋体"/>
      <w:sz w:val="21"/>
    </w:rPr>
  </w:style>
  <w:style w:type="paragraph" w:customStyle="1" w:styleId="79">
    <w:name w:val="表格"/>
    <w:basedOn w:val="29"/>
    <w:next w:val="1"/>
    <w:link w:val="78"/>
    <w:autoRedefine/>
    <w:qFormat/>
    <w:uiPriority w:val="99"/>
    <w:pPr>
      <w:adjustRightInd w:val="0"/>
      <w:snapToGrid w:val="0"/>
      <w:spacing w:beforeLines="10" w:afterLines="10" w:line="259" w:lineRule="auto"/>
    </w:pPr>
    <w:rPr>
      <w:rFonts w:ascii="宋体"/>
      <w:kern w:val="0"/>
    </w:rPr>
  </w:style>
  <w:style w:type="character" w:customStyle="1" w:styleId="80">
    <w:name w:val="日期 字符"/>
    <w:autoRedefine/>
    <w:qFormat/>
    <w:uiPriority w:val="0"/>
    <w:rPr>
      <w:rFonts w:ascii="Times New Roman" w:hAnsi="Times New Roman" w:eastAsia="宋体"/>
      <w:sz w:val="24"/>
    </w:rPr>
  </w:style>
  <w:style w:type="character" w:customStyle="1" w:styleId="81">
    <w:name w:val="批注文字 字符1"/>
    <w:autoRedefine/>
    <w:qFormat/>
    <w:uiPriority w:val="0"/>
    <w:rPr>
      <w:rFonts w:ascii="Times New Roman" w:hAnsi="Times New Roman" w:eastAsia="宋体"/>
      <w:sz w:val="24"/>
    </w:rPr>
  </w:style>
  <w:style w:type="paragraph" w:customStyle="1" w:styleId="82">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83">
    <w:name w:val="普通(网站)2"/>
    <w:basedOn w:val="1"/>
    <w:autoRedefine/>
    <w:qFormat/>
    <w:uiPriority w:val="0"/>
    <w:pPr>
      <w:widowControl/>
      <w:spacing w:before="100" w:beforeAutospacing="1" w:after="100" w:afterAutospacing="1"/>
      <w:jc w:val="left"/>
    </w:pPr>
    <w:rPr>
      <w:rFonts w:ascii="宋体" w:hAnsi="宋体"/>
      <w:sz w:val="24"/>
      <w:szCs w:val="20"/>
    </w:rPr>
  </w:style>
  <w:style w:type="character" w:customStyle="1" w:styleId="84">
    <w:name w:val="纯文本 字符"/>
    <w:autoRedefine/>
    <w:qFormat/>
    <w:uiPriority w:val="0"/>
    <w:rPr>
      <w:rFonts w:ascii="宋体" w:hAnsi="Courier New" w:cs="Courier New"/>
      <w:kern w:val="2"/>
      <w:sz w:val="21"/>
      <w:szCs w:val="21"/>
    </w:rPr>
  </w:style>
  <w:style w:type="paragraph" w:customStyle="1" w:styleId="85">
    <w:name w:val="WPS Plain"/>
    <w:autoRedefine/>
    <w:qFormat/>
    <w:uiPriority w:val="0"/>
    <w:rPr>
      <w:rFonts w:ascii="Times New Roman" w:hAnsi="Times New Roman" w:eastAsia="宋体" w:cs="Times New Roman"/>
      <w:lang w:val="en-US" w:eastAsia="zh-CN" w:bidi="ar-SA"/>
    </w:rPr>
  </w:style>
  <w:style w:type="character" w:customStyle="1" w:styleId="86">
    <w:name w:val="样式1 Char"/>
    <w:link w:val="87"/>
    <w:autoRedefine/>
    <w:qFormat/>
    <w:uiPriority w:val="0"/>
    <w:rPr>
      <w:rFonts w:ascii="宋体" w:hAnsi="宋体"/>
      <w:bCs/>
      <w:kern w:val="2"/>
      <w:sz w:val="24"/>
      <w:szCs w:val="24"/>
    </w:rPr>
  </w:style>
  <w:style w:type="paragraph" w:customStyle="1" w:styleId="87">
    <w:name w:val="样式1"/>
    <w:basedOn w:val="1"/>
    <w:link w:val="86"/>
    <w:autoRedefine/>
    <w:qFormat/>
    <w:uiPriority w:val="0"/>
    <w:pPr>
      <w:adjustRightInd w:val="0"/>
      <w:snapToGrid w:val="0"/>
    </w:pPr>
    <w:rPr>
      <w:rFonts w:ascii="宋体" w:hAnsi="宋体"/>
      <w:bCs/>
      <w:sz w:val="24"/>
    </w:rPr>
  </w:style>
  <w:style w:type="character" w:customStyle="1" w:styleId="88">
    <w:name w:val="正文文本首行缩进 2 字符1"/>
    <w:autoRedefine/>
    <w:qFormat/>
    <w:uiPriority w:val="0"/>
    <w:rPr>
      <w:rFonts w:ascii="Times New Roman" w:hAnsi="Times New Roman" w:eastAsia="宋体"/>
      <w:kern w:val="2"/>
      <w:sz w:val="21"/>
      <w:szCs w:val="24"/>
    </w:rPr>
  </w:style>
  <w:style w:type="character" w:customStyle="1" w:styleId="89">
    <w:name w:val="报告书正文 Char"/>
    <w:link w:val="90"/>
    <w:autoRedefine/>
    <w:qFormat/>
    <w:uiPriority w:val="0"/>
    <w:rPr>
      <w:sz w:val="24"/>
    </w:rPr>
  </w:style>
  <w:style w:type="paragraph" w:customStyle="1" w:styleId="90">
    <w:name w:val="报告书正文"/>
    <w:basedOn w:val="1"/>
    <w:link w:val="89"/>
    <w:autoRedefine/>
    <w:qFormat/>
    <w:uiPriority w:val="0"/>
    <w:pPr>
      <w:adjustRightInd w:val="0"/>
      <w:snapToGrid w:val="0"/>
      <w:spacing w:line="360" w:lineRule="auto"/>
      <w:ind w:firstLine="425"/>
      <w:textAlignment w:val="baseline"/>
    </w:pPr>
    <w:rPr>
      <w:kern w:val="0"/>
      <w:sz w:val="24"/>
      <w:szCs w:val="20"/>
    </w:rPr>
  </w:style>
  <w:style w:type="character" w:customStyle="1" w:styleId="91">
    <w:name w:val="font01"/>
    <w:autoRedefine/>
    <w:qFormat/>
    <w:uiPriority w:val="0"/>
    <w:rPr>
      <w:rFonts w:hint="eastAsia" w:ascii="宋体" w:hAnsi="宋体" w:eastAsia="宋体" w:cs="宋体"/>
      <w:color w:val="000000"/>
      <w:sz w:val="24"/>
      <w:szCs w:val="24"/>
      <w:u w:val="none"/>
    </w:rPr>
  </w:style>
  <w:style w:type="character" w:customStyle="1" w:styleId="92">
    <w:name w:val="1正文zzzzzzzz Char"/>
    <w:link w:val="93"/>
    <w:autoRedefine/>
    <w:qFormat/>
    <w:uiPriority w:val="0"/>
    <w:rPr>
      <w:rFonts w:cs="宋体"/>
      <w:kern w:val="2"/>
      <w:sz w:val="24"/>
    </w:rPr>
  </w:style>
  <w:style w:type="paragraph" w:customStyle="1" w:styleId="93">
    <w:name w:val="1正文zzzzzzzz"/>
    <w:basedOn w:val="1"/>
    <w:link w:val="92"/>
    <w:autoRedefine/>
    <w:qFormat/>
    <w:uiPriority w:val="0"/>
    <w:pPr>
      <w:spacing w:line="440" w:lineRule="exact"/>
      <w:ind w:firstLine="200" w:firstLineChars="200"/>
    </w:pPr>
    <w:rPr>
      <w:rFonts w:cs="宋体"/>
      <w:sz w:val="24"/>
      <w:szCs w:val="20"/>
    </w:rPr>
  </w:style>
  <w:style w:type="character" w:customStyle="1" w:styleId="94">
    <w:name w:val="split-word"/>
    <w:autoRedefine/>
    <w:qFormat/>
    <w:uiPriority w:val="0"/>
  </w:style>
  <w:style w:type="character" w:customStyle="1" w:styleId="95">
    <w:name w:val="count4"/>
    <w:autoRedefine/>
    <w:qFormat/>
    <w:uiPriority w:val="0"/>
  </w:style>
  <w:style w:type="character" w:customStyle="1" w:styleId="96">
    <w:name w:val="表内容 Char"/>
    <w:autoRedefine/>
    <w:qFormat/>
    <w:uiPriority w:val="0"/>
    <w:rPr>
      <w:rFonts w:eastAsia="宋体"/>
      <w:snapToGrid w:val="0"/>
      <w:sz w:val="21"/>
      <w:szCs w:val="21"/>
      <w:lang w:val="en-US" w:eastAsia="zh-CN" w:bidi="ar-SA"/>
    </w:rPr>
  </w:style>
  <w:style w:type="character" w:customStyle="1" w:styleId="97">
    <w:name w:val="words-outer-wrap"/>
    <w:autoRedefine/>
    <w:qFormat/>
    <w:uiPriority w:val="0"/>
  </w:style>
  <w:style w:type="character" w:customStyle="1" w:styleId="98">
    <w:name w:val="表格-标题 Char Char"/>
    <w:link w:val="99"/>
    <w:autoRedefine/>
    <w:qFormat/>
    <w:uiPriority w:val="0"/>
    <w:rPr>
      <w:rFonts w:ascii="宋体"/>
      <w:b/>
      <w:kern w:val="2"/>
      <w:sz w:val="21"/>
      <w:szCs w:val="21"/>
    </w:rPr>
  </w:style>
  <w:style w:type="paragraph" w:customStyle="1" w:styleId="99">
    <w:name w:val="表格-标题"/>
    <w:basedOn w:val="1"/>
    <w:link w:val="98"/>
    <w:autoRedefine/>
    <w:qFormat/>
    <w:uiPriority w:val="0"/>
    <w:pPr>
      <w:spacing w:line="320" w:lineRule="exact"/>
      <w:jc w:val="center"/>
    </w:pPr>
    <w:rPr>
      <w:rFonts w:ascii="宋体"/>
      <w:b/>
      <w:szCs w:val="21"/>
    </w:rPr>
  </w:style>
  <w:style w:type="character" w:customStyle="1" w:styleId="100">
    <w:name w:val="正文文本缩进 Char1"/>
    <w:autoRedefine/>
    <w:qFormat/>
    <w:uiPriority w:val="0"/>
    <w:rPr>
      <w:rFonts w:ascii="宋体"/>
      <w:kern w:val="2"/>
      <w:sz w:val="24"/>
    </w:rPr>
  </w:style>
  <w:style w:type="character" w:customStyle="1" w:styleId="101">
    <w:name w:val="普通文字 Char Char Char2"/>
    <w:autoRedefine/>
    <w:qFormat/>
    <w:uiPriority w:val="0"/>
    <w:rPr>
      <w:rFonts w:ascii="宋体" w:hAnsi="Courier New" w:eastAsia="宋体" w:cs="Courier New"/>
      <w:kern w:val="2"/>
      <w:sz w:val="28"/>
      <w:szCs w:val="21"/>
      <w:lang w:val="en-US" w:eastAsia="zh-CN" w:bidi="ar-SA"/>
    </w:rPr>
  </w:style>
  <w:style w:type="character" w:customStyle="1" w:styleId="102">
    <w:name w:val="标题 3 Char"/>
    <w:autoRedefine/>
    <w:qFormat/>
    <w:uiPriority w:val="0"/>
    <w:rPr>
      <w:b/>
      <w:sz w:val="32"/>
      <w:lang w:val="en-US" w:eastAsia="zh-CN"/>
    </w:rPr>
  </w:style>
  <w:style w:type="character" w:customStyle="1" w:styleId="103">
    <w:name w:val="表格文字 Char"/>
    <w:link w:val="51"/>
    <w:autoRedefine/>
    <w:qFormat/>
    <w:uiPriority w:val="0"/>
    <w:rPr>
      <w:rFonts w:ascii="Arial" w:hAnsi="Arial"/>
      <w:kern w:val="2"/>
      <w:sz w:val="21"/>
    </w:rPr>
  </w:style>
  <w:style w:type="character" w:customStyle="1" w:styleId="104">
    <w:name w:val="正文文本 2 字符"/>
    <w:autoRedefine/>
    <w:qFormat/>
    <w:uiPriority w:val="0"/>
    <w:rPr>
      <w:kern w:val="2"/>
      <w:sz w:val="21"/>
      <w:szCs w:val="24"/>
    </w:rPr>
  </w:style>
  <w:style w:type="character" w:customStyle="1" w:styleId="105">
    <w:name w:val="表内容 Char Char"/>
    <w:link w:val="106"/>
    <w:autoRedefine/>
    <w:qFormat/>
    <w:uiPriority w:val="0"/>
    <w:rPr>
      <w:snapToGrid/>
      <w:sz w:val="21"/>
      <w:szCs w:val="21"/>
    </w:rPr>
  </w:style>
  <w:style w:type="paragraph" w:customStyle="1" w:styleId="106">
    <w:name w:val="表内容"/>
    <w:basedOn w:val="1"/>
    <w:next w:val="107"/>
    <w:link w:val="105"/>
    <w:autoRedefine/>
    <w:qFormat/>
    <w:uiPriority w:val="0"/>
    <w:pPr>
      <w:adjustRightInd w:val="0"/>
      <w:snapToGrid w:val="0"/>
      <w:jc w:val="center"/>
    </w:pPr>
    <w:rPr>
      <w:snapToGrid w:val="0"/>
      <w:kern w:val="0"/>
      <w:szCs w:val="21"/>
    </w:rPr>
  </w:style>
  <w:style w:type="paragraph" w:customStyle="1" w:styleId="107">
    <w:name w:val="Default"/>
    <w:next w:val="108"/>
    <w:autoRedefine/>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08">
    <w:name w:val="样式35"/>
    <w:basedOn w:val="1"/>
    <w:next w:val="1"/>
    <w:autoRedefine/>
    <w:qFormat/>
    <w:uiPriority w:val="0"/>
    <w:pPr>
      <w:spacing w:line="312" w:lineRule="auto"/>
      <w:ind w:firstLine="567"/>
    </w:pPr>
    <w:rPr>
      <w:rFonts w:ascii="宋体"/>
      <w:sz w:val="28"/>
    </w:rPr>
  </w:style>
  <w:style w:type="character" w:customStyle="1" w:styleId="109">
    <w:name w:val="表格 Char Char"/>
    <w:autoRedefine/>
    <w:qFormat/>
    <w:uiPriority w:val="99"/>
    <w:rPr>
      <w:sz w:val="21"/>
    </w:rPr>
  </w:style>
  <w:style w:type="character" w:customStyle="1" w:styleId="110">
    <w:name w:val="正文 首行缩进:  2 字符 Char"/>
    <w:link w:val="111"/>
    <w:autoRedefine/>
    <w:qFormat/>
    <w:locked/>
    <w:uiPriority w:val="0"/>
    <w:rPr>
      <w:rFonts w:ascii="宋体" w:hAnsi="宋体"/>
      <w:sz w:val="24"/>
    </w:rPr>
  </w:style>
  <w:style w:type="paragraph" w:customStyle="1" w:styleId="111">
    <w:name w:val="正文 首行缩进:  2 字符"/>
    <w:basedOn w:val="1"/>
    <w:link w:val="110"/>
    <w:autoRedefine/>
    <w:qFormat/>
    <w:uiPriority w:val="0"/>
    <w:pPr>
      <w:snapToGrid w:val="0"/>
      <w:spacing w:line="500" w:lineRule="exact"/>
      <w:ind w:firstLine="480" w:firstLineChars="200"/>
      <w:jc w:val="left"/>
    </w:pPr>
    <w:rPr>
      <w:rFonts w:ascii="宋体" w:hAnsi="宋体"/>
      <w:kern w:val="0"/>
      <w:sz w:val="24"/>
      <w:szCs w:val="20"/>
    </w:rPr>
  </w:style>
  <w:style w:type="character" w:customStyle="1" w:styleId="112">
    <w:name w:val="样式 标题 3 + 宋体 四号 Char Char"/>
    <w:link w:val="113"/>
    <w:autoRedefine/>
    <w:qFormat/>
    <w:uiPriority w:val="0"/>
    <w:rPr>
      <w:rFonts w:ascii="宋体" w:hAnsi="宋体"/>
      <w:b/>
      <w:bCs/>
      <w:kern w:val="2"/>
      <w:sz w:val="28"/>
      <w:szCs w:val="28"/>
    </w:rPr>
  </w:style>
  <w:style w:type="paragraph" w:customStyle="1" w:styleId="113">
    <w:name w:val="样式 标题 3 + 宋体 四号 Char"/>
    <w:basedOn w:val="6"/>
    <w:link w:val="112"/>
    <w:autoRedefine/>
    <w:qFormat/>
    <w:uiPriority w:val="0"/>
    <w:pPr>
      <w:spacing w:before="80" w:beforeLines="80" w:after="40" w:afterLines="40" w:line="360" w:lineRule="auto"/>
      <w:ind w:left="200" w:leftChars="200"/>
    </w:pPr>
    <w:rPr>
      <w:rFonts w:ascii="宋体" w:hAnsi="宋体"/>
      <w:sz w:val="28"/>
      <w:szCs w:val="28"/>
    </w:rPr>
  </w:style>
  <w:style w:type="character" w:customStyle="1" w:styleId="114">
    <w:name w:val="报告表 Char"/>
    <w:link w:val="115"/>
    <w:autoRedefine/>
    <w:qFormat/>
    <w:uiPriority w:val="0"/>
    <w:rPr>
      <w:rFonts w:ascii="宋体" w:cs="宋体"/>
      <w:kern w:val="2"/>
      <w:sz w:val="24"/>
      <w:szCs w:val="24"/>
    </w:rPr>
  </w:style>
  <w:style w:type="paragraph" w:customStyle="1" w:styleId="115">
    <w:name w:val="报告表"/>
    <w:basedOn w:val="1"/>
    <w:link w:val="114"/>
    <w:autoRedefine/>
    <w:qFormat/>
    <w:uiPriority w:val="0"/>
    <w:pPr>
      <w:spacing w:line="500" w:lineRule="exact"/>
      <w:ind w:firstLine="480" w:firstLineChars="200"/>
    </w:pPr>
    <w:rPr>
      <w:rFonts w:ascii="宋体" w:cs="宋体"/>
      <w:sz w:val="24"/>
    </w:rPr>
  </w:style>
  <w:style w:type="character" w:customStyle="1" w:styleId="116">
    <w:name w:val="我的3级标题 Char"/>
    <w:link w:val="117"/>
    <w:autoRedefine/>
    <w:qFormat/>
    <w:uiPriority w:val="0"/>
    <w:rPr>
      <w:b/>
      <w:color w:val="000000"/>
      <w:kern w:val="2"/>
      <w:sz w:val="28"/>
      <w:szCs w:val="28"/>
    </w:rPr>
  </w:style>
  <w:style w:type="paragraph" w:customStyle="1" w:styleId="117">
    <w:name w:val="我的3级标题"/>
    <w:basedOn w:val="1"/>
    <w:link w:val="116"/>
    <w:autoRedefine/>
    <w:qFormat/>
    <w:uiPriority w:val="0"/>
    <w:pPr>
      <w:spacing w:line="520" w:lineRule="exact"/>
      <w:outlineLvl w:val="2"/>
    </w:pPr>
    <w:rPr>
      <w:b/>
      <w:color w:val="000000"/>
      <w:sz w:val="28"/>
      <w:szCs w:val="28"/>
    </w:rPr>
  </w:style>
  <w:style w:type="character" w:customStyle="1" w:styleId="118">
    <w:name w:val="标题 4 Char"/>
    <w:autoRedefine/>
    <w:qFormat/>
    <w:uiPriority w:val="0"/>
    <w:rPr>
      <w:rFonts w:ascii="Arial" w:hAnsi="Arial" w:eastAsia="黑体"/>
      <w:b/>
      <w:bCs/>
      <w:kern w:val="2"/>
      <w:sz w:val="28"/>
      <w:szCs w:val="28"/>
    </w:rPr>
  </w:style>
  <w:style w:type="character" w:customStyle="1" w:styleId="119">
    <w:name w:val="页眉 Char Char"/>
    <w:autoRedefine/>
    <w:qFormat/>
    <w:uiPriority w:val="0"/>
    <w:rPr>
      <w:rFonts w:eastAsia="宋体"/>
      <w:kern w:val="2"/>
      <w:sz w:val="18"/>
      <w:szCs w:val="18"/>
      <w:lang w:val="en-US" w:eastAsia="zh-CN" w:bidi="ar-SA"/>
    </w:rPr>
  </w:style>
  <w:style w:type="character" w:customStyle="1" w:styleId="120">
    <w:name w:val="博泵1 Char"/>
    <w:link w:val="121"/>
    <w:autoRedefine/>
    <w:qFormat/>
    <w:uiPriority w:val="0"/>
    <w:rPr>
      <w:rFonts w:hAnsi="宋体" w:cs="宋体"/>
      <w:color w:val="000000"/>
      <w:sz w:val="24"/>
    </w:rPr>
  </w:style>
  <w:style w:type="paragraph" w:customStyle="1" w:styleId="121">
    <w:name w:val="博泵1"/>
    <w:basedOn w:val="1"/>
    <w:link w:val="120"/>
    <w:autoRedefine/>
    <w:qFormat/>
    <w:uiPriority w:val="0"/>
    <w:pPr>
      <w:adjustRightInd w:val="0"/>
      <w:spacing w:line="480" w:lineRule="exact"/>
      <w:ind w:firstLine="200" w:firstLineChars="200"/>
      <w:jc w:val="left"/>
      <w:textAlignment w:val="baseline"/>
    </w:pPr>
    <w:rPr>
      <w:rFonts w:hAnsi="宋体" w:cs="宋体"/>
      <w:color w:val="000000"/>
      <w:kern w:val="0"/>
      <w:sz w:val="24"/>
      <w:szCs w:val="20"/>
    </w:rPr>
  </w:style>
  <w:style w:type="character" w:customStyle="1" w:styleId="122">
    <w:name w:val="正文文本 Char"/>
    <w:autoRedefine/>
    <w:qFormat/>
    <w:uiPriority w:val="0"/>
    <w:rPr>
      <w:kern w:val="2"/>
      <w:sz w:val="28"/>
    </w:rPr>
  </w:style>
  <w:style w:type="character" w:customStyle="1" w:styleId="123">
    <w:name w:val="表格正文 Char"/>
    <w:link w:val="124"/>
    <w:autoRedefine/>
    <w:qFormat/>
    <w:uiPriority w:val="0"/>
    <w:rPr>
      <w:kern w:val="2"/>
      <w:sz w:val="21"/>
      <w:szCs w:val="21"/>
    </w:rPr>
  </w:style>
  <w:style w:type="paragraph" w:customStyle="1" w:styleId="124">
    <w:name w:val="表格正文"/>
    <w:basedOn w:val="1"/>
    <w:link w:val="123"/>
    <w:autoRedefine/>
    <w:qFormat/>
    <w:uiPriority w:val="0"/>
    <w:pPr>
      <w:jc w:val="center"/>
    </w:pPr>
    <w:rPr>
      <w:szCs w:val="21"/>
    </w:rPr>
  </w:style>
  <w:style w:type="character" w:customStyle="1" w:styleId="125">
    <w:name w:val="ask-title2"/>
    <w:autoRedefine/>
    <w:qFormat/>
    <w:uiPriority w:val="0"/>
  </w:style>
  <w:style w:type="character" w:customStyle="1" w:styleId="126">
    <w:name w:val="description"/>
    <w:autoRedefine/>
    <w:qFormat/>
    <w:uiPriority w:val="0"/>
  </w:style>
  <w:style w:type="character" w:customStyle="1" w:styleId="127">
    <w:name w:val="报告正文 Char"/>
    <w:link w:val="128"/>
    <w:autoRedefine/>
    <w:qFormat/>
    <w:uiPriority w:val="0"/>
    <w:rPr>
      <w:bCs/>
      <w:kern w:val="44"/>
      <w:sz w:val="24"/>
      <w:szCs w:val="44"/>
    </w:rPr>
  </w:style>
  <w:style w:type="paragraph" w:customStyle="1" w:styleId="128">
    <w:name w:val="报告正文"/>
    <w:link w:val="127"/>
    <w:autoRedefine/>
    <w:qFormat/>
    <w:uiPriority w:val="0"/>
    <w:pPr>
      <w:spacing w:line="360" w:lineRule="auto"/>
      <w:ind w:firstLine="200" w:firstLineChars="200"/>
    </w:pPr>
    <w:rPr>
      <w:rFonts w:ascii="Times New Roman" w:hAnsi="Times New Roman" w:eastAsia="宋体" w:cs="Times New Roman"/>
      <w:bCs/>
      <w:kern w:val="44"/>
      <w:sz w:val="24"/>
      <w:szCs w:val="44"/>
      <w:lang w:val="en-US" w:eastAsia="zh-CN" w:bidi="ar-SA"/>
    </w:rPr>
  </w:style>
  <w:style w:type="character" w:customStyle="1" w:styleId="129">
    <w:name w:val="Char Char1"/>
    <w:autoRedefine/>
    <w:qFormat/>
    <w:uiPriority w:val="0"/>
    <w:rPr>
      <w:rFonts w:eastAsia="宋体"/>
      <w:b/>
      <w:bCs/>
      <w:kern w:val="2"/>
      <w:sz w:val="32"/>
      <w:szCs w:val="32"/>
      <w:lang w:val="en-US" w:eastAsia="zh-CN" w:bidi="ar-SA"/>
    </w:rPr>
  </w:style>
  <w:style w:type="character" w:customStyle="1" w:styleId="130">
    <w:name w:val="正文文本缩进 字符1"/>
    <w:autoRedefine/>
    <w:qFormat/>
    <w:uiPriority w:val="0"/>
    <w:rPr>
      <w:kern w:val="2"/>
      <w:sz w:val="21"/>
      <w:szCs w:val="24"/>
    </w:rPr>
  </w:style>
  <w:style w:type="character" w:customStyle="1" w:styleId="131">
    <w:name w:val="表格内文字 Char"/>
    <w:link w:val="132"/>
    <w:autoRedefine/>
    <w:qFormat/>
    <w:uiPriority w:val="0"/>
    <w:rPr>
      <w:rFonts w:eastAsia="仿宋_GB2312"/>
      <w:kern w:val="2"/>
      <w:sz w:val="24"/>
      <w:szCs w:val="24"/>
    </w:rPr>
  </w:style>
  <w:style w:type="paragraph" w:customStyle="1" w:styleId="132">
    <w:name w:val="表格内文字"/>
    <w:basedOn w:val="1"/>
    <w:link w:val="131"/>
    <w:autoRedefine/>
    <w:qFormat/>
    <w:uiPriority w:val="0"/>
    <w:pPr>
      <w:tabs>
        <w:tab w:val="left" w:pos="0"/>
      </w:tabs>
      <w:adjustRightInd w:val="0"/>
      <w:snapToGrid w:val="0"/>
      <w:jc w:val="center"/>
    </w:pPr>
    <w:rPr>
      <w:rFonts w:eastAsia="仿宋_GB2312"/>
      <w:sz w:val="24"/>
    </w:rPr>
  </w:style>
  <w:style w:type="character" w:customStyle="1" w:styleId="133">
    <w:name w:val="表格内文字 Char Char"/>
    <w:autoRedefine/>
    <w:qFormat/>
    <w:uiPriority w:val="0"/>
    <w:rPr>
      <w:rFonts w:eastAsia="仿宋_GB2312"/>
      <w:kern w:val="2"/>
      <w:sz w:val="24"/>
      <w:szCs w:val="24"/>
      <w:lang w:val="en-US" w:eastAsia="zh-CN" w:bidi="ar-SA"/>
    </w:rPr>
  </w:style>
  <w:style w:type="character" w:customStyle="1" w:styleId="134">
    <w:name w:val="样式 宋体 小四 加宽量  0.2 磅"/>
    <w:autoRedefine/>
    <w:qFormat/>
    <w:uiPriority w:val="0"/>
    <w:rPr>
      <w:rFonts w:ascii="Times New Roman" w:hAnsi="Times New Roman" w:eastAsia="宋体"/>
      <w:spacing w:val="0"/>
      <w:w w:val="100"/>
      <w:position w:val="0"/>
      <w:sz w:val="24"/>
      <w:u w:val="none"/>
    </w:rPr>
  </w:style>
  <w:style w:type="character" w:customStyle="1" w:styleId="135">
    <w:name w:val="纯文本 Char"/>
    <w:autoRedefine/>
    <w:qFormat/>
    <w:uiPriority w:val="0"/>
    <w:rPr>
      <w:rFonts w:ascii="宋体" w:hAnsi="Courier New" w:eastAsia="宋体"/>
      <w:kern w:val="2"/>
      <w:sz w:val="21"/>
      <w:lang w:val="en-US" w:eastAsia="zh-CN" w:bidi="ar-SA"/>
    </w:rPr>
  </w:style>
  <w:style w:type="character" w:customStyle="1" w:styleId="136">
    <w:name w:val="正1 Char"/>
    <w:link w:val="137"/>
    <w:autoRedefine/>
    <w:qFormat/>
    <w:uiPriority w:val="0"/>
    <w:rPr>
      <w:rFonts w:eastAsia="楷体_GB2312"/>
      <w:kern w:val="2"/>
      <w:sz w:val="24"/>
      <w:szCs w:val="24"/>
    </w:rPr>
  </w:style>
  <w:style w:type="paragraph" w:customStyle="1" w:styleId="137">
    <w:name w:val="正1"/>
    <w:basedOn w:val="1"/>
    <w:link w:val="136"/>
    <w:autoRedefine/>
    <w:qFormat/>
    <w:uiPriority w:val="0"/>
    <w:pPr>
      <w:spacing w:line="360" w:lineRule="auto"/>
      <w:ind w:firstLine="200" w:firstLineChars="200"/>
      <w:jc w:val="left"/>
    </w:pPr>
    <w:rPr>
      <w:rFonts w:eastAsia="楷体_GB2312"/>
      <w:sz w:val="24"/>
    </w:rPr>
  </w:style>
  <w:style w:type="character" w:customStyle="1" w:styleId="138">
    <w:name w:val="标题1"/>
    <w:autoRedefine/>
    <w:qFormat/>
    <w:uiPriority w:val="0"/>
  </w:style>
  <w:style w:type="character" w:customStyle="1" w:styleId="139">
    <w:name w:val="样式 正文 首行缩进:  2 字符 + (中文) 楷体_GB2312 Char"/>
    <w:link w:val="140"/>
    <w:autoRedefine/>
    <w:qFormat/>
    <w:uiPriority w:val="0"/>
    <w:rPr>
      <w:rFonts w:eastAsia="楷体_GB2312" w:cs="宋体"/>
      <w:kern w:val="2"/>
      <w:sz w:val="24"/>
      <w:szCs w:val="24"/>
    </w:rPr>
  </w:style>
  <w:style w:type="paragraph" w:customStyle="1" w:styleId="140">
    <w:name w:val="样式 正文 首行缩进:  2 字符 + (中文) 楷体_GB2312"/>
    <w:basedOn w:val="1"/>
    <w:link w:val="139"/>
    <w:autoRedefine/>
    <w:qFormat/>
    <w:uiPriority w:val="0"/>
    <w:pPr>
      <w:adjustRightInd w:val="0"/>
      <w:snapToGrid w:val="0"/>
      <w:spacing w:line="500" w:lineRule="exact"/>
      <w:ind w:firstLine="200" w:firstLineChars="200"/>
    </w:pPr>
    <w:rPr>
      <w:rFonts w:eastAsia="楷体_GB2312" w:cs="宋体"/>
      <w:sz w:val="24"/>
    </w:rPr>
  </w:style>
  <w:style w:type="character" w:customStyle="1" w:styleId="141">
    <w:name w:val="正文文本缩进 3 Char Char"/>
    <w:autoRedefine/>
    <w:qFormat/>
    <w:uiPriority w:val="0"/>
    <w:rPr>
      <w:rFonts w:ascii="宋体" w:hAnsi="宋体" w:eastAsia="宋体"/>
      <w:b/>
      <w:bCs/>
      <w:kern w:val="2"/>
      <w:sz w:val="24"/>
      <w:lang w:val="en-US" w:eastAsia="zh-CN" w:bidi="ar-SA"/>
    </w:rPr>
  </w:style>
  <w:style w:type="character" w:customStyle="1" w:styleId="142">
    <w:name w:val="列表段落 字符"/>
    <w:link w:val="143"/>
    <w:autoRedefine/>
    <w:qFormat/>
    <w:uiPriority w:val="34"/>
    <w:rPr>
      <w:kern w:val="2"/>
      <w:sz w:val="21"/>
      <w:szCs w:val="24"/>
    </w:rPr>
  </w:style>
  <w:style w:type="paragraph" w:styleId="143">
    <w:name w:val="List Paragraph"/>
    <w:basedOn w:val="1"/>
    <w:link w:val="142"/>
    <w:autoRedefine/>
    <w:qFormat/>
    <w:uiPriority w:val="34"/>
    <w:pPr>
      <w:ind w:firstLine="420" w:firstLineChars="200"/>
    </w:pPr>
  </w:style>
  <w:style w:type="character" w:customStyle="1" w:styleId="144">
    <w:name w:val="正文内容 Char"/>
    <w:link w:val="145"/>
    <w:autoRedefine/>
    <w:qFormat/>
    <w:uiPriority w:val="0"/>
    <w:rPr>
      <w:rFonts w:cs="宋体"/>
      <w:spacing w:val="1"/>
      <w:sz w:val="24"/>
      <w:szCs w:val="24"/>
      <w:lang w:val="zh-CN"/>
    </w:rPr>
  </w:style>
  <w:style w:type="paragraph" w:customStyle="1" w:styleId="145">
    <w:name w:val="正文内容"/>
    <w:link w:val="144"/>
    <w:autoRedefine/>
    <w:qFormat/>
    <w:uiPriority w:val="0"/>
    <w:pPr>
      <w:snapToGrid w:val="0"/>
      <w:spacing w:line="480" w:lineRule="exact"/>
      <w:ind w:firstLine="451" w:firstLineChars="200"/>
      <w:jc w:val="both"/>
    </w:pPr>
    <w:rPr>
      <w:rFonts w:ascii="Times New Roman" w:hAnsi="Times New Roman" w:eastAsia="宋体" w:cs="宋体"/>
      <w:spacing w:val="1"/>
      <w:sz w:val="24"/>
      <w:szCs w:val="24"/>
      <w:lang w:val="zh-CN" w:eastAsia="zh-CN" w:bidi="ar-SA"/>
    </w:rPr>
  </w:style>
  <w:style w:type="character" w:customStyle="1" w:styleId="146">
    <w:name w:val="正文首行缩进 2 Char"/>
    <w:link w:val="147"/>
    <w:autoRedefine/>
    <w:qFormat/>
    <w:uiPriority w:val="0"/>
  </w:style>
  <w:style w:type="paragraph" w:customStyle="1" w:styleId="147">
    <w:name w:val="4"/>
    <w:basedOn w:val="13"/>
    <w:next w:val="39"/>
    <w:link w:val="146"/>
    <w:autoRedefine/>
    <w:qFormat/>
    <w:uiPriority w:val="0"/>
    <w:pPr>
      <w:ind w:firstLine="420" w:firstLineChars="200"/>
    </w:pPr>
    <w:rPr>
      <w:sz w:val="20"/>
    </w:rPr>
  </w:style>
  <w:style w:type="character" w:customStyle="1" w:styleId="148">
    <w:name w:val="style11"/>
    <w:autoRedefine/>
    <w:qFormat/>
    <w:uiPriority w:val="0"/>
    <w:rPr>
      <w:sz w:val="22"/>
      <w:szCs w:val="22"/>
    </w:rPr>
  </w:style>
  <w:style w:type="character" w:customStyle="1" w:styleId="149">
    <w:name w:val="Char Char4"/>
    <w:autoRedefine/>
    <w:qFormat/>
    <w:uiPriority w:val="0"/>
    <w:rPr>
      <w:rFonts w:ascii="宋体" w:hAnsi="Courier New" w:eastAsia="宋体"/>
      <w:kern w:val="2"/>
      <w:sz w:val="21"/>
      <w:lang w:val="en-US" w:eastAsia="zh-CN" w:bidi="ar-SA"/>
    </w:rPr>
  </w:style>
  <w:style w:type="character" w:customStyle="1" w:styleId="150">
    <w:name w:val="h12"/>
    <w:autoRedefine/>
    <w:qFormat/>
    <w:uiPriority w:val="0"/>
  </w:style>
  <w:style w:type="character" w:customStyle="1" w:styleId="151">
    <w:name w:val="Char Char3"/>
    <w:autoRedefine/>
    <w:qFormat/>
    <w:uiPriority w:val="0"/>
    <w:rPr>
      <w:rFonts w:eastAsia="宋体"/>
      <w:kern w:val="2"/>
      <w:sz w:val="28"/>
      <w:lang w:val="en-US" w:eastAsia="zh-CN"/>
    </w:rPr>
  </w:style>
  <w:style w:type="character" w:customStyle="1" w:styleId="152">
    <w:name w:val="apple-style-span"/>
    <w:autoRedefine/>
    <w:qFormat/>
    <w:uiPriority w:val="0"/>
  </w:style>
  <w:style w:type="character" w:customStyle="1" w:styleId="153">
    <w:name w:val="表格内容 Char"/>
    <w:link w:val="154"/>
    <w:autoRedefine/>
    <w:qFormat/>
    <w:uiPriority w:val="0"/>
    <w:rPr>
      <w:rFonts w:ascii="Arial" w:hAnsi="Arial" w:eastAsia="仿宋_GB2312"/>
      <w:sz w:val="24"/>
      <w:lang w:val="en-US" w:eastAsia="zh-CN"/>
    </w:rPr>
  </w:style>
  <w:style w:type="paragraph" w:customStyle="1" w:styleId="154">
    <w:name w:val="表格内容"/>
    <w:basedOn w:val="2"/>
    <w:next w:val="1"/>
    <w:link w:val="153"/>
    <w:autoRedefine/>
    <w:qFormat/>
    <w:uiPriority w:val="0"/>
    <w:pPr>
      <w:overflowPunct w:val="0"/>
      <w:adjustRightInd w:val="0"/>
      <w:spacing w:before="40" w:after="60" w:line="200" w:lineRule="atLeast"/>
      <w:textAlignment w:val="baseline"/>
    </w:pPr>
    <w:rPr>
      <w:rFonts w:ascii="Arial" w:hAnsi="Arial" w:eastAsia="仿宋_GB2312"/>
      <w:kern w:val="0"/>
      <w:sz w:val="24"/>
      <w:szCs w:val="20"/>
    </w:rPr>
  </w:style>
  <w:style w:type="character" w:customStyle="1" w:styleId="155">
    <w:name w:val="标题 字符"/>
    <w:autoRedefine/>
    <w:qFormat/>
    <w:uiPriority w:val="0"/>
    <w:rPr>
      <w:rFonts w:ascii="等线 Light" w:hAnsi="等线 Light" w:cs="Times New Roman"/>
      <w:b/>
      <w:bCs/>
      <w:kern w:val="2"/>
      <w:sz w:val="32"/>
      <w:szCs w:val="32"/>
    </w:rPr>
  </w:style>
  <w:style w:type="character" w:customStyle="1" w:styleId="156">
    <w:name w:val="表头 Char"/>
    <w:link w:val="157"/>
    <w:autoRedefine/>
    <w:qFormat/>
    <w:uiPriority w:val="0"/>
    <w:rPr>
      <w:b/>
      <w:sz w:val="21"/>
      <w:szCs w:val="21"/>
    </w:rPr>
  </w:style>
  <w:style w:type="paragraph" w:customStyle="1" w:styleId="157">
    <w:name w:val="表头"/>
    <w:basedOn w:val="1"/>
    <w:link w:val="156"/>
    <w:autoRedefine/>
    <w:qFormat/>
    <w:uiPriority w:val="0"/>
    <w:pPr>
      <w:spacing w:line="400" w:lineRule="exact"/>
      <w:jc w:val="center"/>
    </w:pPr>
    <w:rPr>
      <w:b/>
      <w:kern w:val="0"/>
      <w:szCs w:val="21"/>
    </w:rPr>
  </w:style>
  <w:style w:type="character" w:customStyle="1" w:styleId="158">
    <w:name w:val="font11"/>
    <w:autoRedefine/>
    <w:qFormat/>
    <w:uiPriority w:val="0"/>
    <w:rPr>
      <w:rFonts w:hint="eastAsia" w:ascii="宋体" w:hAnsi="宋体" w:eastAsia="宋体" w:cs="宋体"/>
      <w:color w:val="000000"/>
      <w:sz w:val="21"/>
      <w:szCs w:val="21"/>
      <w:u w:val="none"/>
    </w:rPr>
  </w:style>
  <w:style w:type="character" w:customStyle="1" w:styleId="159">
    <w:name w:val="正文2 Char"/>
    <w:autoRedefine/>
    <w:qFormat/>
    <w:uiPriority w:val="0"/>
    <w:rPr>
      <w:rFonts w:ascii="宋体" w:hAnsi="宋体" w:eastAsia="宋体"/>
      <w:kern w:val="2"/>
      <w:sz w:val="24"/>
      <w:szCs w:val="24"/>
      <w:lang w:val="en-US" w:eastAsia="zh-CN" w:bidi="ar-SA"/>
    </w:rPr>
  </w:style>
  <w:style w:type="character" w:customStyle="1" w:styleId="160">
    <w:name w:val="表格-居中 Char Char"/>
    <w:link w:val="161"/>
    <w:autoRedefine/>
    <w:qFormat/>
    <w:uiPriority w:val="0"/>
    <w:rPr>
      <w:rFonts w:ascii="宋体"/>
      <w:kern w:val="2"/>
      <w:sz w:val="21"/>
      <w:szCs w:val="21"/>
    </w:rPr>
  </w:style>
  <w:style w:type="paragraph" w:customStyle="1" w:styleId="161">
    <w:name w:val="表格-居中"/>
    <w:basedOn w:val="1"/>
    <w:link w:val="160"/>
    <w:autoRedefine/>
    <w:qFormat/>
    <w:uiPriority w:val="0"/>
    <w:pPr>
      <w:spacing w:line="320" w:lineRule="exact"/>
      <w:jc w:val="center"/>
    </w:pPr>
    <w:rPr>
      <w:rFonts w:ascii="宋体"/>
      <w:szCs w:val="21"/>
    </w:rPr>
  </w:style>
  <w:style w:type="character" w:customStyle="1" w:styleId="162">
    <w:name w:val="未处理的提及1"/>
    <w:autoRedefine/>
    <w:unhideWhenUsed/>
    <w:qFormat/>
    <w:uiPriority w:val="99"/>
    <w:rPr>
      <w:color w:val="605E5C"/>
      <w:shd w:val="clear" w:color="auto" w:fill="E1DFDD"/>
    </w:rPr>
  </w:style>
  <w:style w:type="character" w:customStyle="1" w:styleId="163">
    <w:name w:val="正文缩进 Char1"/>
    <w:autoRedefine/>
    <w:qFormat/>
    <w:locked/>
    <w:uiPriority w:val="0"/>
    <w:rPr>
      <w:rFonts w:eastAsia="宋体"/>
      <w:kern w:val="2"/>
      <w:sz w:val="21"/>
      <w:szCs w:val="24"/>
      <w:lang w:val="en-US" w:eastAsia="zh-CN" w:bidi="ar-SA"/>
    </w:rPr>
  </w:style>
  <w:style w:type="character" w:customStyle="1" w:styleId="164">
    <w:name w:val="样式 小四"/>
    <w:autoRedefine/>
    <w:qFormat/>
    <w:uiPriority w:val="0"/>
    <w:rPr>
      <w:sz w:val="24"/>
    </w:rPr>
  </w:style>
  <w:style w:type="character" w:customStyle="1" w:styleId="165">
    <w:name w:val="font21"/>
    <w:autoRedefine/>
    <w:qFormat/>
    <w:uiPriority w:val="0"/>
    <w:rPr>
      <w:rFonts w:hint="default" w:ascii="Times New Roman" w:hAnsi="Times New Roman" w:cs="Times New Roman"/>
      <w:color w:val="000000"/>
      <w:sz w:val="21"/>
      <w:szCs w:val="21"/>
      <w:u w:val="none"/>
    </w:rPr>
  </w:style>
  <w:style w:type="character" w:customStyle="1" w:styleId="166">
    <w:name w:val="样式 首行缩进:  2 字符 Char"/>
    <w:link w:val="167"/>
    <w:autoRedefine/>
    <w:qFormat/>
    <w:uiPriority w:val="0"/>
    <w:rPr>
      <w:kern w:val="2"/>
      <w:sz w:val="24"/>
    </w:rPr>
  </w:style>
  <w:style w:type="paragraph" w:customStyle="1" w:styleId="167">
    <w:name w:val="样式 首行缩进:  2 字符"/>
    <w:basedOn w:val="1"/>
    <w:link w:val="166"/>
    <w:autoRedefine/>
    <w:qFormat/>
    <w:uiPriority w:val="0"/>
    <w:pPr>
      <w:spacing w:line="460" w:lineRule="exact"/>
      <w:ind w:firstLine="471"/>
    </w:pPr>
    <w:rPr>
      <w:sz w:val="24"/>
      <w:szCs w:val="20"/>
    </w:rPr>
  </w:style>
  <w:style w:type="character" w:customStyle="1" w:styleId="168">
    <w:name w:val="Char Char"/>
    <w:link w:val="169"/>
    <w:autoRedefine/>
    <w:qFormat/>
    <w:uiPriority w:val="0"/>
    <w:rPr>
      <w:kern w:val="2"/>
      <w:sz w:val="28"/>
      <w:szCs w:val="28"/>
    </w:rPr>
  </w:style>
  <w:style w:type="paragraph" w:customStyle="1" w:styleId="169">
    <w:name w:val="Char"/>
    <w:basedOn w:val="1"/>
    <w:link w:val="168"/>
    <w:autoRedefine/>
    <w:qFormat/>
    <w:uiPriority w:val="0"/>
    <w:pPr>
      <w:spacing w:line="240" w:lineRule="exact"/>
      <w:ind w:firstLine="200" w:firstLineChars="200"/>
    </w:pPr>
    <w:rPr>
      <w:sz w:val="28"/>
      <w:szCs w:val="28"/>
    </w:rPr>
  </w:style>
  <w:style w:type="character" w:customStyle="1" w:styleId="170">
    <w:name w:val="style21"/>
    <w:autoRedefine/>
    <w:qFormat/>
    <w:uiPriority w:val="0"/>
    <w:rPr>
      <w:sz w:val="21"/>
      <w:szCs w:val="21"/>
    </w:rPr>
  </w:style>
  <w:style w:type="character" w:customStyle="1" w:styleId="171">
    <w:name w:val="金源 Char Char"/>
    <w:link w:val="172"/>
    <w:autoRedefine/>
    <w:qFormat/>
    <w:uiPriority w:val="0"/>
    <w:rPr>
      <w:rFonts w:ascii="宋体" w:hAnsi="宋体" w:cs="宋体"/>
      <w:kern w:val="2"/>
      <w:sz w:val="24"/>
    </w:rPr>
  </w:style>
  <w:style w:type="paragraph" w:customStyle="1" w:styleId="172">
    <w:name w:val="金源"/>
    <w:basedOn w:val="1"/>
    <w:link w:val="171"/>
    <w:autoRedefine/>
    <w:qFormat/>
    <w:uiPriority w:val="0"/>
    <w:pPr>
      <w:spacing w:line="480" w:lineRule="exact"/>
      <w:ind w:firstLine="480" w:firstLineChars="200"/>
      <w:jc w:val="left"/>
    </w:pPr>
    <w:rPr>
      <w:rFonts w:ascii="宋体" w:hAnsi="宋体" w:cs="宋体"/>
      <w:sz w:val="24"/>
      <w:szCs w:val="20"/>
    </w:rPr>
  </w:style>
  <w:style w:type="character" w:customStyle="1" w:styleId="173">
    <w:name w:val="表 Char"/>
    <w:link w:val="174"/>
    <w:autoRedefine/>
    <w:qFormat/>
    <w:uiPriority w:val="0"/>
    <w:rPr>
      <w:spacing w:val="2"/>
      <w:kern w:val="2"/>
      <w:sz w:val="21"/>
    </w:rPr>
  </w:style>
  <w:style w:type="paragraph" w:customStyle="1" w:styleId="174">
    <w:name w:val="表"/>
    <w:basedOn w:val="1"/>
    <w:link w:val="173"/>
    <w:autoRedefine/>
    <w:qFormat/>
    <w:uiPriority w:val="0"/>
    <w:pPr>
      <w:snapToGrid w:val="0"/>
      <w:jc w:val="center"/>
    </w:pPr>
    <w:rPr>
      <w:spacing w:val="2"/>
      <w:szCs w:val="20"/>
    </w:rPr>
  </w:style>
  <w:style w:type="character" w:customStyle="1" w:styleId="175">
    <w:name w:val="日期 Char"/>
    <w:autoRedefine/>
    <w:qFormat/>
    <w:uiPriority w:val="0"/>
    <w:rPr>
      <w:kern w:val="2"/>
      <w:sz w:val="28"/>
    </w:rPr>
  </w:style>
  <w:style w:type="character" w:customStyle="1" w:styleId="176">
    <w:name w:val="apple-converted-space"/>
    <w:autoRedefine/>
    <w:qFormat/>
    <w:uiPriority w:val="0"/>
  </w:style>
  <w:style w:type="character" w:customStyle="1" w:styleId="177">
    <w:name w:val="样式 宋体 四号"/>
    <w:autoRedefine/>
    <w:qFormat/>
    <w:uiPriority w:val="0"/>
    <w:rPr>
      <w:rFonts w:ascii="宋体" w:hAnsi="宋体" w:eastAsia="仿宋_GB2312"/>
      <w:sz w:val="30"/>
    </w:rPr>
  </w:style>
  <w:style w:type="character" w:customStyle="1" w:styleId="178">
    <w:name w:val="正文缩进 Char"/>
    <w:autoRedefine/>
    <w:qFormat/>
    <w:uiPriority w:val="0"/>
    <w:rPr>
      <w:kern w:val="2"/>
      <w:sz w:val="21"/>
      <w:szCs w:val="24"/>
    </w:rPr>
  </w:style>
  <w:style w:type="character" w:customStyle="1" w:styleId="179">
    <w:name w:val="样式 宋体"/>
    <w:autoRedefine/>
    <w:qFormat/>
    <w:uiPriority w:val="0"/>
    <w:rPr>
      <w:rFonts w:ascii="Times New Roman" w:hAnsi="Times New Roman" w:eastAsia="宋体"/>
    </w:rPr>
  </w:style>
  <w:style w:type="character" w:customStyle="1" w:styleId="180">
    <w:name w:val="font12"/>
    <w:autoRedefine/>
    <w:qFormat/>
    <w:uiPriority w:val="0"/>
    <w:rPr>
      <w:sz w:val="24"/>
      <w:szCs w:val="24"/>
    </w:rPr>
  </w:style>
  <w:style w:type="character" w:customStyle="1" w:styleId="181">
    <w:name w:val="表格1 Char"/>
    <w:link w:val="182"/>
    <w:autoRedefine/>
    <w:qFormat/>
    <w:uiPriority w:val="0"/>
    <w:rPr>
      <w:kern w:val="2"/>
      <w:sz w:val="21"/>
    </w:rPr>
  </w:style>
  <w:style w:type="paragraph" w:customStyle="1" w:styleId="182">
    <w:name w:val="表格1"/>
    <w:basedOn w:val="26"/>
    <w:next w:val="26"/>
    <w:link w:val="181"/>
    <w:autoRedefine/>
    <w:qFormat/>
    <w:uiPriority w:val="0"/>
    <w:pPr>
      <w:spacing w:line="340" w:lineRule="exact"/>
      <w:ind w:firstLine="0" w:firstLineChars="0"/>
      <w:jc w:val="center"/>
    </w:pPr>
    <w:rPr>
      <w:sz w:val="21"/>
    </w:rPr>
  </w:style>
  <w:style w:type="character" w:customStyle="1" w:styleId="183">
    <w:name w:val="博泵1 Char Char"/>
    <w:autoRedefine/>
    <w:qFormat/>
    <w:uiPriority w:val="0"/>
    <w:rPr>
      <w:rFonts w:hAnsi="宋体" w:eastAsia="宋体" w:cs="宋体"/>
      <w:color w:val="000000"/>
      <w:sz w:val="24"/>
      <w:lang w:val="en-US" w:eastAsia="zh-CN" w:bidi="ar-SA"/>
    </w:rPr>
  </w:style>
  <w:style w:type="character" w:customStyle="1" w:styleId="184">
    <w:name w:val="title11"/>
    <w:autoRedefine/>
    <w:qFormat/>
    <w:uiPriority w:val="0"/>
  </w:style>
  <w:style w:type="paragraph" w:customStyle="1" w:styleId="185">
    <w:name w:val="流程文字"/>
    <w:basedOn w:val="1"/>
    <w:autoRedefine/>
    <w:qFormat/>
    <w:uiPriority w:val="0"/>
    <w:pPr>
      <w:tabs>
        <w:tab w:val="left" w:pos="6480"/>
      </w:tabs>
      <w:topLinePunct/>
      <w:adjustRightInd w:val="0"/>
      <w:snapToGrid w:val="0"/>
      <w:jc w:val="center"/>
    </w:pPr>
    <w:rPr>
      <w:rFonts w:eastAsia="仿宋_GB2312"/>
      <w:szCs w:val="20"/>
    </w:rPr>
  </w:style>
  <w:style w:type="paragraph" w:customStyle="1" w:styleId="186">
    <w:name w:val="a表内第一行zzzzzzzzzz"/>
    <w:basedOn w:val="187"/>
    <w:autoRedefine/>
    <w:qFormat/>
    <w:uiPriority w:val="0"/>
    <w:rPr>
      <w:b/>
    </w:rPr>
  </w:style>
  <w:style w:type="paragraph" w:customStyle="1" w:styleId="187">
    <w:name w:val="a表内格式zzzzzzz"/>
    <w:basedOn w:val="1"/>
    <w:next w:val="1"/>
    <w:autoRedefine/>
    <w:qFormat/>
    <w:uiPriority w:val="0"/>
    <w:pPr>
      <w:spacing w:line="300" w:lineRule="exact"/>
      <w:jc w:val="center"/>
    </w:pPr>
    <w:rPr>
      <w:kern w:val="0"/>
      <w:szCs w:val="20"/>
    </w:rPr>
  </w:style>
  <w:style w:type="paragraph" w:customStyle="1" w:styleId="188">
    <w:name w:val="样式 四号 首行缩进:  2 字符"/>
    <w:basedOn w:val="1"/>
    <w:autoRedefine/>
    <w:qFormat/>
    <w:uiPriority w:val="0"/>
    <w:pPr>
      <w:spacing w:line="480" w:lineRule="atLeast"/>
      <w:ind w:firstLine="200" w:firstLineChars="200"/>
    </w:pPr>
    <w:rPr>
      <w:sz w:val="24"/>
    </w:rPr>
  </w:style>
  <w:style w:type="paragraph" w:customStyle="1" w:styleId="189">
    <w:name w:val="报告书表格"/>
    <w:basedOn w:val="1"/>
    <w:autoRedefine/>
    <w:qFormat/>
    <w:uiPriority w:val="0"/>
    <w:pPr>
      <w:adjustRightInd w:val="0"/>
      <w:spacing w:before="60" w:after="60" w:line="240" w:lineRule="atLeast"/>
      <w:jc w:val="center"/>
      <w:textAlignment w:val="baseline"/>
    </w:pPr>
    <w:rPr>
      <w:kern w:val="0"/>
      <w:szCs w:val="20"/>
    </w:rPr>
  </w:style>
  <w:style w:type="paragraph" w:customStyle="1" w:styleId="190">
    <w:name w:val="表内式样"/>
    <w:autoRedefine/>
    <w:qFormat/>
    <w:uiPriority w:val="0"/>
    <w:pPr>
      <w:widowControl w:val="0"/>
      <w:spacing w:line="0" w:lineRule="atLeast"/>
      <w:jc w:val="center"/>
    </w:pPr>
    <w:rPr>
      <w:rFonts w:ascii="Times New Roman" w:hAnsi="Times New Roman" w:eastAsia="宋体" w:cs="Times New Roman"/>
      <w:kern w:val="2"/>
      <w:sz w:val="21"/>
      <w:lang w:val="en-US" w:eastAsia="zh-CN" w:bidi="ar-SA"/>
    </w:rPr>
  </w:style>
  <w:style w:type="paragraph" w:customStyle="1" w:styleId="191">
    <w:name w:val="album-div1"/>
    <w:basedOn w:val="1"/>
    <w:autoRedefine/>
    <w:qFormat/>
    <w:uiPriority w:val="0"/>
    <w:pPr>
      <w:widowControl/>
      <w:shd w:val="clear" w:color="auto" w:fill="FFFFFF"/>
      <w:spacing w:before="100" w:beforeAutospacing="1" w:after="100" w:afterAutospacing="1"/>
      <w:jc w:val="left"/>
    </w:pPr>
    <w:rPr>
      <w:rFonts w:ascii="宋体" w:hAnsi="宋体" w:cs="宋体"/>
      <w:kern w:val="0"/>
      <w:sz w:val="24"/>
    </w:rPr>
  </w:style>
  <w:style w:type="paragraph" w:customStyle="1" w:styleId="192">
    <w:name w:val="默认段落字体 Para Char Char Char Char"/>
    <w:basedOn w:val="1"/>
    <w:autoRedefine/>
    <w:qFormat/>
    <w:uiPriority w:val="0"/>
  </w:style>
  <w:style w:type="paragraph" w:customStyle="1" w:styleId="193">
    <w:name w:val="默认段落字体 Para Char Char Char Char Char Char Char"/>
    <w:basedOn w:val="1"/>
    <w:autoRedefine/>
    <w:qFormat/>
    <w:uiPriority w:val="0"/>
    <w:pPr>
      <w:adjustRightInd w:val="0"/>
      <w:spacing w:line="312" w:lineRule="atLeast"/>
      <w:textAlignment w:val="baseline"/>
    </w:pPr>
    <w:rPr>
      <w:kern w:val="0"/>
      <w:szCs w:val="20"/>
    </w:rPr>
  </w:style>
  <w:style w:type="paragraph" w:customStyle="1" w:styleId="194">
    <w:name w:val="样式 正文文本缩进 2 + Times New Roman 加粗"/>
    <w:basedOn w:val="21"/>
    <w:autoRedefine/>
    <w:qFormat/>
    <w:uiPriority w:val="0"/>
    <w:pPr>
      <w:spacing w:line="360" w:lineRule="auto"/>
      <w:ind w:left="0" w:firstLine="200" w:firstLineChars="200"/>
    </w:pPr>
    <w:rPr>
      <w:rFonts w:ascii="Times New Roman" w:hAnsi="Times New Roman"/>
      <w:b/>
      <w:sz w:val="24"/>
      <w:szCs w:val="20"/>
    </w:rPr>
  </w:style>
  <w:style w:type="paragraph" w:customStyle="1" w:styleId="195">
    <w:name w:val="样式 首行缩进:  2 字符1"/>
    <w:basedOn w:val="1"/>
    <w:autoRedefine/>
    <w:semiHidden/>
    <w:qFormat/>
    <w:uiPriority w:val="0"/>
    <w:pPr>
      <w:spacing w:line="360" w:lineRule="exact"/>
      <w:jc w:val="center"/>
    </w:pPr>
    <w:rPr>
      <w:kern w:val="0"/>
      <w:szCs w:val="21"/>
    </w:rPr>
  </w:style>
  <w:style w:type="paragraph" w:customStyle="1" w:styleId="196">
    <w:name w:val="样式 小四 加粗 行距: 1.5 倍行距 首行缩进:  2 字符"/>
    <w:basedOn w:val="1"/>
    <w:autoRedefine/>
    <w:qFormat/>
    <w:uiPriority w:val="0"/>
    <w:pPr>
      <w:spacing w:line="360" w:lineRule="auto"/>
      <w:ind w:firstLine="482" w:firstLineChars="200"/>
    </w:pPr>
    <w:rPr>
      <w:rFonts w:cs="宋体"/>
      <w:b/>
      <w:bCs/>
      <w:sz w:val="24"/>
      <w:szCs w:val="20"/>
    </w:rPr>
  </w:style>
  <w:style w:type="paragraph" w:customStyle="1" w:styleId="197">
    <w:name w:val="Char Char Char Char Char Char Char Char Char Char Char Char Char Char Char Char"/>
    <w:basedOn w:val="1"/>
    <w:autoRedefine/>
    <w:semiHidden/>
    <w:qFormat/>
    <w:uiPriority w:val="0"/>
    <w:pPr>
      <w:widowControl/>
      <w:spacing w:line="40" w:lineRule="exact"/>
    </w:pPr>
    <w:rPr>
      <w:rFonts w:ascii="Verdana" w:hAnsi="Verdana"/>
      <w:kern w:val="0"/>
      <w:sz w:val="20"/>
      <w:szCs w:val="20"/>
      <w:lang w:eastAsia="en-US"/>
    </w:rPr>
  </w:style>
  <w:style w:type="paragraph" w:customStyle="1" w:styleId="198">
    <w:name w:val="样式 标题 3 + 行距: 固定值 24 磅"/>
    <w:basedOn w:val="6"/>
    <w:autoRedefine/>
    <w:qFormat/>
    <w:uiPriority w:val="0"/>
    <w:pPr>
      <w:keepNext w:val="0"/>
      <w:keepLines w:val="0"/>
      <w:adjustRightInd w:val="0"/>
      <w:snapToGrid w:val="0"/>
      <w:spacing w:before="0" w:after="0" w:line="360" w:lineRule="auto"/>
      <w:ind w:firstLine="447" w:firstLineChars="200"/>
      <w:jc w:val="left"/>
    </w:pPr>
    <w:rPr>
      <w:b w:val="0"/>
      <w:sz w:val="24"/>
      <w:szCs w:val="20"/>
    </w:rPr>
  </w:style>
  <w:style w:type="character" w:customStyle="1" w:styleId="199">
    <w:name w:val="正文文本 2 字符2"/>
    <w:autoRedefine/>
    <w:qFormat/>
    <w:uiPriority w:val="0"/>
    <w:rPr>
      <w:kern w:val="2"/>
      <w:sz w:val="21"/>
      <w:szCs w:val="24"/>
    </w:rPr>
  </w:style>
  <w:style w:type="paragraph" w:customStyle="1" w:styleId="200">
    <w:name w:val="Table Paragraph"/>
    <w:basedOn w:val="1"/>
    <w:autoRedefine/>
    <w:qFormat/>
    <w:uiPriority w:val="1"/>
    <w:pPr>
      <w:jc w:val="left"/>
    </w:pPr>
    <w:rPr>
      <w:rFonts w:ascii="Calibri" w:hAnsi="Calibri"/>
      <w:kern w:val="0"/>
      <w:sz w:val="22"/>
      <w:szCs w:val="22"/>
      <w:lang w:eastAsia="en-US"/>
    </w:rPr>
  </w:style>
  <w:style w:type="paragraph" w:customStyle="1" w:styleId="201">
    <w:name w:val="Char2 Char Char Char"/>
    <w:basedOn w:val="1"/>
    <w:autoRedefine/>
    <w:qFormat/>
    <w:uiPriority w:val="0"/>
    <w:pPr>
      <w:spacing w:line="360" w:lineRule="auto"/>
      <w:ind w:firstLine="200" w:firstLineChars="200"/>
    </w:pPr>
    <w:rPr>
      <w:rFonts w:ascii="宋体" w:hAnsi="宋体" w:cs="宋体"/>
      <w:sz w:val="24"/>
    </w:rPr>
  </w:style>
  <w:style w:type="paragraph" w:customStyle="1" w:styleId="202">
    <w:name w:val="样式 黑体 四号 左 行距: 固定值 33 磅"/>
    <w:basedOn w:val="1"/>
    <w:autoRedefine/>
    <w:qFormat/>
    <w:uiPriority w:val="0"/>
    <w:pPr>
      <w:numPr>
        <w:ilvl w:val="0"/>
        <w:numId w:val="1"/>
      </w:numPr>
      <w:tabs>
        <w:tab w:val="left" w:pos="900"/>
      </w:tabs>
      <w:spacing w:line="360" w:lineRule="auto"/>
      <w:ind w:left="0" w:firstLine="0"/>
    </w:pPr>
    <w:rPr>
      <w:b/>
      <w:color w:val="000000"/>
      <w:sz w:val="24"/>
      <w:szCs w:val="20"/>
    </w:rPr>
  </w:style>
  <w:style w:type="paragraph" w:customStyle="1" w:styleId="203">
    <w:name w:val="默认段落字体 Para Char"/>
    <w:basedOn w:val="1"/>
    <w:autoRedefine/>
    <w:qFormat/>
    <w:uiPriority w:val="0"/>
    <w:pPr>
      <w:spacing w:line="360" w:lineRule="auto"/>
    </w:pPr>
    <w:rPr>
      <w:rFonts w:ascii="宋体" w:hAnsi="宋体" w:cs="宋体"/>
      <w:sz w:val="24"/>
    </w:rPr>
  </w:style>
  <w:style w:type="character" w:customStyle="1" w:styleId="204">
    <w:name w:val="HTML 预设格式 字符1"/>
    <w:autoRedefine/>
    <w:qFormat/>
    <w:uiPriority w:val="0"/>
    <w:rPr>
      <w:rFonts w:ascii="Courier New" w:hAnsi="Courier New" w:cs="Courier New"/>
      <w:kern w:val="2"/>
    </w:rPr>
  </w:style>
  <w:style w:type="paragraph" w:customStyle="1" w:styleId="205">
    <w:name w:val="1 Char Char Char Char"/>
    <w:basedOn w:val="1"/>
    <w:autoRedefine/>
    <w:qFormat/>
    <w:uiPriority w:val="0"/>
  </w:style>
  <w:style w:type="paragraph" w:customStyle="1" w:styleId="206">
    <w:name w:val="Char Char Char Char"/>
    <w:basedOn w:val="1"/>
    <w:autoRedefine/>
    <w:qFormat/>
    <w:uiPriority w:val="0"/>
  </w:style>
  <w:style w:type="paragraph" w:customStyle="1" w:styleId="207">
    <w:name w:val="无间隔1"/>
    <w:autoRedefine/>
    <w:qFormat/>
    <w:uiPriority w:val="1"/>
    <w:pPr>
      <w:widowControl w:val="0"/>
      <w:spacing w:line="360" w:lineRule="exact"/>
      <w:jc w:val="center"/>
    </w:pPr>
    <w:rPr>
      <w:rFonts w:ascii="宋体" w:hAnsi="宋体" w:eastAsia="宋体" w:cs="Times New Roman"/>
      <w:kern w:val="2"/>
      <w:sz w:val="21"/>
      <w:lang w:val="en-US" w:eastAsia="zh-CN" w:bidi="ar-SA"/>
    </w:rPr>
  </w:style>
  <w:style w:type="paragraph" w:customStyle="1" w:styleId="208">
    <w:name w:val="Char Char5 Char Char Char Char Char Char Char Char Char Char Char Char Char Char Char1 Char"/>
    <w:basedOn w:val="6"/>
    <w:autoRedefine/>
    <w:qFormat/>
    <w:uiPriority w:val="0"/>
    <w:pPr>
      <w:tabs>
        <w:tab w:val="left" w:pos="360"/>
        <w:tab w:val="left" w:pos="900"/>
      </w:tabs>
      <w:snapToGrid w:val="0"/>
      <w:spacing w:before="120" w:after="120" w:line="360" w:lineRule="auto"/>
      <w:ind w:left="542" w:leftChars="-12" w:firstLine="200" w:firstLineChars="200"/>
      <w:jc w:val="left"/>
    </w:pPr>
    <w:rPr>
      <w:bCs w:val="0"/>
      <w:sz w:val="21"/>
      <w:szCs w:val="20"/>
    </w:rPr>
  </w:style>
  <w:style w:type="character" w:customStyle="1" w:styleId="209">
    <w:name w:val="标题 字符2"/>
    <w:autoRedefine/>
    <w:qFormat/>
    <w:uiPriority w:val="0"/>
    <w:rPr>
      <w:rFonts w:ascii="等线 Light" w:hAnsi="等线 Light" w:cs="Times New Roman"/>
      <w:b/>
      <w:bCs/>
      <w:kern w:val="2"/>
      <w:sz w:val="32"/>
      <w:szCs w:val="32"/>
    </w:rPr>
  </w:style>
  <w:style w:type="character" w:customStyle="1" w:styleId="210">
    <w:name w:val="正文文本缩进 2 字符1"/>
    <w:autoRedefine/>
    <w:qFormat/>
    <w:uiPriority w:val="0"/>
    <w:rPr>
      <w:kern w:val="2"/>
      <w:sz w:val="21"/>
      <w:szCs w:val="24"/>
    </w:rPr>
  </w:style>
  <w:style w:type="paragraph" w:customStyle="1" w:styleId="211">
    <w:name w:val="样式 样式 正文（赵志杰） + 首行缩进:  0 字符 + 行距: 固定值 24 磅"/>
    <w:basedOn w:val="1"/>
    <w:autoRedefine/>
    <w:qFormat/>
    <w:uiPriority w:val="0"/>
    <w:pPr>
      <w:spacing w:line="480" w:lineRule="exact"/>
      <w:ind w:firstLine="200" w:firstLineChars="200"/>
    </w:pPr>
    <w:rPr>
      <w:rFonts w:cs="宋体"/>
      <w:szCs w:val="20"/>
    </w:rPr>
  </w:style>
  <w:style w:type="paragraph" w:customStyle="1" w:styleId="212">
    <w:name w:val="样式 标题 2标题2Se节标题 1.11.1标题2条标题h2l22nd levelTitre22Heade..."/>
    <w:basedOn w:val="5"/>
    <w:autoRedefine/>
    <w:qFormat/>
    <w:uiPriority w:val="0"/>
    <w:pPr>
      <w:spacing w:before="240" w:after="120" w:line="415" w:lineRule="auto"/>
    </w:pPr>
    <w:rPr>
      <w:rFonts w:ascii="宋体" w:hAnsi="华文中宋" w:cs="宋体"/>
      <w:sz w:val="28"/>
      <w:szCs w:val="28"/>
    </w:rPr>
  </w:style>
  <w:style w:type="paragraph" w:customStyle="1" w:styleId="213">
    <w:name w:val="Char Char44 Char Char Char Char Char Char Char Char"/>
    <w:basedOn w:val="1"/>
    <w:autoRedefine/>
    <w:qFormat/>
    <w:uiPriority w:val="0"/>
    <w:rPr>
      <w:sz w:val="24"/>
    </w:rPr>
  </w:style>
  <w:style w:type="paragraph" w:customStyle="1" w:styleId="214">
    <w:name w:val="表中文字"/>
    <w:basedOn w:val="1"/>
    <w:autoRedefine/>
    <w:qFormat/>
    <w:uiPriority w:val="0"/>
    <w:pPr>
      <w:widowControl/>
      <w:jc w:val="center"/>
    </w:pPr>
    <w:rPr>
      <w:kern w:val="0"/>
      <w:szCs w:val="20"/>
    </w:rPr>
  </w:style>
  <w:style w:type="paragraph" w:customStyle="1" w:styleId="215">
    <w:name w:val="1"/>
    <w:basedOn w:val="1"/>
    <w:next w:val="19"/>
    <w:autoRedefine/>
    <w:qFormat/>
    <w:uiPriority w:val="0"/>
    <w:rPr>
      <w:rFonts w:ascii="宋体" w:hAnsi="Courier New"/>
      <w:szCs w:val="20"/>
    </w:rPr>
  </w:style>
  <w:style w:type="paragraph" w:customStyle="1" w:styleId="216">
    <w:name w:val="样式 小四 首行缩进:  0.85 厘米 行距: 1.5 倍行距"/>
    <w:basedOn w:val="1"/>
    <w:autoRedefine/>
    <w:qFormat/>
    <w:uiPriority w:val="0"/>
    <w:pPr>
      <w:spacing w:line="360" w:lineRule="auto"/>
      <w:ind w:firstLine="480" w:firstLineChars="200"/>
    </w:pPr>
    <w:rPr>
      <w:rFonts w:cs="宋体"/>
      <w:kern w:val="0"/>
      <w:sz w:val="24"/>
      <w:szCs w:val="20"/>
    </w:rPr>
  </w:style>
  <w:style w:type="character" w:customStyle="1" w:styleId="217">
    <w:name w:val="文档结构图 字符1"/>
    <w:autoRedefine/>
    <w:qFormat/>
    <w:uiPriority w:val="0"/>
    <w:rPr>
      <w:rFonts w:ascii="Microsoft YaHei UI" w:eastAsia="Microsoft YaHei UI"/>
      <w:kern w:val="2"/>
      <w:sz w:val="18"/>
      <w:szCs w:val="18"/>
    </w:rPr>
  </w:style>
  <w:style w:type="paragraph" w:customStyle="1" w:styleId="218">
    <w:name w:val="表格2"/>
    <w:basedOn w:val="1"/>
    <w:autoRedefine/>
    <w:qFormat/>
    <w:uiPriority w:val="0"/>
    <w:pPr>
      <w:adjustRightInd w:val="0"/>
      <w:spacing w:line="320" w:lineRule="atLeast"/>
      <w:jc w:val="center"/>
    </w:pPr>
    <w:rPr>
      <w:sz w:val="24"/>
      <w:szCs w:val="20"/>
    </w:rPr>
  </w:style>
  <w:style w:type="paragraph" w:customStyle="1" w:styleId="219">
    <w:name w:val="_Style 50"/>
    <w:basedOn w:val="1"/>
    <w:next w:val="1"/>
    <w:autoRedefine/>
    <w:qFormat/>
    <w:uiPriority w:val="0"/>
    <w:pPr>
      <w:spacing w:line="360" w:lineRule="auto"/>
      <w:ind w:firstLine="200" w:firstLineChars="200"/>
    </w:pPr>
    <w:rPr>
      <w:rFonts w:ascii="宋体" w:hAnsi="宋体" w:eastAsia="汉鼎简书宋" w:cs="宋体"/>
      <w:sz w:val="24"/>
    </w:rPr>
  </w:style>
  <w:style w:type="paragraph" w:customStyle="1" w:styleId="220">
    <w:name w:val="普通(Web)"/>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21">
    <w:name w:val="标准"/>
    <w:basedOn w:val="1"/>
    <w:autoRedefine/>
    <w:qFormat/>
    <w:uiPriority w:val="0"/>
    <w:pPr>
      <w:adjustRightInd w:val="0"/>
      <w:spacing w:line="312" w:lineRule="atLeast"/>
      <w:jc w:val="center"/>
      <w:textAlignment w:val="baseline"/>
    </w:pPr>
    <w:rPr>
      <w:kern w:val="0"/>
      <w:szCs w:val="20"/>
    </w:rPr>
  </w:style>
  <w:style w:type="paragraph" w:customStyle="1" w:styleId="222">
    <w:name w:val="样式 小四 首行缩进:  1.01 厘米 行距: 1.5 倍行距"/>
    <w:basedOn w:val="1"/>
    <w:autoRedefine/>
    <w:qFormat/>
    <w:uiPriority w:val="0"/>
    <w:pPr>
      <w:adjustRightInd w:val="0"/>
      <w:snapToGrid w:val="0"/>
      <w:spacing w:line="360" w:lineRule="auto"/>
      <w:ind w:firstLine="200" w:firstLineChars="200"/>
    </w:pPr>
    <w:rPr>
      <w:snapToGrid w:val="0"/>
      <w:kern w:val="24"/>
      <w:sz w:val="24"/>
      <w:szCs w:val="20"/>
    </w:rPr>
  </w:style>
  <w:style w:type="paragraph" w:customStyle="1" w:styleId="223">
    <w:name w:val="样式 宋体 居中 行距: 固定值 18 磅"/>
    <w:basedOn w:val="1"/>
    <w:autoRedefine/>
    <w:qFormat/>
    <w:uiPriority w:val="0"/>
    <w:pPr>
      <w:spacing w:line="360" w:lineRule="exact"/>
      <w:jc w:val="center"/>
    </w:pPr>
    <w:rPr>
      <w:rFonts w:ascii="宋体" w:hAnsi="宋体"/>
      <w:color w:val="000000"/>
      <w:szCs w:val="21"/>
    </w:rPr>
  </w:style>
  <w:style w:type="paragraph" w:customStyle="1" w:styleId="224">
    <w:name w:val="表文"/>
    <w:basedOn w:val="12"/>
    <w:next w:val="2"/>
    <w:autoRedefine/>
    <w:qFormat/>
    <w:uiPriority w:val="0"/>
    <w:pPr>
      <w:widowControl w:val="0"/>
      <w:snapToGrid/>
      <w:spacing w:before="0" w:after="0" w:line="240" w:lineRule="auto"/>
      <w:ind w:right="0"/>
      <w:jc w:val="center"/>
    </w:pPr>
    <w:rPr>
      <w:kern w:val="2"/>
      <w:sz w:val="24"/>
    </w:rPr>
  </w:style>
  <w:style w:type="paragraph" w:customStyle="1" w:styleId="225">
    <w:name w:val="样式 小四 加粗 行距: 1.5 倍行距"/>
    <w:basedOn w:val="1"/>
    <w:autoRedefine/>
    <w:qFormat/>
    <w:uiPriority w:val="0"/>
    <w:pPr>
      <w:spacing w:line="360" w:lineRule="auto"/>
      <w:ind w:firstLine="480" w:firstLineChars="200"/>
    </w:pPr>
    <w:rPr>
      <w:rFonts w:cs="宋体"/>
      <w:b/>
      <w:bCs/>
      <w:sz w:val="24"/>
      <w:szCs w:val="20"/>
    </w:rPr>
  </w:style>
  <w:style w:type="paragraph" w:customStyle="1" w:styleId="226">
    <w:name w:val="Char1"/>
    <w:basedOn w:val="1"/>
    <w:autoRedefine/>
    <w:qFormat/>
    <w:uiPriority w:val="0"/>
    <w:pPr>
      <w:spacing w:line="360" w:lineRule="auto"/>
      <w:ind w:firstLine="200" w:firstLineChars="200"/>
    </w:pPr>
    <w:rPr>
      <w:rFonts w:ascii="宋体" w:hAnsi="宋体" w:cs="宋体"/>
      <w:sz w:val="24"/>
    </w:rPr>
  </w:style>
  <w:style w:type="paragraph" w:customStyle="1" w:styleId="227">
    <w:name w:val="Char Char Char Char Char Char1 Char Char Char Char"/>
    <w:basedOn w:val="1"/>
    <w:autoRedefine/>
    <w:qFormat/>
    <w:uiPriority w:val="0"/>
    <w:rPr>
      <w:rFonts w:ascii="Tahoma" w:hAnsi="Tahoma"/>
      <w:sz w:val="24"/>
      <w:szCs w:val="20"/>
    </w:rPr>
  </w:style>
  <w:style w:type="paragraph" w:customStyle="1" w:styleId="228">
    <w:name w:val="样式 正文文本缩进 + Times New Roman 加粗 左侧:  1.59 厘米 首行缩进:  0 厘米 段前: ..."/>
    <w:basedOn w:val="13"/>
    <w:autoRedefine/>
    <w:qFormat/>
    <w:uiPriority w:val="0"/>
    <w:pPr>
      <w:spacing w:after="0" w:line="360" w:lineRule="auto"/>
      <w:ind w:left="0" w:leftChars="0" w:firstLine="480" w:firstLineChars="200"/>
    </w:pPr>
    <w:rPr>
      <w:rFonts w:cs="宋体"/>
      <w:bCs/>
      <w:kern w:val="2"/>
    </w:rPr>
  </w:style>
  <w:style w:type="character" w:customStyle="1" w:styleId="229">
    <w:name w:val="正文文本首行缩进 字符1"/>
    <w:autoRedefine/>
    <w:qFormat/>
    <w:uiPriority w:val="0"/>
    <w:rPr>
      <w:kern w:val="2"/>
      <w:sz w:val="21"/>
      <w:szCs w:val="24"/>
    </w:rPr>
  </w:style>
  <w:style w:type="paragraph" w:customStyle="1" w:styleId="230">
    <w:name w:val="Char Char Char Char Char Char Char Char Char Char Char Char Char Char Char Char Char Char Char1"/>
    <w:basedOn w:val="1"/>
    <w:autoRedefine/>
    <w:qFormat/>
    <w:uiPriority w:val="0"/>
    <w:pPr>
      <w:spacing w:line="360" w:lineRule="auto"/>
      <w:ind w:firstLine="200" w:firstLineChars="200"/>
    </w:pPr>
    <w:rPr>
      <w:rFonts w:ascii="宋体" w:hAnsi="宋体" w:cs="宋体"/>
      <w:sz w:val="24"/>
    </w:rPr>
  </w:style>
  <w:style w:type="paragraph" w:customStyle="1" w:styleId="231">
    <w:name w:val="四号报告正文"/>
    <w:basedOn w:val="1"/>
    <w:autoRedefine/>
    <w:qFormat/>
    <w:uiPriority w:val="0"/>
    <w:pPr>
      <w:spacing w:line="360" w:lineRule="auto"/>
      <w:ind w:firstLine="200" w:firstLineChars="200"/>
    </w:pPr>
    <w:rPr>
      <w:rFonts w:hAnsi="宋体" w:cs="宋体"/>
      <w:sz w:val="28"/>
      <w:szCs w:val="20"/>
    </w:rPr>
  </w:style>
  <w:style w:type="paragraph" w:customStyle="1" w:styleId="232">
    <w:name w:val="3"/>
    <w:basedOn w:val="1"/>
    <w:next w:val="143"/>
    <w:autoRedefine/>
    <w:qFormat/>
    <w:uiPriority w:val="34"/>
    <w:pPr>
      <w:ind w:firstLine="420" w:firstLineChars="200"/>
    </w:pPr>
    <w:rPr>
      <w:szCs w:val="20"/>
    </w:rPr>
  </w:style>
  <w:style w:type="paragraph" w:customStyle="1" w:styleId="233">
    <w:name w:val="Char Char Char"/>
    <w:basedOn w:val="1"/>
    <w:autoRedefine/>
    <w:qFormat/>
    <w:uiPriority w:val="0"/>
    <w:pPr>
      <w:spacing w:line="360" w:lineRule="auto"/>
    </w:pPr>
    <w:rPr>
      <w:rFonts w:ascii="Calibri" w:hAnsi="Calibri"/>
      <w:sz w:val="24"/>
    </w:rPr>
  </w:style>
  <w:style w:type="paragraph" w:customStyle="1" w:styleId="234">
    <w:name w:val="正文 + 黑体"/>
    <w:basedOn w:val="1"/>
    <w:autoRedefine/>
    <w:qFormat/>
    <w:uiPriority w:val="0"/>
    <w:pPr>
      <w:spacing w:line="500" w:lineRule="exact"/>
      <w:jc w:val="center"/>
    </w:pPr>
    <w:rPr>
      <w:rFonts w:ascii="宋体" w:hAnsi="宋体"/>
      <w:szCs w:val="21"/>
    </w:rPr>
  </w:style>
  <w:style w:type="paragraph" w:customStyle="1" w:styleId="235">
    <w:name w:val="pic-info"/>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36">
    <w:name w:val="样式 宋体 四号 行距: 固定值 33 磅3"/>
    <w:basedOn w:val="1"/>
    <w:autoRedefine/>
    <w:qFormat/>
    <w:uiPriority w:val="0"/>
    <w:pPr>
      <w:spacing w:line="360" w:lineRule="auto"/>
      <w:ind w:firstLine="480" w:firstLineChars="200"/>
    </w:pPr>
    <w:rPr>
      <w:sz w:val="24"/>
    </w:rPr>
  </w:style>
  <w:style w:type="paragraph" w:customStyle="1" w:styleId="237">
    <w:name w:val="目次、标准名称标题"/>
    <w:basedOn w:val="1"/>
    <w:next w:val="1"/>
    <w:autoRedefine/>
    <w:qFormat/>
    <w:uiPriority w:val="0"/>
    <w:pPr>
      <w:keepNext/>
      <w:pageBreakBefore/>
      <w:widowControl/>
      <w:shd w:val="clear" w:color="FFFFFF" w:fill="FFFFFF"/>
      <w:spacing w:before="640" w:after="560" w:line="460" w:lineRule="exact"/>
      <w:jc w:val="center"/>
      <w:outlineLvl w:val="0"/>
    </w:pPr>
    <w:rPr>
      <w:rFonts w:ascii="黑体" w:eastAsia="黑体"/>
      <w:kern w:val="0"/>
      <w:sz w:val="32"/>
      <w:szCs w:val="20"/>
    </w:rPr>
  </w:style>
  <w:style w:type="paragraph" w:customStyle="1" w:styleId="238">
    <w:name w:val="Char1 Char Char Char"/>
    <w:basedOn w:val="1"/>
    <w:autoRedefine/>
    <w:qFormat/>
    <w:uiPriority w:val="0"/>
    <w:pPr>
      <w:snapToGrid w:val="0"/>
      <w:spacing w:line="360" w:lineRule="auto"/>
      <w:ind w:firstLine="529" w:firstLineChars="200"/>
    </w:pPr>
    <w:rPr>
      <w:rFonts w:ascii="宋体" w:hAnsi="宋体"/>
      <w:b/>
      <w:szCs w:val="20"/>
    </w:rPr>
  </w:style>
  <w:style w:type="paragraph" w:customStyle="1" w:styleId="239">
    <w:name w:val="样式 样式 四号 首行缩进:  1.92 字符 + 宋体"/>
    <w:basedOn w:val="1"/>
    <w:autoRedefine/>
    <w:qFormat/>
    <w:uiPriority w:val="0"/>
    <w:pPr>
      <w:widowControl/>
      <w:ind w:firstLine="560" w:firstLineChars="200"/>
    </w:pPr>
    <w:rPr>
      <w:rFonts w:ascii="宋体" w:hAnsi="宋体"/>
      <w:sz w:val="28"/>
      <w:szCs w:val="20"/>
    </w:rPr>
  </w:style>
  <w:style w:type="paragraph" w:customStyle="1" w:styleId="240">
    <w:name w:val="p0"/>
    <w:basedOn w:val="1"/>
    <w:autoRedefine/>
    <w:qFormat/>
    <w:uiPriority w:val="0"/>
    <w:pPr>
      <w:widowControl/>
    </w:pPr>
    <w:rPr>
      <w:kern w:val="0"/>
      <w:szCs w:val="21"/>
    </w:rPr>
  </w:style>
  <w:style w:type="paragraph" w:customStyle="1" w:styleId="241">
    <w:name w:val="二级标题"/>
    <w:basedOn w:val="1"/>
    <w:autoRedefine/>
    <w:qFormat/>
    <w:uiPriority w:val="0"/>
    <w:pPr>
      <w:adjustRightInd w:val="0"/>
      <w:spacing w:before="120" w:after="120" w:line="400" w:lineRule="atLeast"/>
      <w:textAlignment w:val="baseline"/>
    </w:pPr>
    <w:rPr>
      <w:rFonts w:eastAsia="黑体"/>
      <w:kern w:val="0"/>
      <w:sz w:val="28"/>
      <w:szCs w:val="20"/>
    </w:rPr>
  </w:style>
  <w:style w:type="paragraph" w:customStyle="1" w:styleId="242">
    <w:name w:val="Char Char Char Char Char Char Char Char Char Char Char Char Char Char Char Char1"/>
    <w:basedOn w:val="1"/>
    <w:autoRedefine/>
    <w:qFormat/>
    <w:uiPriority w:val="0"/>
    <w:rPr>
      <w:szCs w:val="20"/>
    </w:rPr>
  </w:style>
  <w:style w:type="paragraph" w:customStyle="1" w:styleId="243">
    <w:name w:val="Char Char Char Char Char Char Char"/>
    <w:basedOn w:val="1"/>
    <w:autoRedefine/>
    <w:qFormat/>
    <w:uiPriority w:val="0"/>
  </w:style>
  <w:style w:type="paragraph" w:customStyle="1" w:styleId="244">
    <w:name w:val="0"/>
    <w:basedOn w:val="1"/>
    <w:autoRedefine/>
    <w:qFormat/>
    <w:uiPriority w:val="0"/>
    <w:pPr>
      <w:widowControl/>
      <w:snapToGrid w:val="0"/>
    </w:pPr>
    <w:rPr>
      <w:kern w:val="0"/>
      <w:szCs w:val="21"/>
    </w:rPr>
  </w:style>
  <w:style w:type="paragraph" w:customStyle="1" w:styleId="245">
    <w:name w:val="q表格"/>
    <w:basedOn w:val="1"/>
    <w:autoRedefine/>
    <w:qFormat/>
    <w:uiPriority w:val="0"/>
    <w:pPr>
      <w:adjustRightInd w:val="0"/>
      <w:snapToGrid w:val="0"/>
      <w:spacing w:line="360" w:lineRule="exact"/>
      <w:jc w:val="center"/>
    </w:pPr>
    <w:rPr>
      <w:color w:val="000000"/>
      <w:szCs w:val="21"/>
    </w:rPr>
  </w:style>
  <w:style w:type="paragraph" w:customStyle="1" w:styleId="246">
    <w:name w:val="样式 小四 加粗 左 行距: 1.5 倍行距 首行缩进:  2 字符"/>
    <w:basedOn w:val="1"/>
    <w:autoRedefine/>
    <w:qFormat/>
    <w:uiPriority w:val="0"/>
    <w:pPr>
      <w:spacing w:line="360" w:lineRule="auto"/>
      <w:ind w:firstLine="482" w:firstLineChars="200"/>
    </w:pPr>
    <w:rPr>
      <w:rFonts w:cs="宋体"/>
      <w:b/>
      <w:bCs/>
      <w:sz w:val="24"/>
      <w:szCs w:val="20"/>
    </w:rPr>
  </w:style>
  <w:style w:type="paragraph" w:customStyle="1" w:styleId="247">
    <w:name w:val="Char Char1 Char Char Char Char Char Char Char Char Char Char Char Char Char Char Char Char Char Char Char Char1 Char"/>
    <w:basedOn w:val="1"/>
    <w:autoRedefine/>
    <w:qFormat/>
    <w:uiPriority w:val="0"/>
    <w:pPr>
      <w:spacing w:line="360" w:lineRule="auto"/>
      <w:ind w:firstLine="200" w:firstLineChars="200"/>
    </w:pPr>
    <w:rPr>
      <w:szCs w:val="20"/>
    </w:rPr>
  </w:style>
  <w:style w:type="paragraph" w:customStyle="1" w:styleId="248">
    <w:name w:val="封面标准号2"/>
    <w:autoRedefine/>
    <w:qFormat/>
    <w:uiPriority w:val="0"/>
    <w:pPr>
      <w:spacing w:before="357" w:line="280" w:lineRule="exact"/>
      <w:jc w:val="right"/>
    </w:pPr>
    <w:rPr>
      <w:rFonts w:ascii="黑体" w:hAnsi="Times New Roman" w:eastAsia="黑体" w:cs="Times New Roman"/>
      <w:sz w:val="28"/>
      <w:szCs w:val="28"/>
      <w:lang w:val="en-US" w:eastAsia="zh-CN" w:bidi="ar-SA"/>
    </w:rPr>
  </w:style>
  <w:style w:type="paragraph" w:customStyle="1" w:styleId="249">
    <w:name w:val="Char Char Char Char Char Char Char Char Char Char1"/>
    <w:basedOn w:val="1"/>
    <w:autoRedefine/>
    <w:qFormat/>
    <w:uiPriority w:val="0"/>
    <w:rPr>
      <w:rFonts w:eastAsia="黑体"/>
      <w:sz w:val="24"/>
    </w:rPr>
  </w:style>
  <w:style w:type="paragraph" w:customStyle="1" w:styleId="250">
    <w:name w:val="文"/>
    <w:basedOn w:val="1"/>
    <w:autoRedefine/>
    <w:qFormat/>
    <w:uiPriority w:val="0"/>
    <w:pPr>
      <w:spacing w:line="360" w:lineRule="auto"/>
      <w:ind w:firstLine="480" w:firstLineChars="200"/>
    </w:pPr>
    <w:rPr>
      <w:sz w:val="24"/>
    </w:rPr>
  </w:style>
  <w:style w:type="paragraph" w:customStyle="1" w:styleId="251">
    <w:name w:val="正文-使用"/>
    <w:basedOn w:val="1"/>
    <w:autoRedefine/>
    <w:qFormat/>
    <w:uiPriority w:val="0"/>
    <w:pPr>
      <w:adjustRightInd w:val="0"/>
      <w:snapToGrid w:val="0"/>
      <w:spacing w:line="360" w:lineRule="auto"/>
      <w:ind w:firstLine="482"/>
    </w:pPr>
    <w:rPr>
      <w:sz w:val="24"/>
      <w:szCs w:val="20"/>
    </w:rPr>
  </w:style>
  <w:style w:type="paragraph" w:customStyle="1" w:styleId="252">
    <w:name w:val="Char Char Char1 Char"/>
    <w:basedOn w:val="1"/>
    <w:next w:val="1"/>
    <w:autoRedefine/>
    <w:qFormat/>
    <w:uiPriority w:val="0"/>
    <w:pPr>
      <w:spacing w:line="360" w:lineRule="auto"/>
      <w:ind w:firstLine="200" w:firstLineChars="200"/>
    </w:pPr>
  </w:style>
  <w:style w:type="paragraph" w:customStyle="1" w:styleId="253">
    <w:name w:val="样式 小四 加粗 左侧:  0.85 厘米 行距: 1.5 倍行距"/>
    <w:basedOn w:val="1"/>
    <w:autoRedefine/>
    <w:qFormat/>
    <w:uiPriority w:val="0"/>
    <w:pPr>
      <w:spacing w:line="360" w:lineRule="auto"/>
      <w:ind w:firstLine="482" w:firstLineChars="200"/>
    </w:pPr>
    <w:rPr>
      <w:rFonts w:cs="宋体"/>
      <w:b/>
      <w:bCs/>
      <w:sz w:val="24"/>
      <w:szCs w:val="20"/>
    </w:rPr>
  </w:style>
  <w:style w:type="paragraph" w:customStyle="1" w:styleId="254">
    <w:name w:val="样式 标题 1 + 加粗"/>
    <w:basedOn w:val="4"/>
    <w:autoRedefine/>
    <w:qFormat/>
    <w:uiPriority w:val="0"/>
    <w:pPr>
      <w:keepLines/>
      <w:overflowPunct/>
      <w:snapToGrid/>
      <w:spacing w:before="0" w:after="0" w:line="360" w:lineRule="auto"/>
      <w:ind w:left="0" w:firstLine="480" w:firstLineChars="200"/>
      <w:outlineLvl w:val="9"/>
    </w:pPr>
    <w:rPr>
      <w:rFonts w:eastAsia="宋体"/>
      <w:b w:val="0"/>
      <w:color w:val="auto"/>
      <w:sz w:val="24"/>
      <w:szCs w:val="24"/>
    </w:rPr>
  </w:style>
  <w:style w:type="paragraph" w:customStyle="1" w:styleId="255">
    <w:name w:val="正文曹"/>
    <w:basedOn w:val="13"/>
    <w:autoRedefine/>
    <w:qFormat/>
    <w:uiPriority w:val="0"/>
    <w:pPr>
      <w:adjustRightInd w:val="0"/>
      <w:snapToGrid w:val="0"/>
      <w:spacing w:after="0" w:line="360" w:lineRule="exact"/>
      <w:ind w:left="0" w:leftChars="0"/>
      <w:jc w:val="center"/>
    </w:pPr>
    <w:rPr>
      <w:rFonts w:ascii="宋体" w:hAnsi="宋体"/>
      <w:color w:val="FF0000"/>
      <w:kern w:val="2"/>
      <w:sz w:val="21"/>
      <w:szCs w:val="21"/>
    </w:rPr>
  </w:style>
  <w:style w:type="paragraph" w:customStyle="1" w:styleId="256">
    <w:name w:val="Char2"/>
    <w:basedOn w:val="1"/>
    <w:autoRedefine/>
    <w:qFormat/>
    <w:uiPriority w:val="0"/>
    <w:pPr>
      <w:snapToGrid w:val="0"/>
      <w:spacing w:line="360" w:lineRule="auto"/>
      <w:ind w:firstLine="529" w:firstLineChars="200"/>
    </w:pPr>
    <w:rPr>
      <w:rFonts w:ascii="宋体" w:hAnsi="宋体"/>
      <w:b/>
    </w:rPr>
  </w:style>
  <w:style w:type="paragraph" w:customStyle="1" w:styleId="257">
    <w:name w:val="Char Char1 Char Char Char Char Char Char Char Char Char Char Char Char Char Char Char Char Char Char Char Char1 Char1"/>
    <w:basedOn w:val="1"/>
    <w:autoRedefine/>
    <w:qFormat/>
    <w:uiPriority w:val="0"/>
    <w:pPr>
      <w:spacing w:line="360" w:lineRule="auto"/>
      <w:ind w:firstLine="200" w:firstLineChars="200"/>
    </w:pPr>
    <w:rPr>
      <w:rFonts w:ascii="宋体" w:hAnsi="宋体" w:cs="宋体"/>
      <w:sz w:val="24"/>
    </w:rPr>
  </w:style>
  <w:style w:type="paragraph" w:customStyle="1" w:styleId="258">
    <w:name w:val="中文报告书样式"/>
    <w:basedOn w:val="1"/>
    <w:autoRedefine/>
    <w:qFormat/>
    <w:uiPriority w:val="0"/>
    <w:pPr>
      <w:adjustRightInd w:val="0"/>
      <w:spacing w:line="480" w:lineRule="atLeast"/>
      <w:ind w:firstLine="482"/>
      <w:textAlignment w:val="baseline"/>
    </w:pPr>
    <w:rPr>
      <w:kern w:val="24"/>
      <w:sz w:val="24"/>
      <w:szCs w:val="20"/>
    </w:rPr>
  </w:style>
  <w:style w:type="paragraph" w:customStyle="1" w:styleId="259">
    <w:name w:val="Char Char Char Char Char Char Char Char Char Char"/>
    <w:basedOn w:val="1"/>
    <w:autoRedefine/>
    <w:qFormat/>
    <w:uiPriority w:val="0"/>
    <w:pPr>
      <w:spacing w:line="240" w:lineRule="exact"/>
      <w:ind w:firstLine="200" w:firstLineChars="200"/>
    </w:pPr>
    <w:rPr>
      <w:rFonts w:ascii="宋体" w:hAnsi="宋体" w:cs="宋体"/>
      <w:sz w:val="24"/>
    </w:rPr>
  </w:style>
  <w:style w:type="paragraph" w:customStyle="1" w:styleId="260">
    <w:name w:val="样式 正文文本缩进 + Times New Roman"/>
    <w:basedOn w:val="13"/>
    <w:autoRedefine/>
    <w:qFormat/>
    <w:uiPriority w:val="0"/>
    <w:pPr>
      <w:spacing w:after="0" w:line="360" w:lineRule="auto"/>
      <w:ind w:left="0" w:leftChars="0" w:firstLine="480" w:firstLineChars="200"/>
    </w:pPr>
    <w:rPr>
      <w:kern w:val="2"/>
    </w:rPr>
  </w:style>
  <w:style w:type="paragraph" w:customStyle="1" w:styleId="261">
    <w:name w:val="1.1.1"/>
    <w:basedOn w:val="1"/>
    <w:autoRedefine/>
    <w:qFormat/>
    <w:uiPriority w:val="0"/>
    <w:rPr>
      <w:rFonts w:ascii="黑体" w:hAnsi="宋体"/>
      <w:sz w:val="24"/>
    </w:rPr>
  </w:style>
  <w:style w:type="paragraph" w:customStyle="1" w:styleId="262">
    <w:name w:val="小四表文左齐"/>
    <w:basedOn w:val="1"/>
    <w:autoRedefine/>
    <w:qFormat/>
    <w:uiPriority w:val="0"/>
    <w:pPr>
      <w:adjustRightInd w:val="0"/>
      <w:snapToGrid w:val="0"/>
      <w:jc w:val="center"/>
    </w:pPr>
    <w:rPr>
      <w:rFonts w:ascii="仿宋_GB2312" w:eastAsia="仿宋_GB2312"/>
      <w:szCs w:val="21"/>
    </w:rPr>
  </w:style>
  <w:style w:type="paragraph" w:customStyle="1" w:styleId="263">
    <w:name w:val="ae正文zzzzzzzz"/>
    <w:basedOn w:val="1"/>
    <w:autoRedefine/>
    <w:qFormat/>
    <w:uiPriority w:val="0"/>
    <w:pPr>
      <w:spacing w:line="520" w:lineRule="exact"/>
      <w:ind w:firstLine="960" w:firstLineChars="200"/>
    </w:pPr>
    <w:rPr>
      <w:kern w:val="0"/>
      <w:sz w:val="24"/>
      <w:szCs w:val="20"/>
    </w:rPr>
  </w:style>
  <w:style w:type="paragraph" w:customStyle="1" w:styleId="264">
    <w:name w:val="Char Char Char Char1"/>
    <w:basedOn w:val="1"/>
    <w:autoRedefine/>
    <w:qFormat/>
    <w:uiPriority w:val="0"/>
    <w:pPr>
      <w:widowControl/>
      <w:adjustRightInd w:val="0"/>
      <w:spacing w:after="160" w:line="240" w:lineRule="exact"/>
      <w:jc w:val="left"/>
    </w:pPr>
    <w:rPr>
      <w:rFonts w:ascii="Arial" w:hAnsi="Arial" w:eastAsia="Times New Roman" w:cs="Verdana"/>
      <w:b/>
      <w:kern w:val="0"/>
      <w:sz w:val="24"/>
      <w:lang w:eastAsia="en-US"/>
    </w:rPr>
  </w:style>
  <w:style w:type="paragraph" w:customStyle="1" w:styleId="265">
    <w:name w:val="表头文字"/>
    <w:basedOn w:val="1"/>
    <w:autoRedefine/>
    <w:qFormat/>
    <w:uiPriority w:val="0"/>
    <w:pPr>
      <w:jc w:val="center"/>
    </w:pPr>
    <w:rPr>
      <w:rFonts w:eastAsia="黑体"/>
      <w:sz w:val="24"/>
      <w:szCs w:val="20"/>
    </w:rPr>
  </w:style>
  <w:style w:type="paragraph" w:customStyle="1" w:styleId="266">
    <w:name w:val="Char Char2"/>
    <w:basedOn w:val="6"/>
    <w:autoRedefine/>
    <w:qFormat/>
    <w:uiPriority w:val="0"/>
    <w:pPr>
      <w:tabs>
        <w:tab w:val="left" w:pos="360"/>
        <w:tab w:val="left" w:pos="900"/>
      </w:tabs>
      <w:snapToGrid w:val="0"/>
      <w:spacing w:before="120" w:after="120" w:line="360" w:lineRule="auto"/>
      <w:ind w:left="542" w:leftChars="-12" w:firstLine="200" w:firstLineChars="200"/>
      <w:jc w:val="left"/>
    </w:pPr>
    <w:rPr>
      <w:rFonts w:eastAsia="黑体"/>
      <w:b w:val="0"/>
      <w:bCs w:val="0"/>
      <w:snapToGrid w:val="0"/>
      <w:sz w:val="24"/>
      <w:szCs w:val="24"/>
    </w:rPr>
  </w:style>
  <w:style w:type="paragraph" w:customStyle="1" w:styleId="267">
    <w:name w:val="xl37"/>
    <w:basedOn w:val="1"/>
    <w:autoRedefine/>
    <w:qFormat/>
    <w:uiPriority w:val="0"/>
    <w:pPr>
      <w:widowControl/>
      <w:pBdr>
        <w:bottom w:val="single" w:color="auto" w:sz="4" w:space="0"/>
        <w:right w:val="single" w:color="auto" w:sz="4" w:space="0"/>
      </w:pBdr>
      <w:spacing w:before="100" w:beforeAutospacing="1" w:after="100" w:afterAutospacing="1"/>
      <w:jc w:val="center"/>
    </w:pPr>
    <w:rPr>
      <w:rFonts w:ascii="宋体" w:hAnsi="宋体"/>
      <w:b/>
      <w:bCs/>
      <w:kern w:val="0"/>
      <w:sz w:val="28"/>
      <w:szCs w:val="28"/>
    </w:rPr>
  </w:style>
  <w:style w:type="paragraph" w:customStyle="1" w:styleId="268">
    <w:name w:val="我的正文"/>
    <w:basedOn w:val="1"/>
    <w:autoRedefine/>
    <w:qFormat/>
    <w:uiPriority w:val="0"/>
    <w:pPr>
      <w:spacing w:line="360" w:lineRule="auto"/>
      <w:ind w:firstLine="480" w:firstLineChars="200"/>
    </w:pPr>
    <w:rPr>
      <w:rFonts w:cs="宋体"/>
      <w:sz w:val="24"/>
    </w:rPr>
  </w:style>
  <w:style w:type="paragraph" w:customStyle="1" w:styleId="269">
    <w:name w:val="样式 小四 行距: 1.5 倍行距 首行缩进:  2 字符"/>
    <w:basedOn w:val="1"/>
    <w:autoRedefine/>
    <w:qFormat/>
    <w:uiPriority w:val="0"/>
    <w:pPr>
      <w:spacing w:line="360" w:lineRule="auto"/>
      <w:ind w:firstLine="480" w:firstLineChars="200"/>
    </w:pPr>
    <w:rPr>
      <w:color w:val="000000"/>
      <w:sz w:val="24"/>
      <w:szCs w:val="20"/>
    </w:rPr>
  </w:style>
  <w:style w:type="paragraph" w:customStyle="1" w:styleId="270">
    <w:name w:val="三级标题"/>
    <w:basedOn w:val="1"/>
    <w:next w:val="1"/>
    <w:autoRedefine/>
    <w:qFormat/>
    <w:uiPriority w:val="0"/>
    <w:pPr>
      <w:spacing w:line="360" w:lineRule="auto"/>
    </w:pPr>
    <w:rPr>
      <w:sz w:val="24"/>
    </w:rPr>
  </w:style>
  <w:style w:type="paragraph" w:customStyle="1" w:styleId="271">
    <w:name w:val="标题-小段"/>
    <w:basedOn w:val="1"/>
    <w:autoRedefine/>
    <w:qFormat/>
    <w:uiPriority w:val="0"/>
    <w:pPr>
      <w:spacing w:line="500" w:lineRule="exact"/>
    </w:pPr>
    <w:rPr>
      <w:rFonts w:ascii="黑体" w:eastAsia="黑体" w:cs="宋体"/>
      <w:sz w:val="24"/>
    </w:rPr>
  </w:style>
  <w:style w:type="paragraph" w:customStyle="1" w:styleId="272">
    <w:name w:val="报告表正文"/>
    <w:basedOn w:val="1"/>
    <w:autoRedefine/>
    <w:qFormat/>
    <w:uiPriority w:val="0"/>
    <w:pPr>
      <w:adjustRightInd w:val="0"/>
      <w:snapToGrid w:val="0"/>
      <w:spacing w:line="440" w:lineRule="atLeast"/>
      <w:ind w:firstLine="200" w:firstLineChars="200"/>
    </w:pPr>
    <w:rPr>
      <w:sz w:val="24"/>
      <w:szCs w:val="20"/>
    </w:rPr>
  </w:style>
  <w:style w:type="paragraph" w:customStyle="1" w:styleId="273">
    <w:name w:val="表内格式zzzzzzz"/>
    <w:basedOn w:val="1"/>
    <w:next w:val="1"/>
    <w:autoRedefine/>
    <w:qFormat/>
    <w:uiPriority w:val="0"/>
    <w:pPr>
      <w:spacing w:line="240" w:lineRule="exact"/>
      <w:ind w:firstLine="200" w:firstLineChars="200"/>
      <w:jc w:val="center"/>
    </w:pPr>
    <w:rPr>
      <w:rFonts w:cs="宋体"/>
      <w:sz w:val="18"/>
      <w:szCs w:val="20"/>
    </w:rPr>
  </w:style>
  <w:style w:type="paragraph" w:customStyle="1" w:styleId="274">
    <w:name w:val="font0"/>
    <w:basedOn w:val="1"/>
    <w:autoRedefine/>
    <w:qFormat/>
    <w:uiPriority w:val="0"/>
    <w:pPr>
      <w:widowControl/>
      <w:spacing w:before="100" w:beforeAutospacing="1" w:after="100" w:afterAutospacing="1"/>
      <w:jc w:val="left"/>
    </w:pPr>
    <w:rPr>
      <w:rFonts w:hint="eastAsia" w:ascii="宋体" w:hAnsi="宋体"/>
      <w:kern w:val="0"/>
      <w:sz w:val="24"/>
    </w:rPr>
  </w:style>
  <w:style w:type="paragraph" w:customStyle="1" w:styleId="275">
    <w:name w:val="Char Char Char Char Char Char Char Char Char"/>
    <w:basedOn w:val="1"/>
    <w:autoRedefine/>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276">
    <w:name w:val="默认段落字体 Para Char Char Char Char Char Char Char Char Char Char"/>
    <w:basedOn w:val="6"/>
    <w:autoRedefine/>
    <w:qFormat/>
    <w:uiPriority w:val="0"/>
    <w:pPr>
      <w:tabs>
        <w:tab w:val="left" w:pos="360"/>
        <w:tab w:val="left" w:pos="900"/>
      </w:tabs>
      <w:snapToGrid w:val="0"/>
      <w:spacing w:before="120" w:after="120" w:line="360" w:lineRule="auto"/>
      <w:ind w:left="542" w:leftChars="-12" w:firstLine="200" w:firstLineChars="200"/>
      <w:jc w:val="left"/>
    </w:pPr>
    <w:rPr>
      <w:rFonts w:eastAsia="黑体"/>
      <w:b w:val="0"/>
      <w:bCs w:val="0"/>
      <w:snapToGrid w:val="0"/>
      <w:sz w:val="24"/>
      <w:szCs w:val="24"/>
    </w:rPr>
  </w:style>
  <w:style w:type="paragraph" w:customStyle="1" w:styleId="277">
    <w:name w:val="表格内容居中"/>
    <w:autoRedefine/>
    <w:qFormat/>
    <w:uiPriority w:val="0"/>
    <w:pPr>
      <w:adjustRightInd w:val="0"/>
      <w:snapToGrid w:val="0"/>
      <w:jc w:val="center"/>
    </w:pPr>
    <w:rPr>
      <w:rFonts w:ascii="Times New Roman" w:hAnsi="Times New Roman" w:eastAsia="宋体" w:cs="Times New Roman"/>
      <w:snapToGrid w:val="0"/>
      <w:sz w:val="21"/>
      <w:lang w:val="en-US" w:eastAsia="zh-CN" w:bidi="ar-SA"/>
    </w:rPr>
  </w:style>
  <w:style w:type="paragraph" w:customStyle="1" w:styleId="278">
    <w:name w:val="图表标题"/>
    <w:basedOn w:val="1"/>
    <w:autoRedefine/>
    <w:qFormat/>
    <w:uiPriority w:val="0"/>
    <w:pPr>
      <w:spacing w:line="500" w:lineRule="exact"/>
      <w:jc w:val="center"/>
    </w:pPr>
    <w:rPr>
      <w:rFonts w:ascii="黑体" w:eastAsia="黑体"/>
      <w:sz w:val="24"/>
    </w:rPr>
  </w:style>
  <w:style w:type="paragraph" w:customStyle="1" w:styleId="279">
    <w:name w:val="Char Char Char Char Char Char Char1"/>
    <w:basedOn w:val="1"/>
    <w:autoRedefine/>
    <w:qFormat/>
    <w:uiPriority w:val="0"/>
    <w:rPr>
      <w:sz w:val="24"/>
    </w:rPr>
  </w:style>
  <w:style w:type="paragraph" w:customStyle="1" w:styleId="280">
    <w:name w:val="样式 首行缩进:  0.99 厘米 行距: 固定值 21.5 磅"/>
    <w:basedOn w:val="1"/>
    <w:autoRedefine/>
    <w:semiHidden/>
    <w:qFormat/>
    <w:uiPriority w:val="0"/>
    <w:pPr>
      <w:spacing w:line="480" w:lineRule="exact"/>
      <w:ind w:firstLine="561" w:firstLineChars="200"/>
    </w:pPr>
    <w:rPr>
      <w:sz w:val="24"/>
      <w:szCs w:val="20"/>
    </w:rPr>
  </w:style>
  <w:style w:type="paragraph" w:customStyle="1" w:styleId="281">
    <w:name w:val="Char Char Char4 Char Char Char Char Char Char3 Char Char Char"/>
    <w:basedOn w:val="1"/>
    <w:autoRedefine/>
    <w:qFormat/>
    <w:uiPriority w:val="0"/>
    <w:rPr>
      <w:rFonts w:ascii="宋体" w:eastAsia="黑体"/>
      <w:kern w:val="0"/>
      <w:sz w:val="24"/>
      <w:szCs w:val="20"/>
    </w:rPr>
  </w:style>
  <w:style w:type="paragraph" w:customStyle="1" w:styleId="282">
    <w:name w:val="表格填充1"/>
    <w:basedOn w:val="1"/>
    <w:autoRedefine/>
    <w:qFormat/>
    <w:uiPriority w:val="0"/>
    <w:pPr>
      <w:adjustRightInd w:val="0"/>
      <w:snapToGrid w:val="0"/>
      <w:spacing w:line="400" w:lineRule="exact"/>
      <w:jc w:val="center"/>
    </w:pPr>
    <w:rPr>
      <w:snapToGrid w:val="0"/>
      <w:kern w:val="0"/>
      <w:szCs w:val="18"/>
    </w:rPr>
  </w:style>
  <w:style w:type="paragraph" w:customStyle="1" w:styleId="283">
    <w:name w:val="表体"/>
    <w:basedOn w:val="1"/>
    <w:autoRedefine/>
    <w:qFormat/>
    <w:uiPriority w:val="0"/>
    <w:pPr>
      <w:overflowPunct w:val="0"/>
      <w:adjustRightInd w:val="0"/>
      <w:spacing w:line="300" w:lineRule="atLeast"/>
      <w:jc w:val="center"/>
      <w:textAlignment w:val="baseline"/>
    </w:pPr>
    <w:rPr>
      <w:color w:val="000000"/>
      <w:kern w:val="24"/>
      <w:sz w:val="18"/>
      <w:szCs w:val="20"/>
    </w:rPr>
  </w:style>
  <w:style w:type="paragraph" w:customStyle="1" w:styleId="284">
    <w:name w:val="正文2"/>
    <w:autoRedefine/>
    <w:qFormat/>
    <w:uiPriority w:val="0"/>
    <w:pPr>
      <w:widowControl w:val="0"/>
      <w:suppressAutoHyphens/>
      <w:spacing w:line="520" w:lineRule="atLeast"/>
      <w:ind w:firstLine="200"/>
      <w:jc w:val="both"/>
    </w:pPr>
    <w:rPr>
      <w:rFonts w:ascii="Times New Roman" w:hAnsi="Times New Roman" w:eastAsia="宋体" w:cs="Times New Roman"/>
      <w:spacing w:val="18"/>
      <w:sz w:val="32"/>
      <w:lang w:val="en-US" w:eastAsia="zh-CN" w:bidi="ar-SA"/>
    </w:rPr>
  </w:style>
  <w:style w:type="paragraph" w:customStyle="1" w:styleId="285">
    <w:name w:val="Char Char Char Char Char Char"/>
    <w:basedOn w:val="1"/>
    <w:autoRedefine/>
    <w:qFormat/>
    <w:uiPriority w:val="0"/>
    <w:rPr>
      <w:sz w:val="24"/>
    </w:rPr>
  </w:style>
  <w:style w:type="paragraph" w:customStyle="1" w:styleId="286">
    <w:name w:val="2.1.1"/>
    <w:basedOn w:val="1"/>
    <w:autoRedefine/>
    <w:qFormat/>
    <w:uiPriority w:val="0"/>
    <w:rPr>
      <w:sz w:val="24"/>
      <w:szCs w:val="20"/>
    </w:rPr>
  </w:style>
  <w:style w:type="paragraph" w:customStyle="1" w:styleId="287">
    <w:name w:val="2"/>
    <w:basedOn w:val="1"/>
    <w:next w:val="1"/>
    <w:autoRedefine/>
    <w:qFormat/>
    <w:uiPriority w:val="0"/>
    <w:pPr>
      <w:spacing w:line="280" w:lineRule="exact"/>
      <w:jc w:val="center"/>
    </w:pPr>
    <w:rPr>
      <w:rFonts w:eastAsia="楷体_GB2312"/>
      <w:shd w:val="pct10" w:color="auto" w:fill="FFFFFF"/>
    </w:rPr>
  </w:style>
  <w:style w:type="paragraph" w:customStyle="1" w:styleId="288">
    <w:name w:val="标题-图表"/>
    <w:basedOn w:val="1"/>
    <w:autoRedefine/>
    <w:qFormat/>
    <w:uiPriority w:val="0"/>
    <w:pPr>
      <w:spacing w:line="500" w:lineRule="exact"/>
      <w:jc w:val="center"/>
    </w:pPr>
    <w:rPr>
      <w:rFonts w:ascii="黑体" w:eastAsia="黑体"/>
      <w:sz w:val="24"/>
    </w:rPr>
  </w:style>
  <w:style w:type="table" w:customStyle="1" w:styleId="289">
    <w:name w:val="网格型1"/>
    <w:basedOn w:val="4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0">
    <w:name w:val="表格样式1"/>
    <w:basedOn w:val="41"/>
    <w:autoRedefine/>
    <w:qFormat/>
    <w:uiPriority w:val="0"/>
    <w:pPr>
      <w:widowControl w:val="0"/>
      <w:spacing w:line="360" w:lineRule="exact"/>
      <w:jc w:val="both"/>
    </w:pPr>
    <w:tblP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
  </w:style>
  <w:style w:type="table" w:customStyle="1" w:styleId="291">
    <w:name w:val="表格样式2"/>
    <w:basedOn w:val="41"/>
    <w:autoRedefine/>
    <w:qFormat/>
    <w:uiPriority w:val="0"/>
    <w:pPr>
      <w:widowControl w:val="0"/>
      <w:jc w:val="both"/>
    </w:pPr>
    <w:tblP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Pr>
  </w:style>
  <w:style w:type="paragraph" w:customStyle="1" w:styleId="292">
    <w:name w:val="正文格式"/>
    <w:basedOn w:val="1"/>
    <w:autoRedefine/>
    <w:qFormat/>
    <w:uiPriority w:val="0"/>
    <w:pPr>
      <w:autoSpaceDE w:val="0"/>
      <w:autoSpaceDN w:val="0"/>
      <w:adjustRightInd w:val="0"/>
      <w:snapToGrid w:val="0"/>
      <w:spacing w:line="440" w:lineRule="exact"/>
      <w:ind w:firstLine="720" w:firstLineChars="200"/>
    </w:pPr>
    <w:rPr>
      <w:kern w:val="0"/>
      <w:sz w:val="24"/>
    </w:rPr>
  </w:style>
  <w:style w:type="paragraph" w:customStyle="1" w:styleId="293">
    <w:name w:val="图片表题"/>
    <w:basedOn w:val="1"/>
    <w:autoRedefine/>
    <w:qFormat/>
    <w:uiPriority w:val="0"/>
    <w:pPr>
      <w:numPr>
        <w:ilvl w:val="0"/>
        <w:numId w:val="2"/>
      </w:numPr>
      <w:adjustRightInd w:val="0"/>
      <w:snapToGrid w:val="0"/>
      <w:spacing w:before="120"/>
      <w:jc w:val="center"/>
      <w:outlineLvl w:val="0"/>
    </w:pPr>
    <w:rPr>
      <w:rFonts w:hint="eastAsia"/>
      <w:b/>
      <w:bCs/>
      <w:szCs w:val="72"/>
    </w:rPr>
  </w:style>
  <w:style w:type="paragraph" w:customStyle="1" w:styleId="294">
    <w:name w:val="表格内正文"/>
    <w:basedOn w:val="1"/>
    <w:autoRedefine/>
    <w:qFormat/>
    <w:uiPriority w:val="0"/>
    <w:pPr>
      <w:ind w:firstLine="480" w:firstLineChars="200"/>
    </w:pPr>
    <w:rPr>
      <w:rFonts w:hint="eastAsia"/>
    </w:rPr>
  </w:style>
  <w:style w:type="paragraph" w:customStyle="1" w:styleId="295">
    <w:name w:val="报告表头"/>
    <w:basedOn w:val="1"/>
    <w:autoRedefine/>
    <w:qFormat/>
    <w:uiPriority w:val="0"/>
    <w:pPr>
      <w:keepNext/>
      <w:numPr>
        <w:ilvl w:val="0"/>
        <w:numId w:val="3"/>
      </w:numPr>
      <w:overflowPunct w:val="0"/>
      <w:snapToGrid w:val="0"/>
      <w:jc w:val="center"/>
      <w:outlineLvl w:val="0"/>
    </w:pPr>
    <w:rPr>
      <w:rFonts w:hint="eastAsia" w:eastAsia="黑体"/>
      <w:bCs/>
      <w:color w:val="000000"/>
      <w:kern w:val="44"/>
      <w:szCs w:val="30"/>
    </w:rPr>
  </w:style>
  <w:style w:type="paragraph" w:customStyle="1" w:styleId="296">
    <w:name w:val="正文小四首缩1.3行距"/>
    <w:basedOn w:val="1"/>
    <w:autoRedefine/>
    <w:qFormat/>
    <w:uiPriority w:val="0"/>
    <w:pPr>
      <w:widowControl/>
      <w:spacing w:line="312" w:lineRule="auto"/>
      <w:ind w:firstLine="420" w:firstLineChars="200"/>
      <w:jc w:val="left"/>
    </w:pPr>
    <w:rPr>
      <w:rFonts w:ascii="宋体" w:hAnsi="宋体"/>
      <w:kern w:val="0"/>
      <w:sz w:val="24"/>
      <w:szCs w:val="20"/>
    </w:rPr>
  </w:style>
  <w:style w:type="character" w:customStyle="1" w:styleId="297">
    <w:name w:val="zw1"/>
    <w:basedOn w:val="44"/>
    <w:autoRedefine/>
    <w:qFormat/>
    <w:uiPriority w:val="0"/>
    <w:rPr>
      <w:rFonts w:hint="eastAsia" w:ascii="宋体" w:hAnsi="宋体" w:eastAsia="宋体"/>
      <w:sz w:val="22"/>
      <w:szCs w:val="22"/>
    </w:rPr>
  </w:style>
  <w:style w:type="character" w:customStyle="1" w:styleId="298">
    <w:name w:val="bt21"/>
    <w:basedOn w:val="44"/>
    <w:autoRedefine/>
    <w:qFormat/>
    <w:uiPriority w:val="0"/>
    <w:rPr>
      <w:rFonts w:hint="eastAsia" w:ascii="黑体" w:eastAsia="黑体"/>
      <w:sz w:val="24"/>
      <w:szCs w:val="24"/>
    </w:rPr>
  </w:style>
  <w:style w:type="character" w:styleId="299">
    <w:name w:val="Placeholder Text"/>
    <w:basedOn w:val="44"/>
    <w:autoRedefine/>
    <w:semiHidden/>
    <w:qFormat/>
    <w:uiPriority w:val="99"/>
    <w:rPr>
      <w:color w:val="808080"/>
    </w:rPr>
  </w:style>
  <w:style w:type="paragraph" w:customStyle="1" w:styleId="300">
    <w:name w:val="Char3"/>
    <w:basedOn w:val="1"/>
    <w:autoRedefine/>
    <w:qFormat/>
    <w:uiPriority w:val="0"/>
    <w:pPr>
      <w:snapToGrid w:val="0"/>
      <w:spacing w:line="360" w:lineRule="auto"/>
      <w:ind w:firstLine="529" w:firstLineChars="200"/>
    </w:pPr>
    <w:rPr>
      <w:rFonts w:ascii="宋体" w:hAnsi="宋体"/>
      <w:b/>
    </w:rPr>
  </w:style>
  <w:style w:type="paragraph" w:customStyle="1" w:styleId="301">
    <w:name w:val="样式4"/>
    <w:basedOn w:val="1"/>
    <w:autoRedefine/>
    <w:qFormat/>
    <w:uiPriority w:val="0"/>
    <w:pPr>
      <w:spacing w:line="360" w:lineRule="auto"/>
      <w:ind w:firstLine="200" w:firstLineChars="200"/>
      <w:jc w:val="left"/>
    </w:pPr>
    <w:rPr>
      <w:rFonts w:ascii="Calibri" w:hAnsi="Calibri"/>
      <w:sz w:val="28"/>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jpeg"/><Relationship Id="rId7" Type="http://schemas.openxmlformats.org/officeDocument/2006/relationships/theme" Target="theme/theme1.xml"/><Relationship Id="rId60" Type="http://schemas.openxmlformats.org/officeDocument/2006/relationships/fontTable" Target="fontTable.xml"/><Relationship Id="rId6" Type="http://schemas.openxmlformats.org/officeDocument/2006/relationships/footer" Target="footer4.xml"/><Relationship Id="rId59" Type="http://schemas.openxmlformats.org/officeDocument/2006/relationships/numbering" Target="numbering.xml"/><Relationship Id="rId58" Type="http://schemas.openxmlformats.org/officeDocument/2006/relationships/customXml" Target="../customXml/item1.xml"/><Relationship Id="rId57" Type="http://schemas.openxmlformats.org/officeDocument/2006/relationships/image" Target="media/image47.jpeg"/><Relationship Id="rId56" Type="http://schemas.openxmlformats.org/officeDocument/2006/relationships/image" Target="media/image46.jpeg"/><Relationship Id="rId55" Type="http://schemas.openxmlformats.org/officeDocument/2006/relationships/image" Target="media/image45.jpeg"/><Relationship Id="rId54" Type="http://schemas.openxmlformats.org/officeDocument/2006/relationships/image" Target="media/image44.jpeg"/><Relationship Id="rId53" Type="http://schemas.openxmlformats.org/officeDocument/2006/relationships/image" Target="media/image43.jpeg"/><Relationship Id="rId52" Type="http://schemas.openxmlformats.org/officeDocument/2006/relationships/image" Target="media/image42.jpe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3.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jpe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jpeg"/><Relationship Id="rId40" Type="http://schemas.openxmlformats.org/officeDocument/2006/relationships/image" Target="media/image30.png"/><Relationship Id="rId4" Type="http://schemas.openxmlformats.org/officeDocument/2006/relationships/footer" Target="foot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wmf"/><Relationship Id="rId2" Type="http://schemas.openxmlformats.org/officeDocument/2006/relationships/settings" Target="settings.xml"/><Relationship Id="rId19" Type="http://schemas.openxmlformats.org/officeDocument/2006/relationships/oleObject" Target="embeddings/oleObject3.bin"/><Relationship Id="rId18" Type="http://schemas.openxmlformats.org/officeDocument/2006/relationships/image" Target="media/image9.png"/><Relationship Id="rId17" Type="http://schemas.openxmlformats.org/officeDocument/2006/relationships/image" Target="media/image8.emf"/><Relationship Id="rId16" Type="http://schemas.openxmlformats.org/officeDocument/2006/relationships/oleObject" Target="embeddings/oleObject2.bin"/><Relationship Id="rId15" Type="http://schemas.openxmlformats.org/officeDocument/2006/relationships/image" Target="media/image7.emf"/><Relationship Id="rId14" Type="http://schemas.openxmlformats.org/officeDocument/2006/relationships/oleObject" Target="embeddings/oleObject1.bin"/><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80</Pages>
  <Words>5622</Words>
  <Characters>32050</Characters>
  <Lines>267</Lines>
  <Paragraphs>75</Paragraphs>
  <TotalTime>11</TotalTime>
  <ScaleCrop>false</ScaleCrop>
  <LinksUpToDate>false</LinksUpToDate>
  <CharactersWithSpaces>37597</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2024-03-28T14:01:00Z</dcterms:created>
  <dc:creator>lhj</dc:creator>
  <cp:lastModifiedBy>张瑶</cp:lastModifiedBy>
  <cp:lastPrinted>2024-03-28T09:57:00Z</cp:lastPrinted>
  <dcterms:modified xsi:type="dcterms:W3CDTF">2024-03-29T02:37:08Z</dcterms:modified>
  <dc:title>附件2</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789B97C1DB3849E28D74FE7491A54606_13</vt:lpwstr>
  </property>
</Properties>
</file>