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5714FBA">
      <w:pPr>
        <w:rPr>
          <w:rFonts w:ascii="仿宋_GB2312" w:hAnsi="仿宋_GB2312" w:eastAsia="仿宋_GB2312" w:cs="仿宋_GB2312"/>
          <w:color w:val="auto"/>
          <w:sz w:val="36"/>
          <w:szCs w:val="36"/>
        </w:rPr>
      </w:pPr>
    </w:p>
    <w:p w14:paraId="3D101FD0">
      <w:pPr>
        <w:rPr>
          <w:rFonts w:ascii="仿宋_GB2312" w:hAnsi="仿宋_GB2312" w:eastAsia="仿宋_GB2312" w:cs="仿宋_GB2312"/>
          <w:color w:val="auto"/>
          <w:sz w:val="36"/>
          <w:szCs w:val="36"/>
        </w:rPr>
      </w:pPr>
    </w:p>
    <w:p w14:paraId="3B621FCD">
      <w:pPr>
        <w:rPr>
          <w:rFonts w:ascii="仿宋_GB2312" w:hAnsi="仿宋_GB2312" w:eastAsia="仿宋_GB2312" w:cs="仿宋_GB2312"/>
          <w:color w:val="auto"/>
          <w:sz w:val="36"/>
          <w:szCs w:val="36"/>
        </w:rPr>
      </w:pPr>
    </w:p>
    <w:p w14:paraId="4367A460">
      <w:pPr>
        <w:rPr>
          <w:rFonts w:hint="eastAsia" w:ascii="仿宋_GB2312" w:hAnsi="仿宋_GB2312" w:eastAsia="仿宋_GB2312" w:cs="仿宋_GB2312"/>
          <w:color w:val="auto"/>
          <w:sz w:val="36"/>
          <w:szCs w:val="36"/>
        </w:rPr>
      </w:pPr>
    </w:p>
    <w:p w14:paraId="19156F6F">
      <w:pPr>
        <w:adjustRightInd w:val="0"/>
        <w:snapToGrid w:val="0"/>
        <w:jc w:val="center"/>
        <w:outlineLvl w:val="0"/>
        <w:rPr>
          <w:rFonts w:hint="eastAsia" w:ascii="方正小标宋_GBK" w:eastAsia="方正小标宋_GBK"/>
          <w:bCs/>
          <w:color w:val="auto"/>
          <w:sz w:val="72"/>
          <w:szCs w:val="72"/>
        </w:rPr>
      </w:pPr>
      <w:r>
        <w:rPr>
          <w:rFonts w:hint="eastAsia" w:ascii="方正小标宋_GBK" w:eastAsia="方正小标宋_GBK"/>
          <w:bCs/>
          <w:color w:val="auto"/>
          <w:sz w:val="72"/>
          <w:szCs w:val="72"/>
        </w:rPr>
        <w:t xml:space="preserve"> </w:t>
      </w:r>
      <w:r>
        <w:rPr>
          <w:rFonts w:ascii="方正小标宋_GBK" w:eastAsia="方正小标宋_GBK"/>
          <w:bCs/>
          <w:color w:val="auto"/>
          <w:sz w:val="72"/>
          <w:szCs w:val="72"/>
        </w:rPr>
        <w:t xml:space="preserve"> </w:t>
      </w:r>
      <w:r>
        <w:rPr>
          <w:rFonts w:hint="eastAsia" w:ascii="方正小标宋_GBK" w:eastAsia="方正小标宋_GBK"/>
          <w:bCs/>
          <w:color w:val="auto"/>
          <w:sz w:val="72"/>
          <w:szCs w:val="72"/>
        </w:rPr>
        <w:t>建设项目环境影响报告表</w:t>
      </w:r>
    </w:p>
    <w:p w14:paraId="04DBA5A1">
      <w:pPr>
        <w:adjustRightInd w:val="0"/>
        <w:snapToGrid w:val="0"/>
        <w:spacing w:before="249" w:beforeLines="80"/>
        <w:jc w:val="center"/>
        <w:rPr>
          <w:rFonts w:hint="eastAsia" w:ascii="楷体_GB2312" w:eastAsia="楷体_GB2312"/>
          <w:bCs/>
          <w:color w:val="auto"/>
          <w:sz w:val="48"/>
          <w:szCs w:val="48"/>
        </w:rPr>
      </w:pPr>
      <w:r>
        <w:rPr>
          <w:rFonts w:hint="eastAsia" w:ascii="楷体_GB2312" w:eastAsia="楷体_GB2312"/>
          <w:bCs/>
          <w:color w:val="auto"/>
          <w:sz w:val="48"/>
          <w:szCs w:val="48"/>
        </w:rPr>
        <w:t xml:space="preserve"> </w:t>
      </w:r>
      <w:r>
        <w:rPr>
          <w:rFonts w:ascii="楷体_GB2312" w:eastAsia="楷体_GB2312"/>
          <w:bCs/>
          <w:color w:val="auto"/>
          <w:sz w:val="48"/>
          <w:szCs w:val="48"/>
        </w:rPr>
        <w:t xml:space="preserve"> </w:t>
      </w:r>
      <w:r>
        <w:rPr>
          <w:rFonts w:hint="eastAsia" w:ascii="楷体_GB2312" w:eastAsia="楷体_GB2312"/>
          <w:bCs/>
          <w:color w:val="auto"/>
          <w:sz w:val="48"/>
          <w:szCs w:val="48"/>
        </w:rPr>
        <w:t>（污染影响类）</w:t>
      </w:r>
    </w:p>
    <w:p w14:paraId="24EAA0AB">
      <w:pPr>
        <w:adjustRightInd w:val="0"/>
        <w:snapToGrid w:val="0"/>
        <w:spacing w:line="288" w:lineRule="auto"/>
        <w:jc w:val="center"/>
        <w:outlineLvl w:val="0"/>
        <w:rPr>
          <w:rFonts w:ascii="华文仿宋" w:hAnsi="华文仿宋" w:eastAsia="华文仿宋" w:cs="华文仿宋"/>
          <w:color w:val="auto"/>
          <w:kern w:val="44"/>
          <w:sz w:val="44"/>
          <w:szCs w:val="44"/>
        </w:rPr>
      </w:pPr>
    </w:p>
    <w:p w14:paraId="0DA2925B">
      <w:pPr>
        <w:jc w:val="center"/>
        <w:rPr>
          <w:rFonts w:eastAsia="仿宋"/>
          <w:color w:val="auto"/>
          <w:sz w:val="52"/>
          <w:szCs w:val="52"/>
        </w:rPr>
      </w:pPr>
    </w:p>
    <w:p w14:paraId="04182B9E">
      <w:pPr>
        <w:jc w:val="center"/>
        <w:rPr>
          <w:rFonts w:hint="eastAsia" w:eastAsia="仿宋"/>
          <w:color w:val="auto"/>
          <w:sz w:val="52"/>
          <w:szCs w:val="52"/>
        </w:rPr>
      </w:pPr>
    </w:p>
    <w:p w14:paraId="3B68BBEB">
      <w:pPr>
        <w:ind w:firstLine="1040"/>
        <w:rPr>
          <w:rFonts w:eastAsia="仿宋"/>
          <w:color w:val="auto"/>
          <w:sz w:val="44"/>
          <w:szCs w:val="44"/>
        </w:rPr>
      </w:pPr>
    </w:p>
    <w:p w14:paraId="6376F8C9">
      <w:pPr>
        <w:ind w:firstLine="1040"/>
        <w:rPr>
          <w:rFonts w:eastAsia="仿宋"/>
          <w:color w:val="auto"/>
          <w:sz w:val="44"/>
          <w:szCs w:val="44"/>
        </w:rPr>
      </w:pPr>
    </w:p>
    <w:p w14:paraId="3E6DAB8C">
      <w:pPr>
        <w:ind w:firstLine="1040"/>
        <w:rPr>
          <w:rFonts w:eastAsia="仿宋"/>
          <w:color w:val="auto"/>
          <w:sz w:val="44"/>
          <w:szCs w:val="44"/>
        </w:rPr>
      </w:pPr>
    </w:p>
    <w:p w14:paraId="58C00453">
      <w:pPr>
        <w:adjustRightInd w:val="0"/>
        <w:snapToGrid w:val="0"/>
        <w:spacing w:line="288" w:lineRule="auto"/>
        <w:ind w:firstLine="840" w:firstLineChars="300"/>
        <w:jc w:val="both"/>
        <w:rPr>
          <w:rFonts w:hint="default" w:ascii="仿宋_GB2312" w:hAnsi="Times New Roman" w:eastAsia="仿宋_GB2312" w:cs="Times New Roman"/>
          <w:color w:val="auto"/>
          <w:sz w:val="28"/>
          <w:szCs w:val="28"/>
          <w:u w:val="single"/>
          <w:lang w:val="en-US" w:eastAsia="zh-CN"/>
        </w:rPr>
      </w:pPr>
      <w:r>
        <w:rPr>
          <w:rFonts w:hint="eastAsia" w:ascii="仿宋_GB2312" w:eastAsia="仿宋_GB2312"/>
          <w:color w:val="auto"/>
          <w:sz w:val="28"/>
          <w:szCs w:val="28"/>
        </w:rPr>
        <w:t>项目名称：</w:t>
      </w:r>
      <w:r>
        <w:rPr>
          <w:rFonts w:hint="eastAsia" w:ascii="仿宋_GB2312" w:eastAsia="仿宋_GB2312"/>
          <w:color w:val="auto"/>
          <w:sz w:val="28"/>
          <w:szCs w:val="28"/>
          <w:u w:val="single"/>
          <w:lang w:val="en-US" w:eastAsia="zh-CN"/>
        </w:rPr>
        <w:t xml:space="preserve">        </w:t>
      </w:r>
      <w:r>
        <w:rPr>
          <w:rFonts w:hint="eastAsia" w:ascii="仿宋_GB2312" w:eastAsia="仿宋_GB2312"/>
          <w:color w:val="auto"/>
          <w:sz w:val="28"/>
          <w:szCs w:val="28"/>
          <w:u w:val="single"/>
        </w:rPr>
        <w:t>高性能抛光粉体项目</w:t>
      </w:r>
      <w:r>
        <w:rPr>
          <w:rFonts w:hint="eastAsia" w:ascii="仿宋_GB2312" w:eastAsia="仿宋_GB2312"/>
          <w:color w:val="auto"/>
          <w:sz w:val="28"/>
          <w:szCs w:val="28"/>
          <w:u w:val="single"/>
          <w:lang w:val="en-US" w:eastAsia="zh-CN"/>
        </w:rPr>
        <w:t xml:space="preserve">               </w:t>
      </w:r>
    </w:p>
    <w:p w14:paraId="0CF249E1">
      <w:pPr>
        <w:adjustRightInd w:val="0"/>
        <w:snapToGrid w:val="0"/>
        <w:spacing w:line="288" w:lineRule="auto"/>
        <w:ind w:firstLine="840" w:firstLineChars="300"/>
        <w:jc w:val="both"/>
        <w:rPr>
          <w:rFonts w:hint="default" w:ascii="仿宋_GB2312" w:eastAsia="仿宋_GB2312"/>
          <w:color w:val="auto"/>
          <w:sz w:val="28"/>
          <w:szCs w:val="28"/>
          <w:u w:val="single"/>
          <w:lang w:val="en-US"/>
        </w:rPr>
      </w:pPr>
      <w:r>
        <w:rPr>
          <w:rFonts w:hint="eastAsia" w:ascii="仿宋_GB2312" w:eastAsia="仿宋_GB2312"/>
          <w:color w:val="auto"/>
          <w:sz w:val="28"/>
          <w:szCs w:val="28"/>
        </w:rPr>
        <w:t>建设单位：</w:t>
      </w:r>
      <w:r>
        <w:rPr>
          <w:rFonts w:hint="eastAsia" w:ascii="仿宋_GB2312" w:eastAsia="仿宋_GB2312"/>
          <w:color w:val="auto"/>
          <w:sz w:val="28"/>
          <w:szCs w:val="28"/>
          <w:u w:val="single"/>
          <w:lang w:val="en-US" w:eastAsia="zh-CN"/>
        </w:rPr>
        <w:t xml:space="preserve">      淄博奢瓷装饰材料技术有限公司      </w:t>
      </w:r>
      <w:r>
        <w:rPr>
          <w:rFonts w:hint="eastAsia" w:ascii="仿宋_GB2312" w:hAnsi="Times New Roman" w:eastAsia="仿宋_GB2312" w:cs="Times New Roman"/>
          <w:color w:val="auto"/>
          <w:sz w:val="28"/>
          <w:szCs w:val="28"/>
          <w:u w:val="single"/>
          <w:lang w:val="en-US" w:eastAsia="zh-CN"/>
        </w:rPr>
        <w:t xml:space="preserve"> </w:t>
      </w:r>
    </w:p>
    <w:p w14:paraId="6990A184">
      <w:pPr>
        <w:adjustRightInd w:val="0"/>
        <w:snapToGrid w:val="0"/>
        <w:spacing w:line="288" w:lineRule="auto"/>
        <w:ind w:firstLine="840" w:firstLineChars="300"/>
        <w:jc w:val="both"/>
        <w:rPr>
          <w:rFonts w:hint="default" w:ascii="仿宋_GB2312" w:eastAsia="仿宋_GB2312"/>
          <w:color w:val="auto"/>
          <w:sz w:val="28"/>
          <w:szCs w:val="28"/>
          <w:u w:val="single"/>
          <w:lang w:val="en-US" w:eastAsia="zh-CN"/>
        </w:rPr>
      </w:pPr>
      <w:r>
        <w:rPr>
          <w:rFonts w:hint="eastAsia" w:ascii="仿宋_GB2312" w:eastAsia="仿宋_GB2312"/>
          <w:color w:val="auto"/>
          <w:sz w:val="28"/>
          <w:szCs w:val="28"/>
        </w:rPr>
        <w:t>编制日期：</w:t>
      </w:r>
      <w:r>
        <w:rPr>
          <w:rFonts w:hint="eastAsia" w:ascii="仿宋_GB2312" w:eastAsia="仿宋_GB2312"/>
          <w:color w:val="auto"/>
          <w:sz w:val="28"/>
          <w:szCs w:val="28"/>
          <w:u w:val="single"/>
          <w:lang w:val="en-US" w:eastAsia="zh-CN"/>
        </w:rPr>
        <w:t xml:space="preserve">              </w:t>
      </w:r>
      <w:r>
        <w:rPr>
          <w:rFonts w:hint="eastAsia" w:ascii="仿宋_GB2312" w:eastAsia="仿宋_GB2312"/>
          <w:color w:val="auto"/>
          <w:sz w:val="28"/>
          <w:szCs w:val="28"/>
          <w:u w:val="single"/>
        </w:rPr>
        <w:t>202</w:t>
      </w:r>
      <w:r>
        <w:rPr>
          <w:rFonts w:hint="eastAsia" w:ascii="仿宋_GB2312" w:eastAsia="仿宋_GB2312"/>
          <w:color w:val="auto"/>
          <w:sz w:val="28"/>
          <w:szCs w:val="28"/>
          <w:u w:val="single"/>
          <w:lang w:val="en-US" w:eastAsia="zh-CN"/>
        </w:rPr>
        <w:t>6</w:t>
      </w:r>
      <w:r>
        <w:rPr>
          <w:rFonts w:hint="eastAsia" w:ascii="仿宋_GB2312" w:eastAsia="仿宋_GB2312"/>
          <w:color w:val="auto"/>
          <w:sz w:val="28"/>
          <w:szCs w:val="28"/>
          <w:u w:val="single"/>
        </w:rPr>
        <w:t>年</w:t>
      </w:r>
      <w:r>
        <w:rPr>
          <w:rFonts w:hint="eastAsia" w:ascii="仿宋_GB2312" w:eastAsia="仿宋_GB2312"/>
          <w:color w:val="auto"/>
          <w:sz w:val="28"/>
          <w:szCs w:val="28"/>
          <w:u w:val="single"/>
          <w:lang w:val="en-US" w:eastAsia="zh-CN"/>
        </w:rPr>
        <w:t>3</w:t>
      </w:r>
      <w:r>
        <w:rPr>
          <w:rFonts w:hint="eastAsia" w:ascii="仿宋_GB2312" w:eastAsia="仿宋_GB2312"/>
          <w:color w:val="auto"/>
          <w:sz w:val="28"/>
          <w:szCs w:val="28"/>
          <w:u w:val="single"/>
        </w:rPr>
        <w:t>月</w:t>
      </w:r>
      <w:r>
        <w:rPr>
          <w:rFonts w:hint="eastAsia" w:ascii="仿宋_GB2312" w:eastAsia="仿宋_GB2312"/>
          <w:color w:val="auto"/>
          <w:sz w:val="28"/>
          <w:szCs w:val="28"/>
          <w:u w:val="single"/>
          <w:lang w:val="en-US" w:eastAsia="zh-CN"/>
        </w:rPr>
        <w:t xml:space="preserve">                 </w:t>
      </w:r>
    </w:p>
    <w:p w14:paraId="3D9105FF">
      <w:pPr>
        <w:adjustRightInd w:val="0"/>
        <w:snapToGrid w:val="0"/>
        <w:spacing w:line="288" w:lineRule="auto"/>
        <w:ind w:firstLine="1040"/>
        <w:jc w:val="center"/>
        <w:rPr>
          <w:rFonts w:ascii="仿宋_GB2312" w:eastAsia="仿宋_GB2312"/>
          <w:color w:val="auto"/>
          <w:sz w:val="36"/>
          <w:szCs w:val="36"/>
          <w:u w:val="single"/>
        </w:rPr>
      </w:pPr>
      <w:bookmarkStart w:id="0" w:name="_Hlk57884087"/>
    </w:p>
    <w:p w14:paraId="03C96C0E">
      <w:pPr>
        <w:adjustRightInd w:val="0"/>
        <w:snapToGrid w:val="0"/>
        <w:spacing w:line="288" w:lineRule="auto"/>
        <w:ind w:firstLine="1040"/>
        <w:jc w:val="center"/>
        <w:rPr>
          <w:rFonts w:ascii="仿宋_GB2312" w:eastAsia="仿宋_GB2312"/>
          <w:color w:val="auto"/>
          <w:sz w:val="36"/>
          <w:szCs w:val="36"/>
        </w:rPr>
      </w:pPr>
    </w:p>
    <w:p w14:paraId="0CC95B54">
      <w:pPr>
        <w:adjustRightInd w:val="0"/>
        <w:snapToGrid w:val="0"/>
        <w:spacing w:line="288" w:lineRule="auto"/>
        <w:ind w:firstLine="1040"/>
        <w:jc w:val="center"/>
        <w:rPr>
          <w:rFonts w:ascii="仿宋_GB2312" w:eastAsia="仿宋_GB2312"/>
          <w:color w:val="auto"/>
          <w:sz w:val="36"/>
          <w:szCs w:val="36"/>
        </w:rPr>
      </w:pPr>
    </w:p>
    <w:p w14:paraId="610A8397">
      <w:pPr>
        <w:adjustRightInd w:val="0"/>
        <w:snapToGrid w:val="0"/>
        <w:spacing w:line="288" w:lineRule="auto"/>
        <w:ind w:firstLine="1040"/>
        <w:jc w:val="center"/>
        <w:rPr>
          <w:rFonts w:ascii="仿宋_GB2312" w:eastAsia="仿宋_GB2312"/>
          <w:color w:val="auto"/>
          <w:sz w:val="36"/>
          <w:szCs w:val="36"/>
        </w:rPr>
      </w:pPr>
    </w:p>
    <w:bookmarkEnd w:id="0"/>
    <w:p w14:paraId="177CA4BC">
      <w:pPr>
        <w:jc w:val="center"/>
        <w:rPr>
          <w:b/>
          <w:bCs/>
          <w:color w:val="auto"/>
          <w:sz w:val="24"/>
          <w:szCs w:val="21"/>
        </w:rPr>
      </w:pPr>
      <w:r>
        <w:rPr>
          <w:rFonts w:hint="eastAsia" w:ascii="楷体_GB2312" w:eastAsia="楷体_GB2312"/>
          <w:color w:val="auto"/>
          <w:sz w:val="28"/>
          <w:szCs w:val="28"/>
          <w:lang w:val="en-US" w:eastAsia="zh-CN"/>
        </w:rPr>
        <w:t xml:space="preserve">        </w:t>
      </w:r>
      <w:r>
        <w:rPr>
          <w:rFonts w:hint="eastAsia" w:ascii="楷体_GB2312" w:eastAsia="楷体_GB2312"/>
          <w:color w:val="auto"/>
          <w:sz w:val="28"/>
          <w:szCs w:val="28"/>
        </w:rPr>
        <w:t>中华人民共和国生态环境部</w:t>
      </w:r>
      <w:r>
        <w:rPr>
          <w:rFonts w:ascii="楷体_GB2312" w:eastAsia="楷体_GB2312"/>
          <w:color w:val="auto"/>
          <w:sz w:val="28"/>
          <w:szCs w:val="28"/>
        </w:rPr>
        <w:t>制</w:t>
      </w:r>
    </w:p>
    <w:p w14:paraId="5961726E">
      <w:pPr>
        <w:pStyle w:val="78"/>
        <w:spacing w:line="420" w:lineRule="exact"/>
        <w:jc w:val="center"/>
        <w:outlineLvl w:val="0"/>
        <w:rPr>
          <w:rFonts w:ascii="Times New Roman" w:hAnsi="Times New Roman" w:eastAsia="黑体"/>
          <w:snapToGrid w:val="0"/>
          <w:color w:val="auto"/>
          <w:sz w:val="30"/>
          <w:szCs w:val="30"/>
        </w:rPr>
      </w:pPr>
    </w:p>
    <w:p w14:paraId="1A2AE025">
      <w:pPr>
        <w:pStyle w:val="78"/>
        <w:spacing w:line="420" w:lineRule="exact"/>
        <w:jc w:val="center"/>
        <w:outlineLvl w:val="0"/>
        <w:rPr>
          <w:rFonts w:ascii="Times New Roman" w:hAnsi="Times New Roman" w:eastAsia="黑体"/>
          <w:snapToGrid w:val="0"/>
          <w:color w:val="auto"/>
          <w:sz w:val="30"/>
          <w:szCs w:val="30"/>
        </w:rPr>
      </w:pPr>
    </w:p>
    <w:p w14:paraId="00EA12D9">
      <w:pPr>
        <w:pStyle w:val="78"/>
        <w:spacing w:line="420" w:lineRule="exact"/>
        <w:jc w:val="center"/>
        <w:outlineLvl w:val="0"/>
        <w:rPr>
          <w:rFonts w:ascii="Times New Roman" w:hAnsi="Times New Roman" w:eastAsia="黑体"/>
          <w:snapToGrid w:val="0"/>
          <w:color w:val="auto"/>
          <w:sz w:val="30"/>
          <w:szCs w:val="30"/>
        </w:rPr>
      </w:pPr>
    </w:p>
    <w:p w14:paraId="7489A1A8">
      <w:pPr>
        <w:pStyle w:val="78"/>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一、建设项目基本情况</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413"/>
        <w:gridCol w:w="1818"/>
        <w:gridCol w:w="2419"/>
        <w:gridCol w:w="3220"/>
      </w:tblGrid>
      <w:tr w14:paraId="1CC06D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13" w:type="dxa"/>
            <w:tcMar>
              <w:top w:w="16" w:type="dxa"/>
              <w:left w:w="16" w:type="dxa"/>
              <w:right w:w="16" w:type="dxa"/>
            </w:tcMar>
            <w:vAlign w:val="center"/>
          </w:tcPr>
          <w:p w14:paraId="266F77E9">
            <w:pPr>
              <w:adjustRightInd w:val="0"/>
              <w:snapToGrid w:val="0"/>
              <w:spacing w:line="420" w:lineRule="exact"/>
              <w:jc w:val="center"/>
              <w:rPr>
                <w:color w:val="auto"/>
              </w:rPr>
            </w:pPr>
            <w:r>
              <w:rPr>
                <w:color w:val="auto"/>
              </w:rPr>
              <w:t>建设项目名称</w:t>
            </w:r>
          </w:p>
        </w:tc>
        <w:tc>
          <w:tcPr>
            <w:tcW w:w="7457" w:type="dxa"/>
            <w:gridSpan w:val="3"/>
            <w:vAlign w:val="center"/>
          </w:tcPr>
          <w:p w14:paraId="5FC459DA">
            <w:pPr>
              <w:adjustRightInd w:val="0"/>
              <w:snapToGrid w:val="0"/>
              <w:spacing w:line="420" w:lineRule="exact"/>
              <w:jc w:val="center"/>
              <w:rPr>
                <w:color w:val="auto"/>
              </w:rPr>
            </w:pPr>
            <w:r>
              <w:rPr>
                <w:rFonts w:hint="eastAsia"/>
                <w:color w:val="auto"/>
                <w:lang w:eastAsia="zh-CN"/>
              </w:rPr>
              <w:t>淄博奢瓷装饰材料技术有限公司高性能抛光粉体项目</w:t>
            </w:r>
          </w:p>
        </w:tc>
      </w:tr>
      <w:tr w14:paraId="12CE66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13" w:type="dxa"/>
            <w:tcMar>
              <w:top w:w="16" w:type="dxa"/>
              <w:left w:w="16" w:type="dxa"/>
              <w:right w:w="16" w:type="dxa"/>
            </w:tcMar>
            <w:vAlign w:val="center"/>
          </w:tcPr>
          <w:p w14:paraId="401E0E7C">
            <w:pPr>
              <w:adjustRightInd w:val="0"/>
              <w:snapToGrid w:val="0"/>
              <w:spacing w:line="420" w:lineRule="exact"/>
              <w:jc w:val="center"/>
              <w:rPr>
                <w:color w:val="auto"/>
              </w:rPr>
            </w:pPr>
            <w:r>
              <w:rPr>
                <w:color w:val="auto"/>
              </w:rPr>
              <w:t>项目代码</w:t>
            </w:r>
          </w:p>
        </w:tc>
        <w:tc>
          <w:tcPr>
            <w:tcW w:w="7457" w:type="dxa"/>
            <w:gridSpan w:val="3"/>
            <w:vAlign w:val="center"/>
          </w:tcPr>
          <w:p w14:paraId="26BCC98B">
            <w:pPr>
              <w:adjustRightInd w:val="0"/>
              <w:snapToGrid w:val="0"/>
              <w:spacing w:line="420" w:lineRule="exact"/>
              <w:jc w:val="center"/>
              <w:rPr>
                <w:rFonts w:hint="eastAsia" w:eastAsia="宋体"/>
                <w:color w:val="auto"/>
                <w:lang w:eastAsia="zh-CN"/>
              </w:rPr>
            </w:pPr>
            <w:r>
              <w:rPr>
                <w:rFonts w:hint="eastAsia"/>
                <w:color w:val="auto"/>
                <w:highlight w:val="none"/>
                <w:lang w:eastAsia="zh-CN"/>
              </w:rPr>
              <w:t>2511-370393-89-02-323699</w:t>
            </w:r>
          </w:p>
        </w:tc>
      </w:tr>
      <w:tr w14:paraId="359212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13" w:type="dxa"/>
            <w:tcMar>
              <w:top w:w="16" w:type="dxa"/>
              <w:left w:w="16" w:type="dxa"/>
              <w:right w:w="16" w:type="dxa"/>
            </w:tcMar>
            <w:vAlign w:val="center"/>
          </w:tcPr>
          <w:p w14:paraId="442BAAD7">
            <w:pPr>
              <w:adjustRightInd w:val="0"/>
              <w:snapToGrid w:val="0"/>
              <w:spacing w:line="420" w:lineRule="exact"/>
              <w:jc w:val="center"/>
              <w:rPr>
                <w:color w:val="auto"/>
              </w:rPr>
            </w:pPr>
            <w:r>
              <w:rPr>
                <w:color w:val="auto"/>
              </w:rPr>
              <w:t>建设单位联系人</w:t>
            </w:r>
          </w:p>
        </w:tc>
        <w:tc>
          <w:tcPr>
            <w:tcW w:w="1818" w:type="dxa"/>
            <w:vAlign w:val="center"/>
          </w:tcPr>
          <w:p w14:paraId="082FF8F1">
            <w:pPr>
              <w:adjustRightInd w:val="0"/>
              <w:snapToGrid w:val="0"/>
              <w:spacing w:line="420" w:lineRule="exact"/>
              <w:jc w:val="center"/>
              <w:rPr>
                <w:rFonts w:hint="eastAsia" w:eastAsia="宋体"/>
                <w:color w:val="auto"/>
                <w:lang w:eastAsia="zh-CN"/>
              </w:rPr>
            </w:pPr>
            <w:r>
              <w:rPr>
                <w:rFonts w:hint="eastAsia" w:eastAsia="宋体"/>
                <w:color w:val="auto"/>
                <w:lang w:val="en-US" w:eastAsia="zh-CN"/>
              </w:rPr>
              <w:t>许宏志</w:t>
            </w:r>
          </w:p>
        </w:tc>
        <w:tc>
          <w:tcPr>
            <w:tcW w:w="2419" w:type="dxa"/>
            <w:vAlign w:val="center"/>
          </w:tcPr>
          <w:p w14:paraId="3F98AC08">
            <w:pPr>
              <w:adjustRightInd w:val="0"/>
              <w:snapToGrid w:val="0"/>
              <w:spacing w:line="420" w:lineRule="exact"/>
              <w:jc w:val="center"/>
              <w:rPr>
                <w:color w:val="auto"/>
              </w:rPr>
            </w:pPr>
            <w:r>
              <w:rPr>
                <w:color w:val="auto"/>
              </w:rPr>
              <w:t>联系方式</w:t>
            </w:r>
          </w:p>
        </w:tc>
        <w:tc>
          <w:tcPr>
            <w:tcW w:w="3220" w:type="dxa"/>
            <w:vAlign w:val="center"/>
          </w:tcPr>
          <w:p w14:paraId="70D4A1D9">
            <w:pPr>
              <w:adjustRightInd w:val="0"/>
              <w:snapToGrid w:val="0"/>
              <w:spacing w:line="420" w:lineRule="exact"/>
              <w:jc w:val="center"/>
              <w:rPr>
                <w:color w:val="auto"/>
              </w:rPr>
            </w:pPr>
            <w:r>
              <w:rPr>
                <w:rFonts w:hint="eastAsia"/>
                <w:color w:val="auto"/>
              </w:rPr>
              <w:t>13964346777</w:t>
            </w:r>
          </w:p>
        </w:tc>
      </w:tr>
      <w:tr w14:paraId="327258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13" w:type="dxa"/>
            <w:tcMar>
              <w:top w:w="16" w:type="dxa"/>
              <w:left w:w="16" w:type="dxa"/>
              <w:right w:w="16" w:type="dxa"/>
            </w:tcMar>
            <w:vAlign w:val="center"/>
          </w:tcPr>
          <w:p w14:paraId="27413681">
            <w:pPr>
              <w:adjustRightInd w:val="0"/>
              <w:snapToGrid w:val="0"/>
              <w:spacing w:line="420" w:lineRule="exact"/>
              <w:jc w:val="center"/>
              <w:rPr>
                <w:color w:val="auto"/>
              </w:rPr>
            </w:pPr>
            <w:r>
              <w:rPr>
                <w:color w:val="auto"/>
              </w:rPr>
              <w:t>建设地点</w:t>
            </w:r>
          </w:p>
        </w:tc>
        <w:tc>
          <w:tcPr>
            <w:tcW w:w="7457" w:type="dxa"/>
            <w:gridSpan w:val="3"/>
            <w:vAlign w:val="center"/>
          </w:tcPr>
          <w:p w14:paraId="07AF7FE4">
            <w:pPr>
              <w:adjustRightInd w:val="0"/>
              <w:snapToGrid w:val="0"/>
              <w:spacing w:line="420" w:lineRule="exact"/>
              <w:jc w:val="center"/>
              <w:rPr>
                <w:rFonts w:hint="eastAsia" w:eastAsia="宋体"/>
                <w:color w:val="auto"/>
                <w:lang w:eastAsia="zh-CN"/>
              </w:rPr>
            </w:pPr>
            <w:r>
              <w:rPr>
                <w:rFonts w:hint="eastAsia"/>
                <w:color w:val="auto"/>
                <w:lang w:val="en-US" w:eastAsia="zh-CN"/>
              </w:rPr>
              <w:t>山东省淄博市淄博经济开发区傅家镇李家工业园</w:t>
            </w:r>
          </w:p>
        </w:tc>
      </w:tr>
      <w:tr w14:paraId="0AC7F2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13" w:type="dxa"/>
            <w:tcMar>
              <w:top w:w="16" w:type="dxa"/>
              <w:left w:w="16" w:type="dxa"/>
              <w:right w:w="16" w:type="dxa"/>
            </w:tcMar>
            <w:vAlign w:val="center"/>
          </w:tcPr>
          <w:p w14:paraId="7E9AC085">
            <w:pPr>
              <w:adjustRightInd w:val="0"/>
              <w:snapToGrid w:val="0"/>
              <w:spacing w:line="420" w:lineRule="exact"/>
              <w:jc w:val="center"/>
              <w:rPr>
                <w:color w:val="auto"/>
              </w:rPr>
            </w:pPr>
            <w:r>
              <w:rPr>
                <w:color w:val="auto"/>
              </w:rPr>
              <w:t>地理坐标</w:t>
            </w:r>
          </w:p>
        </w:tc>
        <w:tc>
          <w:tcPr>
            <w:tcW w:w="7457" w:type="dxa"/>
            <w:gridSpan w:val="3"/>
            <w:vAlign w:val="center"/>
          </w:tcPr>
          <w:p w14:paraId="18CB6675">
            <w:pPr>
              <w:spacing w:line="420" w:lineRule="exact"/>
              <w:jc w:val="center"/>
              <w:rPr>
                <w:color w:val="auto"/>
              </w:rPr>
            </w:pPr>
            <w:r>
              <w:rPr>
                <w:color w:val="auto"/>
                <w:highlight w:val="none"/>
              </w:rPr>
              <w:t>（</w:t>
            </w:r>
            <w:r>
              <w:rPr>
                <w:rFonts w:hint="eastAsia"/>
                <w:color w:val="auto"/>
                <w:highlight w:val="none"/>
                <w:lang w:eastAsia="zh-CN"/>
              </w:rPr>
              <w:t>北纬：</w:t>
            </w:r>
            <w:r>
              <w:rPr>
                <w:color w:val="auto"/>
                <w:highlight w:val="none"/>
                <w:u w:val="single"/>
              </w:rPr>
              <w:t>36</w:t>
            </w:r>
            <w:r>
              <w:rPr>
                <w:color w:val="auto"/>
                <w:highlight w:val="none"/>
              </w:rPr>
              <w:t>度</w:t>
            </w:r>
            <w:r>
              <w:rPr>
                <w:rFonts w:hint="eastAsia"/>
                <w:color w:val="auto"/>
                <w:highlight w:val="none"/>
                <w:u w:val="single"/>
                <w:lang w:val="en-US" w:eastAsia="zh-CN"/>
              </w:rPr>
              <w:t>46</w:t>
            </w:r>
            <w:r>
              <w:rPr>
                <w:color w:val="auto"/>
                <w:highlight w:val="none"/>
              </w:rPr>
              <w:t>分</w:t>
            </w:r>
            <w:r>
              <w:rPr>
                <w:rFonts w:hint="eastAsia"/>
                <w:color w:val="auto"/>
                <w:highlight w:val="none"/>
                <w:u w:val="single"/>
                <w:lang w:val="en-US" w:eastAsia="zh-CN"/>
              </w:rPr>
              <w:t>22.488</w:t>
            </w:r>
            <w:r>
              <w:rPr>
                <w:color w:val="auto"/>
                <w:highlight w:val="none"/>
              </w:rPr>
              <w:t>秒，</w:t>
            </w:r>
            <w:r>
              <w:rPr>
                <w:rFonts w:hint="eastAsia"/>
                <w:color w:val="auto"/>
                <w:highlight w:val="none"/>
                <w:lang w:eastAsia="zh-CN"/>
              </w:rPr>
              <w:t>东经：</w:t>
            </w:r>
            <w:r>
              <w:rPr>
                <w:color w:val="auto"/>
                <w:highlight w:val="none"/>
                <w:u w:val="single"/>
              </w:rPr>
              <w:t>11</w:t>
            </w:r>
            <w:r>
              <w:rPr>
                <w:rFonts w:hint="eastAsia"/>
                <w:color w:val="auto"/>
                <w:highlight w:val="none"/>
                <w:u w:val="single"/>
                <w:lang w:val="en-US" w:eastAsia="zh-CN"/>
              </w:rPr>
              <w:t>7</w:t>
            </w:r>
            <w:r>
              <w:rPr>
                <w:color w:val="auto"/>
                <w:highlight w:val="none"/>
              </w:rPr>
              <w:t>度</w:t>
            </w:r>
            <w:r>
              <w:rPr>
                <w:rFonts w:hint="eastAsia"/>
                <w:color w:val="auto"/>
                <w:highlight w:val="none"/>
                <w:u w:val="single"/>
                <w:lang w:val="en-US" w:eastAsia="zh-CN"/>
              </w:rPr>
              <w:t>57</w:t>
            </w:r>
            <w:r>
              <w:rPr>
                <w:color w:val="auto"/>
                <w:highlight w:val="none"/>
              </w:rPr>
              <w:t>分</w:t>
            </w:r>
            <w:r>
              <w:rPr>
                <w:rFonts w:hint="eastAsia"/>
                <w:color w:val="auto"/>
                <w:highlight w:val="none"/>
                <w:u w:val="single"/>
                <w:lang w:val="en-US" w:eastAsia="zh-CN"/>
              </w:rPr>
              <w:t>45.134</w:t>
            </w:r>
            <w:r>
              <w:rPr>
                <w:color w:val="auto"/>
                <w:highlight w:val="none"/>
              </w:rPr>
              <w:t>秒）</w:t>
            </w:r>
          </w:p>
        </w:tc>
      </w:tr>
      <w:tr w14:paraId="32C846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413" w:type="dxa"/>
            <w:tcMar>
              <w:top w:w="16" w:type="dxa"/>
              <w:left w:w="16" w:type="dxa"/>
              <w:right w:w="16" w:type="dxa"/>
            </w:tcMar>
            <w:vAlign w:val="center"/>
          </w:tcPr>
          <w:p w14:paraId="09832EFB">
            <w:pPr>
              <w:adjustRightInd w:val="0"/>
              <w:snapToGrid w:val="0"/>
              <w:spacing w:line="420" w:lineRule="exact"/>
              <w:jc w:val="center"/>
              <w:rPr>
                <w:color w:val="auto"/>
                <w:highlight w:val="none"/>
              </w:rPr>
            </w:pPr>
            <w:r>
              <w:rPr>
                <w:color w:val="auto"/>
                <w:highlight w:val="none"/>
              </w:rPr>
              <w:t>国民经济</w:t>
            </w:r>
          </w:p>
          <w:p w14:paraId="786AA50C">
            <w:pPr>
              <w:adjustRightInd w:val="0"/>
              <w:snapToGrid w:val="0"/>
              <w:spacing w:line="420" w:lineRule="exact"/>
              <w:jc w:val="center"/>
              <w:rPr>
                <w:color w:val="auto"/>
                <w:highlight w:val="none"/>
              </w:rPr>
            </w:pPr>
            <w:r>
              <w:rPr>
                <w:color w:val="auto"/>
                <w:highlight w:val="none"/>
              </w:rPr>
              <w:t>行业类别</w:t>
            </w:r>
          </w:p>
        </w:tc>
        <w:tc>
          <w:tcPr>
            <w:tcW w:w="1818" w:type="dxa"/>
            <w:vAlign w:val="center"/>
          </w:tcPr>
          <w:p w14:paraId="43F84AF1">
            <w:pPr>
              <w:adjustRightInd w:val="0"/>
              <w:snapToGrid w:val="0"/>
              <w:jc w:val="center"/>
              <w:rPr>
                <w:rFonts w:hint="default" w:eastAsia="宋体"/>
                <w:color w:val="auto"/>
                <w:highlight w:val="none"/>
                <w:lang w:val="en-US" w:eastAsia="zh-CN"/>
              </w:rPr>
            </w:pPr>
            <w:r>
              <w:rPr>
                <w:rFonts w:hint="eastAsia"/>
                <w:color w:val="auto"/>
                <w:highlight w:val="none"/>
                <w:lang w:val="en-US" w:eastAsia="zh-CN"/>
              </w:rPr>
              <w:t>C3985电子专用材料制造</w:t>
            </w:r>
          </w:p>
        </w:tc>
        <w:tc>
          <w:tcPr>
            <w:tcW w:w="2419" w:type="dxa"/>
            <w:vAlign w:val="center"/>
          </w:tcPr>
          <w:p w14:paraId="59C3D360">
            <w:pPr>
              <w:adjustRightInd w:val="0"/>
              <w:snapToGrid w:val="0"/>
              <w:spacing w:line="420" w:lineRule="exact"/>
              <w:jc w:val="center"/>
              <w:rPr>
                <w:color w:val="auto"/>
                <w:highlight w:val="none"/>
              </w:rPr>
            </w:pPr>
            <w:r>
              <w:rPr>
                <w:color w:val="auto"/>
                <w:highlight w:val="none"/>
              </w:rPr>
              <w:t>建设项目</w:t>
            </w:r>
          </w:p>
          <w:p w14:paraId="1DC4BED3">
            <w:pPr>
              <w:adjustRightInd w:val="0"/>
              <w:snapToGrid w:val="0"/>
              <w:spacing w:line="420" w:lineRule="exact"/>
              <w:jc w:val="center"/>
              <w:rPr>
                <w:color w:val="auto"/>
                <w:highlight w:val="none"/>
              </w:rPr>
            </w:pPr>
            <w:r>
              <w:rPr>
                <w:color w:val="auto"/>
                <w:highlight w:val="none"/>
              </w:rPr>
              <w:t>行业类别</w:t>
            </w:r>
          </w:p>
        </w:tc>
        <w:tc>
          <w:tcPr>
            <w:tcW w:w="3220" w:type="dxa"/>
            <w:vAlign w:val="center"/>
          </w:tcPr>
          <w:p w14:paraId="345CAE1F">
            <w:pPr>
              <w:autoSpaceDE w:val="0"/>
              <w:autoSpaceDN w:val="0"/>
              <w:spacing w:line="300" w:lineRule="exact"/>
              <w:rPr>
                <w:rFonts w:hint="eastAsia" w:eastAsia="宋体"/>
                <w:color w:val="auto"/>
                <w:highlight w:val="none"/>
                <w:lang w:val="en-US" w:eastAsia="zh-CN"/>
              </w:rPr>
            </w:pPr>
            <w:r>
              <w:rPr>
                <w:rFonts w:hint="eastAsia" w:eastAsia="宋体"/>
                <w:color w:val="auto"/>
                <w:highlight w:val="none"/>
                <w:lang w:val="en-US" w:eastAsia="zh-CN"/>
              </w:rPr>
              <w:t>三十六、计算机、通信和其他电子设备制造业 39- 电子元件及电子专用材料制造 398-印刷电路板制造；电子专用材料制造（电子化工材料制造除外）；使用有机溶剂的；有酸洗的，以上均不含仅分割、焊接、组装的</w:t>
            </w:r>
          </w:p>
        </w:tc>
      </w:tr>
      <w:tr w14:paraId="18A868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413" w:type="dxa"/>
            <w:tcMar>
              <w:top w:w="16" w:type="dxa"/>
              <w:left w:w="16" w:type="dxa"/>
              <w:right w:w="16" w:type="dxa"/>
            </w:tcMar>
            <w:vAlign w:val="center"/>
          </w:tcPr>
          <w:p w14:paraId="739BFD27">
            <w:pPr>
              <w:adjustRightInd w:val="0"/>
              <w:snapToGrid w:val="0"/>
              <w:spacing w:line="420" w:lineRule="exact"/>
              <w:jc w:val="center"/>
              <w:rPr>
                <w:color w:val="auto"/>
              </w:rPr>
            </w:pPr>
            <w:r>
              <w:rPr>
                <w:color w:val="auto"/>
              </w:rPr>
              <w:t>建设性质</w:t>
            </w:r>
          </w:p>
        </w:tc>
        <w:tc>
          <w:tcPr>
            <w:tcW w:w="1818" w:type="dxa"/>
            <w:vAlign w:val="center"/>
          </w:tcPr>
          <w:p w14:paraId="3F27E85D">
            <w:pPr>
              <w:spacing w:line="420" w:lineRule="exact"/>
              <w:jc w:val="left"/>
              <w:rPr>
                <w:color w:val="auto"/>
              </w:rPr>
            </w:pPr>
            <w:r>
              <w:rPr>
                <w:color w:val="auto"/>
              </w:rPr>
              <w:sym w:font="Wingdings 2" w:char="00A3"/>
            </w:r>
            <w:r>
              <w:rPr>
                <w:color w:val="auto"/>
              </w:rPr>
              <w:t>新建（迁建）</w:t>
            </w:r>
          </w:p>
          <w:p w14:paraId="0FC93132">
            <w:pPr>
              <w:spacing w:line="420" w:lineRule="exact"/>
              <w:jc w:val="left"/>
              <w:rPr>
                <w:color w:val="auto"/>
              </w:rPr>
            </w:pPr>
            <w:r>
              <w:rPr>
                <w:color w:val="auto"/>
              </w:rPr>
              <w:sym w:font="Wingdings 2" w:char="00A3"/>
            </w:r>
            <w:r>
              <w:rPr>
                <w:color w:val="auto"/>
              </w:rPr>
              <w:t>改建</w:t>
            </w:r>
          </w:p>
          <w:p w14:paraId="32D10E0E">
            <w:pPr>
              <w:spacing w:line="420" w:lineRule="exact"/>
              <w:jc w:val="left"/>
              <w:rPr>
                <w:color w:val="auto"/>
              </w:rPr>
            </w:pPr>
            <w:r>
              <w:rPr>
                <w:color w:val="auto"/>
              </w:rPr>
              <w:sym w:font="Wingdings 2" w:char="00A3"/>
            </w:r>
            <w:r>
              <w:rPr>
                <w:color w:val="auto"/>
              </w:rPr>
              <w:t>扩建</w:t>
            </w:r>
          </w:p>
          <w:p w14:paraId="756B680C">
            <w:pPr>
              <w:spacing w:line="420" w:lineRule="exact"/>
              <w:jc w:val="left"/>
              <w:rPr>
                <w:color w:val="auto"/>
              </w:rPr>
            </w:pPr>
            <w:r>
              <w:rPr>
                <w:color w:val="auto"/>
              </w:rPr>
              <w:sym w:font="Wingdings 2" w:char="0052"/>
            </w:r>
            <w:r>
              <w:rPr>
                <w:color w:val="auto"/>
              </w:rPr>
              <w:t>技术改造</w:t>
            </w:r>
          </w:p>
        </w:tc>
        <w:tc>
          <w:tcPr>
            <w:tcW w:w="2419" w:type="dxa"/>
            <w:vAlign w:val="center"/>
          </w:tcPr>
          <w:p w14:paraId="0050C90A">
            <w:pPr>
              <w:adjustRightInd w:val="0"/>
              <w:snapToGrid w:val="0"/>
              <w:spacing w:line="420" w:lineRule="exact"/>
              <w:jc w:val="center"/>
              <w:rPr>
                <w:color w:val="auto"/>
              </w:rPr>
            </w:pPr>
            <w:r>
              <w:rPr>
                <w:color w:val="auto"/>
              </w:rPr>
              <w:t>建设项目</w:t>
            </w:r>
          </w:p>
          <w:p w14:paraId="1A7EBF63">
            <w:pPr>
              <w:adjustRightInd w:val="0"/>
              <w:snapToGrid w:val="0"/>
              <w:spacing w:line="420" w:lineRule="exact"/>
              <w:jc w:val="center"/>
              <w:rPr>
                <w:color w:val="auto"/>
              </w:rPr>
            </w:pPr>
            <w:r>
              <w:rPr>
                <w:color w:val="auto"/>
              </w:rPr>
              <w:t>申报情形</w:t>
            </w:r>
          </w:p>
        </w:tc>
        <w:tc>
          <w:tcPr>
            <w:tcW w:w="3220" w:type="dxa"/>
            <w:vAlign w:val="center"/>
          </w:tcPr>
          <w:p w14:paraId="64715959">
            <w:pPr>
              <w:spacing w:line="420" w:lineRule="exact"/>
              <w:jc w:val="left"/>
              <w:rPr>
                <w:color w:val="auto"/>
              </w:rPr>
            </w:pPr>
            <w:r>
              <w:rPr>
                <w:color w:val="auto"/>
              </w:rPr>
              <w:t xml:space="preserve">√首次申报项目             </w:t>
            </w:r>
          </w:p>
          <w:p w14:paraId="4F196BB4">
            <w:pPr>
              <w:spacing w:line="420" w:lineRule="exact"/>
              <w:jc w:val="left"/>
              <w:rPr>
                <w:color w:val="auto"/>
              </w:rPr>
            </w:pPr>
            <w:r>
              <w:rPr>
                <w:color w:val="auto"/>
              </w:rPr>
              <w:sym w:font="Wingdings 2" w:char="00A3"/>
            </w:r>
            <w:r>
              <w:rPr>
                <w:color w:val="auto"/>
              </w:rPr>
              <w:t>不予批准后再次申报项目</w:t>
            </w:r>
          </w:p>
          <w:p w14:paraId="563BF092">
            <w:pPr>
              <w:spacing w:line="420" w:lineRule="exact"/>
              <w:jc w:val="left"/>
              <w:rPr>
                <w:color w:val="auto"/>
              </w:rPr>
            </w:pPr>
            <w:r>
              <w:rPr>
                <w:color w:val="auto"/>
              </w:rPr>
              <w:sym w:font="Wingdings 2" w:char="00A3"/>
            </w:r>
            <w:r>
              <w:rPr>
                <w:color w:val="auto"/>
              </w:rPr>
              <w:t xml:space="preserve">超五年重新审核项目     </w:t>
            </w:r>
          </w:p>
          <w:p w14:paraId="79E652CC">
            <w:pPr>
              <w:spacing w:line="420" w:lineRule="exact"/>
              <w:jc w:val="left"/>
              <w:rPr>
                <w:color w:val="auto"/>
              </w:rPr>
            </w:pPr>
            <w:r>
              <w:rPr>
                <w:color w:val="auto"/>
              </w:rPr>
              <w:sym w:font="Wingdings 2" w:char="00A3"/>
            </w:r>
            <w:r>
              <w:rPr>
                <w:color w:val="auto"/>
              </w:rPr>
              <w:t>重大变动重新报批项目</w:t>
            </w:r>
          </w:p>
        </w:tc>
      </w:tr>
      <w:tr w14:paraId="2800FE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413" w:type="dxa"/>
            <w:tcMar>
              <w:top w:w="16" w:type="dxa"/>
              <w:left w:w="16" w:type="dxa"/>
              <w:right w:w="16" w:type="dxa"/>
            </w:tcMar>
            <w:vAlign w:val="center"/>
          </w:tcPr>
          <w:p w14:paraId="4066D39D">
            <w:pPr>
              <w:adjustRightInd w:val="0"/>
              <w:snapToGrid w:val="0"/>
              <w:spacing w:line="420" w:lineRule="exact"/>
              <w:jc w:val="center"/>
              <w:rPr>
                <w:color w:val="auto"/>
                <w:highlight w:val="none"/>
              </w:rPr>
            </w:pPr>
            <w:r>
              <w:rPr>
                <w:color w:val="auto"/>
                <w:highlight w:val="none"/>
              </w:rPr>
              <w:t>项目备案部门</w:t>
            </w:r>
          </w:p>
        </w:tc>
        <w:tc>
          <w:tcPr>
            <w:tcW w:w="1818" w:type="dxa"/>
            <w:vAlign w:val="center"/>
          </w:tcPr>
          <w:p w14:paraId="7F53E9F6">
            <w:pPr>
              <w:adjustRightInd w:val="0"/>
              <w:snapToGrid w:val="0"/>
              <w:spacing w:line="420" w:lineRule="exact"/>
              <w:jc w:val="center"/>
              <w:rPr>
                <w:color w:val="auto"/>
                <w:highlight w:val="none"/>
              </w:rPr>
            </w:pPr>
            <w:r>
              <w:rPr>
                <w:rFonts w:hint="default"/>
                <w:color w:val="auto"/>
                <w:highlight w:val="none"/>
              </w:rPr>
              <w:t>淄博经济开发区</w:t>
            </w:r>
            <w:r>
              <w:rPr>
                <w:rFonts w:hint="default"/>
                <w:color w:val="auto"/>
                <w:highlight w:val="none"/>
                <w:lang w:val="en-US" w:eastAsia="zh-CN"/>
              </w:rPr>
              <w:t>工业和科技创新局</w:t>
            </w:r>
          </w:p>
        </w:tc>
        <w:tc>
          <w:tcPr>
            <w:tcW w:w="2419" w:type="dxa"/>
            <w:vAlign w:val="center"/>
          </w:tcPr>
          <w:p w14:paraId="38A1D6E5">
            <w:pPr>
              <w:adjustRightInd w:val="0"/>
              <w:snapToGrid w:val="0"/>
              <w:spacing w:line="420" w:lineRule="exact"/>
              <w:jc w:val="center"/>
              <w:rPr>
                <w:color w:val="auto"/>
                <w:highlight w:val="none"/>
              </w:rPr>
            </w:pPr>
            <w:r>
              <w:rPr>
                <w:color w:val="auto"/>
                <w:highlight w:val="none"/>
              </w:rPr>
              <w:t>项目备案文号</w:t>
            </w:r>
          </w:p>
        </w:tc>
        <w:tc>
          <w:tcPr>
            <w:tcW w:w="3220" w:type="dxa"/>
            <w:vAlign w:val="center"/>
          </w:tcPr>
          <w:p w14:paraId="154D70D3">
            <w:pPr>
              <w:adjustRightInd w:val="0"/>
              <w:snapToGrid w:val="0"/>
              <w:spacing w:line="420" w:lineRule="exact"/>
              <w:jc w:val="center"/>
              <w:rPr>
                <w:rFonts w:hint="default" w:eastAsia="宋体"/>
                <w:color w:val="auto"/>
                <w:highlight w:val="none"/>
                <w:lang w:val="en-US" w:eastAsia="zh-CN"/>
              </w:rPr>
            </w:pPr>
            <w:r>
              <w:rPr>
                <w:rFonts w:hint="default" w:eastAsia="宋体"/>
                <w:color w:val="auto"/>
                <w:highlight w:val="none"/>
                <w:lang w:val="en-US" w:eastAsia="zh-CN"/>
              </w:rPr>
              <w:t>2511-370393-89-02-323699</w:t>
            </w:r>
          </w:p>
        </w:tc>
      </w:tr>
      <w:tr w14:paraId="742744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13" w:type="dxa"/>
            <w:tcMar>
              <w:top w:w="16" w:type="dxa"/>
              <w:left w:w="16" w:type="dxa"/>
              <w:right w:w="16" w:type="dxa"/>
            </w:tcMar>
            <w:vAlign w:val="center"/>
          </w:tcPr>
          <w:p w14:paraId="3D39EEA3">
            <w:pPr>
              <w:adjustRightInd w:val="0"/>
              <w:snapToGrid w:val="0"/>
              <w:spacing w:line="420" w:lineRule="exact"/>
              <w:jc w:val="center"/>
              <w:rPr>
                <w:color w:val="auto"/>
                <w:highlight w:val="none"/>
              </w:rPr>
            </w:pPr>
            <w:r>
              <w:rPr>
                <w:color w:val="auto"/>
                <w:highlight w:val="none"/>
              </w:rPr>
              <w:t>总投资</w:t>
            </w:r>
          </w:p>
          <w:p w14:paraId="1A206DA5">
            <w:pPr>
              <w:adjustRightInd w:val="0"/>
              <w:snapToGrid w:val="0"/>
              <w:spacing w:line="420" w:lineRule="exact"/>
              <w:jc w:val="center"/>
              <w:rPr>
                <w:color w:val="auto"/>
                <w:highlight w:val="none"/>
              </w:rPr>
            </w:pPr>
            <w:r>
              <w:rPr>
                <w:color w:val="auto"/>
                <w:highlight w:val="none"/>
              </w:rPr>
              <w:t>（万元）</w:t>
            </w:r>
          </w:p>
        </w:tc>
        <w:tc>
          <w:tcPr>
            <w:tcW w:w="1818" w:type="dxa"/>
            <w:vAlign w:val="center"/>
          </w:tcPr>
          <w:p w14:paraId="0D4691C1">
            <w:pPr>
              <w:adjustRightInd w:val="0"/>
              <w:snapToGrid w:val="0"/>
              <w:spacing w:line="420" w:lineRule="exact"/>
              <w:jc w:val="center"/>
              <w:rPr>
                <w:rFonts w:hint="default"/>
                <w:color w:val="auto"/>
                <w:highlight w:val="none"/>
                <w:lang w:val="en-US"/>
              </w:rPr>
            </w:pPr>
            <w:r>
              <w:rPr>
                <w:rFonts w:hint="eastAsia"/>
                <w:color w:val="auto"/>
                <w:highlight w:val="none"/>
                <w:lang w:val="en-US" w:eastAsia="zh-CN"/>
              </w:rPr>
              <w:t>500</w:t>
            </w:r>
          </w:p>
        </w:tc>
        <w:tc>
          <w:tcPr>
            <w:tcW w:w="2419" w:type="dxa"/>
            <w:tcMar>
              <w:top w:w="16" w:type="dxa"/>
              <w:left w:w="16" w:type="dxa"/>
              <w:right w:w="16" w:type="dxa"/>
            </w:tcMar>
            <w:vAlign w:val="center"/>
          </w:tcPr>
          <w:p w14:paraId="05897025">
            <w:pPr>
              <w:adjustRightInd w:val="0"/>
              <w:snapToGrid w:val="0"/>
              <w:spacing w:line="420" w:lineRule="exact"/>
              <w:jc w:val="center"/>
              <w:rPr>
                <w:color w:val="auto"/>
                <w:highlight w:val="none"/>
              </w:rPr>
            </w:pPr>
            <w:r>
              <w:rPr>
                <w:color w:val="auto"/>
                <w:highlight w:val="none"/>
              </w:rPr>
              <w:t>环保投资（万元）</w:t>
            </w:r>
          </w:p>
        </w:tc>
        <w:tc>
          <w:tcPr>
            <w:tcW w:w="3220" w:type="dxa"/>
            <w:vAlign w:val="center"/>
          </w:tcPr>
          <w:p w14:paraId="0B941AE5">
            <w:pPr>
              <w:adjustRightInd w:val="0"/>
              <w:snapToGrid w:val="0"/>
              <w:spacing w:line="420" w:lineRule="exact"/>
              <w:jc w:val="center"/>
              <w:rPr>
                <w:rFonts w:hint="default"/>
                <w:color w:val="auto"/>
                <w:highlight w:val="none"/>
                <w:lang w:val="en-US"/>
              </w:rPr>
            </w:pPr>
            <w:r>
              <w:rPr>
                <w:rFonts w:hint="eastAsia"/>
                <w:color w:val="auto"/>
                <w:highlight w:val="none"/>
                <w:lang w:val="en-US" w:eastAsia="zh-CN"/>
              </w:rPr>
              <w:t>50</w:t>
            </w:r>
          </w:p>
        </w:tc>
      </w:tr>
      <w:tr w14:paraId="464195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13" w:type="dxa"/>
            <w:tcMar>
              <w:top w:w="16" w:type="dxa"/>
              <w:left w:w="16" w:type="dxa"/>
              <w:right w:w="16" w:type="dxa"/>
            </w:tcMar>
            <w:vAlign w:val="center"/>
          </w:tcPr>
          <w:p w14:paraId="54F3D3D7">
            <w:pPr>
              <w:adjustRightInd w:val="0"/>
              <w:snapToGrid w:val="0"/>
              <w:spacing w:line="420" w:lineRule="exact"/>
              <w:jc w:val="center"/>
              <w:rPr>
                <w:color w:val="auto"/>
                <w:highlight w:val="none"/>
              </w:rPr>
            </w:pPr>
            <w:r>
              <w:rPr>
                <w:color w:val="auto"/>
                <w:highlight w:val="none"/>
              </w:rPr>
              <w:t>环保投资占比（%）</w:t>
            </w:r>
          </w:p>
        </w:tc>
        <w:tc>
          <w:tcPr>
            <w:tcW w:w="1818" w:type="dxa"/>
            <w:vAlign w:val="center"/>
          </w:tcPr>
          <w:p w14:paraId="3A839874">
            <w:pPr>
              <w:adjustRightInd w:val="0"/>
              <w:snapToGrid w:val="0"/>
              <w:spacing w:line="420" w:lineRule="exact"/>
              <w:jc w:val="center"/>
              <w:rPr>
                <w:rFonts w:hint="default" w:eastAsia="宋体"/>
                <w:color w:val="auto"/>
                <w:highlight w:val="none"/>
                <w:lang w:val="en-US" w:eastAsia="zh-CN"/>
              </w:rPr>
            </w:pPr>
            <w:r>
              <w:rPr>
                <w:rFonts w:hint="eastAsia"/>
                <w:color w:val="auto"/>
                <w:highlight w:val="none"/>
                <w:lang w:val="en-US" w:eastAsia="zh-CN"/>
              </w:rPr>
              <w:t>10</w:t>
            </w:r>
          </w:p>
        </w:tc>
        <w:tc>
          <w:tcPr>
            <w:tcW w:w="2419" w:type="dxa"/>
            <w:tcMar>
              <w:top w:w="16" w:type="dxa"/>
              <w:left w:w="16" w:type="dxa"/>
              <w:right w:w="16" w:type="dxa"/>
            </w:tcMar>
            <w:vAlign w:val="center"/>
          </w:tcPr>
          <w:p w14:paraId="202A1E93">
            <w:pPr>
              <w:adjustRightInd w:val="0"/>
              <w:snapToGrid w:val="0"/>
              <w:spacing w:line="420" w:lineRule="exact"/>
              <w:jc w:val="center"/>
              <w:rPr>
                <w:color w:val="auto"/>
                <w:highlight w:val="none"/>
              </w:rPr>
            </w:pPr>
            <w:r>
              <w:rPr>
                <w:color w:val="auto"/>
                <w:highlight w:val="none"/>
              </w:rPr>
              <w:t>施工工期</w:t>
            </w:r>
          </w:p>
        </w:tc>
        <w:tc>
          <w:tcPr>
            <w:tcW w:w="3220" w:type="dxa"/>
            <w:vAlign w:val="center"/>
          </w:tcPr>
          <w:p w14:paraId="73007ABB">
            <w:pPr>
              <w:adjustRightInd w:val="0"/>
              <w:snapToGrid w:val="0"/>
              <w:spacing w:line="420" w:lineRule="exact"/>
              <w:jc w:val="center"/>
              <w:rPr>
                <w:color w:val="auto"/>
                <w:highlight w:val="none"/>
              </w:rPr>
            </w:pPr>
            <w:r>
              <w:rPr>
                <w:rFonts w:hint="eastAsia"/>
                <w:color w:val="auto"/>
                <w:highlight w:val="none"/>
                <w:lang w:val="en-US" w:eastAsia="zh-CN"/>
              </w:rPr>
              <w:t>3</w:t>
            </w:r>
            <w:r>
              <w:rPr>
                <w:color w:val="auto"/>
                <w:highlight w:val="none"/>
              </w:rPr>
              <w:t>个月</w:t>
            </w:r>
          </w:p>
        </w:tc>
      </w:tr>
      <w:tr w14:paraId="4A5F84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13" w:type="dxa"/>
            <w:tcMar>
              <w:top w:w="16" w:type="dxa"/>
              <w:left w:w="16" w:type="dxa"/>
              <w:right w:w="16" w:type="dxa"/>
            </w:tcMar>
            <w:vAlign w:val="center"/>
          </w:tcPr>
          <w:p w14:paraId="7DBE344B">
            <w:pPr>
              <w:adjustRightInd w:val="0"/>
              <w:snapToGrid w:val="0"/>
              <w:spacing w:line="420" w:lineRule="exact"/>
              <w:jc w:val="center"/>
              <w:rPr>
                <w:color w:val="auto"/>
              </w:rPr>
            </w:pPr>
            <w:r>
              <w:rPr>
                <w:color w:val="auto"/>
              </w:rPr>
              <w:t>是否开工建设</w:t>
            </w:r>
          </w:p>
        </w:tc>
        <w:tc>
          <w:tcPr>
            <w:tcW w:w="1818" w:type="dxa"/>
            <w:vAlign w:val="center"/>
          </w:tcPr>
          <w:p w14:paraId="784359A2">
            <w:pPr>
              <w:adjustRightInd w:val="0"/>
              <w:snapToGrid w:val="0"/>
              <w:spacing w:line="420" w:lineRule="exact"/>
              <w:rPr>
                <w:color w:val="auto"/>
              </w:rPr>
            </w:pPr>
            <w:r>
              <w:rPr>
                <w:color w:val="auto"/>
              </w:rPr>
              <w:t>√否</w:t>
            </w:r>
          </w:p>
          <w:p w14:paraId="4E628E36">
            <w:pPr>
              <w:adjustRightInd w:val="0"/>
              <w:snapToGrid w:val="0"/>
              <w:spacing w:line="420" w:lineRule="exact"/>
              <w:rPr>
                <w:color w:val="auto"/>
              </w:rPr>
            </w:pPr>
            <w:r>
              <w:rPr>
                <w:color w:val="auto"/>
              </w:rPr>
              <w:sym w:font="Wingdings 2" w:char="00A3"/>
            </w:r>
            <w:r>
              <w:rPr>
                <w:color w:val="auto"/>
              </w:rPr>
              <w:t>是：</w:t>
            </w:r>
            <w:r>
              <w:rPr>
                <w:color w:val="auto"/>
                <w:u w:val="single"/>
              </w:rPr>
              <w:t xml:space="preserve">             </w:t>
            </w:r>
          </w:p>
        </w:tc>
        <w:tc>
          <w:tcPr>
            <w:tcW w:w="2419" w:type="dxa"/>
            <w:tcMar>
              <w:top w:w="16" w:type="dxa"/>
              <w:left w:w="16" w:type="dxa"/>
              <w:right w:w="16" w:type="dxa"/>
            </w:tcMar>
            <w:vAlign w:val="center"/>
          </w:tcPr>
          <w:p w14:paraId="7EE0C4D9">
            <w:pPr>
              <w:adjustRightInd w:val="0"/>
              <w:snapToGrid w:val="0"/>
              <w:spacing w:line="420" w:lineRule="exact"/>
              <w:jc w:val="center"/>
              <w:rPr>
                <w:color w:val="auto"/>
              </w:rPr>
            </w:pPr>
            <w:r>
              <w:rPr>
                <w:color w:val="auto"/>
                <w:spacing w:val="-6"/>
              </w:rPr>
              <w:t>用地面积（m</w:t>
            </w:r>
            <w:r>
              <w:rPr>
                <w:color w:val="auto"/>
                <w:spacing w:val="-6"/>
                <w:vertAlign w:val="superscript"/>
              </w:rPr>
              <w:t>2</w:t>
            </w:r>
            <w:r>
              <w:rPr>
                <w:color w:val="auto"/>
                <w:spacing w:val="-6"/>
              </w:rPr>
              <w:t>）</w:t>
            </w:r>
          </w:p>
        </w:tc>
        <w:tc>
          <w:tcPr>
            <w:tcW w:w="3220" w:type="dxa"/>
            <w:vAlign w:val="center"/>
          </w:tcPr>
          <w:p w14:paraId="615BEE19">
            <w:pPr>
              <w:adjustRightInd w:val="0"/>
              <w:snapToGrid w:val="0"/>
              <w:spacing w:line="420" w:lineRule="exact"/>
              <w:jc w:val="center"/>
              <w:rPr>
                <w:rFonts w:hint="default" w:eastAsia="宋体"/>
                <w:color w:val="auto"/>
                <w:lang w:val="en-US" w:eastAsia="zh-CN"/>
              </w:rPr>
            </w:pPr>
            <w:r>
              <w:rPr>
                <w:rFonts w:hint="eastAsia"/>
                <w:color w:val="auto"/>
                <w:highlight w:val="none"/>
                <w:lang w:val="en-US" w:eastAsia="zh-CN"/>
              </w:rPr>
              <w:t>1300</w:t>
            </w:r>
          </w:p>
        </w:tc>
      </w:tr>
      <w:tr w14:paraId="3CB28F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413" w:type="dxa"/>
            <w:vAlign w:val="center"/>
          </w:tcPr>
          <w:p w14:paraId="6D0D9541">
            <w:pPr>
              <w:autoSpaceDE w:val="0"/>
              <w:autoSpaceDN w:val="0"/>
              <w:adjustRightInd w:val="0"/>
              <w:snapToGrid w:val="0"/>
              <w:spacing w:line="420" w:lineRule="exact"/>
              <w:jc w:val="center"/>
              <w:rPr>
                <w:color w:val="auto"/>
                <w:kern w:val="0"/>
              </w:rPr>
            </w:pPr>
            <w:r>
              <w:rPr>
                <w:color w:val="auto"/>
                <w:kern w:val="0"/>
              </w:rPr>
              <w:t>专项评价设置情况</w:t>
            </w:r>
          </w:p>
        </w:tc>
        <w:tc>
          <w:tcPr>
            <w:tcW w:w="7457" w:type="dxa"/>
            <w:gridSpan w:val="3"/>
            <w:vAlign w:val="center"/>
          </w:tcPr>
          <w:p w14:paraId="6A0B3D13">
            <w:pPr>
              <w:spacing w:before="120" w:beforeLines="50"/>
              <w:jc w:val="center"/>
              <w:textAlignment w:val="baseline"/>
              <w:rPr>
                <w:b/>
                <w:color w:val="auto"/>
              </w:rPr>
            </w:pPr>
            <w:r>
              <w:rPr>
                <w:b/>
                <w:color w:val="auto"/>
              </w:rPr>
              <w:t>表1-1  专项评价设置情况判定表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8"/>
              <w:gridCol w:w="2921"/>
              <w:gridCol w:w="2310"/>
              <w:gridCol w:w="772"/>
            </w:tblGrid>
            <w:tr w14:paraId="6CC9E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5" w:type="dxa"/>
                  <w:vAlign w:val="center"/>
                </w:tcPr>
                <w:p w14:paraId="5C069942">
                  <w:pPr>
                    <w:jc w:val="center"/>
                    <w:textAlignment w:val="baseline"/>
                    <w:rPr>
                      <w:b/>
                      <w:color w:val="auto"/>
                      <w:sz w:val="18"/>
                      <w:szCs w:val="18"/>
                    </w:rPr>
                  </w:pPr>
                  <w:r>
                    <w:rPr>
                      <w:b/>
                      <w:color w:val="auto"/>
                      <w:sz w:val="18"/>
                      <w:szCs w:val="18"/>
                    </w:rPr>
                    <w:t>专项评价的类别</w:t>
                  </w:r>
                </w:p>
              </w:tc>
              <w:tc>
                <w:tcPr>
                  <w:tcW w:w="2698" w:type="dxa"/>
                  <w:vAlign w:val="center"/>
                </w:tcPr>
                <w:p w14:paraId="73F2EFC6">
                  <w:pPr>
                    <w:jc w:val="center"/>
                    <w:textAlignment w:val="baseline"/>
                    <w:rPr>
                      <w:b/>
                      <w:color w:val="auto"/>
                      <w:sz w:val="18"/>
                      <w:szCs w:val="18"/>
                    </w:rPr>
                  </w:pPr>
                  <w:r>
                    <w:rPr>
                      <w:b/>
                      <w:color w:val="auto"/>
                      <w:sz w:val="18"/>
                      <w:szCs w:val="18"/>
                    </w:rPr>
                    <w:t>设置原则</w:t>
                  </w:r>
                </w:p>
              </w:tc>
              <w:tc>
                <w:tcPr>
                  <w:tcW w:w="2134" w:type="dxa"/>
                  <w:vAlign w:val="center"/>
                </w:tcPr>
                <w:p w14:paraId="147C5887">
                  <w:pPr>
                    <w:jc w:val="center"/>
                    <w:textAlignment w:val="baseline"/>
                    <w:rPr>
                      <w:b/>
                      <w:color w:val="auto"/>
                      <w:sz w:val="18"/>
                      <w:szCs w:val="18"/>
                    </w:rPr>
                  </w:pPr>
                  <w:r>
                    <w:rPr>
                      <w:b/>
                      <w:color w:val="auto"/>
                      <w:sz w:val="18"/>
                      <w:szCs w:val="18"/>
                    </w:rPr>
                    <w:t>项目情况</w:t>
                  </w:r>
                </w:p>
              </w:tc>
              <w:tc>
                <w:tcPr>
                  <w:tcW w:w="713" w:type="dxa"/>
                  <w:vAlign w:val="center"/>
                </w:tcPr>
                <w:p w14:paraId="1760221A">
                  <w:pPr>
                    <w:jc w:val="center"/>
                    <w:textAlignment w:val="baseline"/>
                    <w:rPr>
                      <w:b/>
                      <w:color w:val="auto"/>
                      <w:sz w:val="18"/>
                      <w:szCs w:val="18"/>
                    </w:rPr>
                  </w:pPr>
                  <w:r>
                    <w:rPr>
                      <w:b/>
                      <w:color w:val="auto"/>
                      <w:sz w:val="18"/>
                      <w:szCs w:val="18"/>
                    </w:rPr>
                    <w:t>是否设置</w:t>
                  </w:r>
                </w:p>
              </w:tc>
            </w:tr>
            <w:tr w14:paraId="44F14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5" w:type="dxa"/>
                  <w:vAlign w:val="center"/>
                </w:tcPr>
                <w:p w14:paraId="621D9E86">
                  <w:pPr>
                    <w:jc w:val="center"/>
                    <w:textAlignment w:val="baseline"/>
                    <w:rPr>
                      <w:bCs/>
                      <w:color w:val="auto"/>
                      <w:sz w:val="18"/>
                      <w:szCs w:val="18"/>
                    </w:rPr>
                  </w:pPr>
                  <w:r>
                    <w:rPr>
                      <w:bCs/>
                      <w:color w:val="auto"/>
                      <w:sz w:val="18"/>
                      <w:szCs w:val="18"/>
                    </w:rPr>
                    <w:t>大气</w:t>
                  </w:r>
                </w:p>
              </w:tc>
              <w:tc>
                <w:tcPr>
                  <w:tcW w:w="2698" w:type="dxa"/>
                  <w:vAlign w:val="center"/>
                </w:tcPr>
                <w:p w14:paraId="30A97A3F">
                  <w:pPr>
                    <w:jc w:val="center"/>
                    <w:textAlignment w:val="baseline"/>
                    <w:rPr>
                      <w:bCs/>
                      <w:color w:val="auto"/>
                      <w:sz w:val="18"/>
                      <w:szCs w:val="18"/>
                    </w:rPr>
                  </w:pPr>
                  <w:r>
                    <w:rPr>
                      <w:bCs/>
                      <w:color w:val="auto"/>
                      <w:sz w:val="18"/>
                      <w:szCs w:val="18"/>
                    </w:rPr>
                    <w:t>排放废气含有毒有害污染物、二噁英、苯并[a]芘、氰化物、</w:t>
                  </w:r>
                  <w:r>
                    <w:rPr>
                      <w:rFonts w:hint="eastAsia"/>
                      <w:bCs/>
                      <w:color w:val="auto"/>
                      <w:sz w:val="18"/>
                      <w:szCs w:val="18"/>
                      <w:lang w:eastAsia="zh-CN"/>
                    </w:rPr>
                    <w:t>氯</w:t>
                  </w:r>
                  <w:r>
                    <w:rPr>
                      <w:bCs/>
                      <w:color w:val="auto"/>
                      <w:sz w:val="18"/>
                      <w:szCs w:val="18"/>
                    </w:rPr>
                    <w:t>气且厂界外500米范围内有环境空气保护目标的建设项目</w:t>
                  </w:r>
                </w:p>
              </w:tc>
              <w:tc>
                <w:tcPr>
                  <w:tcW w:w="2134" w:type="dxa"/>
                  <w:vAlign w:val="center"/>
                </w:tcPr>
                <w:p w14:paraId="4CAF6464">
                  <w:pPr>
                    <w:jc w:val="center"/>
                    <w:textAlignment w:val="baseline"/>
                    <w:rPr>
                      <w:rFonts w:hint="default"/>
                      <w:bCs/>
                      <w:color w:val="auto"/>
                      <w:sz w:val="18"/>
                      <w:szCs w:val="18"/>
                      <w:lang w:val="en-US"/>
                    </w:rPr>
                  </w:pPr>
                  <w:r>
                    <w:rPr>
                      <w:bCs/>
                      <w:color w:val="auto"/>
                      <w:sz w:val="18"/>
                      <w:szCs w:val="18"/>
                    </w:rPr>
                    <w:t>本项目</w:t>
                  </w:r>
                  <w:r>
                    <w:rPr>
                      <w:rFonts w:hint="eastAsia"/>
                      <w:bCs/>
                      <w:color w:val="auto"/>
                      <w:sz w:val="18"/>
                      <w:szCs w:val="18"/>
                      <w:lang w:eastAsia="zh-CN"/>
                    </w:rPr>
                    <w:t>涉及</w:t>
                  </w:r>
                  <w:r>
                    <w:rPr>
                      <w:bCs/>
                      <w:color w:val="auto"/>
                      <w:sz w:val="18"/>
                      <w:szCs w:val="18"/>
                    </w:rPr>
                    <w:t>废气主要污染物为</w:t>
                  </w:r>
                  <w:r>
                    <w:rPr>
                      <w:rFonts w:hint="eastAsia"/>
                      <w:bCs/>
                      <w:color w:val="auto"/>
                      <w:sz w:val="18"/>
                      <w:szCs w:val="18"/>
                      <w:lang w:eastAsia="zh-CN"/>
                    </w:rPr>
                    <w:t>颗粒物、</w:t>
                  </w:r>
                  <w:r>
                    <w:rPr>
                      <w:rFonts w:hint="eastAsia"/>
                      <w:bCs/>
                      <w:color w:val="auto"/>
                      <w:sz w:val="18"/>
                      <w:szCs w:val="18"/>
                      <w:lang w:val="en-US" w:eastAsia="zh-CN"/>
                    </w:rPr>
                    <w:t>二氧化硫、氮氧化物、氨、臭气浓度</w:t>
                  </w:r>
                  <w:r>
                    <w:rPr>
                      <w:rFonts w:hint="eastAsia" w:ascii="Times New Roman" w:hAnsi="Times New Roman" w:eastAsia="宋体" w:cs="Times New Roman"/>
                      <w:bCs/>
                      <w:color w:val="auto"/>
                      <w:sz w:val="18"/>
                      <w:szCs w:val="18"/>
                      <w:lang w:eastAsia="zh-CN"/>
                    </w:rPr>
                    <w:t>，不排放有毒有害污染物</w:t>
                  </w:r>
                </w:p>
              </w:tc>
              <w:tc>
                <w:tcPr>
                  <w:tcW w:w="713" w:type="dxa"/>
                  <w:vAlign w:val="center"/>
                </w:tcPr>
                <w:p w14:paraId="335633AE">
                  <w:pPr>
                    <w:jc w:val="center"/>
                    <w:textAlignment w:val="baseline"/>
                    <w:rPr>
                      <w:bCs/>
                      <w:color w:val="auto"/>
                      <w:sz w:val="18"/>
                      <w:szCs w:val="18"/>
                    </w:rPr>
                  </w:pPr>
                  <w:r>
                    <w:rPr>
                      <w:bCs/>
                      <w:color w:val="auto"/>
                      <w:sz w:val="18"/>
                      <w:szCs w:val="18"/>
                    </w:rPr>
                    <w:t>否</w:t>
                  </w:r>
                </w:p>
              </w:tc>
            </w:tr>
            <w:tr w14:paraId="78CE6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5" w:type="dxa"/>
                  <w:vAlign w:val="center"/>
                </w:tcPr>
                <w:p w14:paraId="37D23802">
                  <w:pPr>
                    <w:jc w:val="center"/>
                    <w:textAlignment w:val="baseline"/>
                    <w:rPr>
                      <w:bCs/>
                      <w:color w:val="auto"/>
                      <w:sz w:val="18"/>
                      <w:szCs w:val="18"/>
                    </w:rPr>
                  </w:pPr>
                  <w:r>
                    <w:rPr>
                      <w:bCs/>
                      <w:color w:val="auto"/>
                      <w:sz w:val="18"/>
                      <w:szCs w:val="18"/>
                    </w:rPr>
                    <w:t>地表水</w:t>
                  </w:r>
                </w:p>
              </w:tc>
              <w:tc>
                <w:tcPr>
                  <w:tcW w:w="2698" w:type="dxa"/>
                  <w:vAlign w:val="center"/>
                </w:tcPr>
                <w:p w14:paraId="36C84AA2">
                  <w:pPr>
                    <w:jc w:val="center"/>
                    <w:textAlignment w:val="baseline"/>
                    <w:rPr>
                      <w:bCs/>
                      <w:color w:val="auto"/>
                      <w:sz w:val="18"/>
                      <w:szCs w:val="18"/>
                    </w:rPr>
                  </w:pPr>
                  <w:r>
                    <w:rPr>
                      <w:bCs/>
                      <w:color w:val="auto"/>
                      <w:sz w:val="18"/>
                      <w:szCs w:val="18"/>
                    </w:rPr>
                    <w:t>新增工业废水直排建设项目（槽罐车外送污水处理厂的除外）；新增废水直排的污水集中处理厂</w:t>
                  </w:r>
                </w:p>
              </w:tc>
              <w:tc>
                <w:tcPr>
                  <w:tcW w:w="2134" w:type="dxa"/>
                  <w:vAlign w:val="center"/>
                </w:tcPr>
                <w:p w14:paraId="29DB7619">
                  <w:pPr>
                    <w:jc w:val="center"/>
                    <w:textAlignment w:val="baseline"/>
                    <w:rPr>
                      <w:rFonts w:hint="eastAsia" w:eastAsia="宋体"/>
                      <w:bCs/>
                      <w:color w:val="auto"/>
                      <w:sz w:val="18"/>
                      <w:szCs w:val="18"/>
                      <w:lang w:eastAsia="zh-CN"/>
                    </w:rPr>
                  </w:pPr>
                  <w:r>
                    <w:rPr>
                      <w:bCs/>
                      <w:color w:val="auto"/>
                      <w:sz w:val="18"/>
                      <w:szCs w:val="18"/>
                    </w:rPr>
                    <w:t>本项目</w:t>
                  </w:r>
                  <w:r>
                    <w:rPr>
                      <w:rFonts w:hint="eastAsia"/>
                      <w:bCs/>
                      <w:color w:val="auto"/>
                      <w:sz w:val="18"/>
                      <w:szCs w:val="18"/>
                      <w:lang w:eastAsia="zh-CN"/>
                    </w:rPr>
                    <w:t>无</w:t>
                  </w:r>
                  <w:r>
                    <w:rPr>
                      <w:bCs/>
                      <w:color w:val="auto"/>
                      <w:sz w:val="18"/>
                      <w:szCs w:val="18"/>
                    </w:rPr>
                    <w:t>废水</w:t>
                  </w:r>
                  <w:r>
                    <w:rPr>
                      <w:rFonts w:hint="eastAsia"/>
                      <w:bCs/>
                      <w:color w:val="auto"/>
                      <w:sz w:val="18"/>
                      <w:szCs w:val="18"/>
                      <w:lang w:eastAsia="zh-CN"/>
                    </w:rPr>
                    <w:t>外排</w:t>
                  </w:r>
                </w:p>
              </w:tc>
              <w:tc>
                <w:tcPr>
                  <w:tcW w:w="713" w:type="dxa"/>
                  <w:vAlign w:val="center"/>
                </w:tcPr>
                <w:p w14:paraId="53A6BC04">
                  <w:pPr>
                    <w:jc w:val="center"/>
                    <w:textAlignment w:val="baseline"/>
                    <w:rPr>
                      <w:bCs/>
                      <w:color w:val="auto"/>
                      <w:sz w:val="18"/>
                      <w:szCs w:val="18"/>
                    </w:rPr>
                  </w:pPr>
                  <w:r>
                    <w:rPr>
                      <w:bCs/>
                      <w:color w:val="auto"/>
                      <w:sz w:val="18"/>
                      <w:szCs w:val="18"/>
                    </w:rPr>
                    <w:t>否</w:t>
                  </w:r>
                </w:p>
              </w:tc>
            </w:tr>
            <w:tr w14:paraId="7D032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5" w:type="dxa"/>
                  <w:vAlign w:val="center"/>
                </w:tcPr>
                <w:p w14:paraId="09ADED65">
                  <w:pPr>
                    <w:jc w:val="center"/>
                    <w:textAlignment w:val="baseline"/>
                    <w:rPr>
                      <w:bCs/>
                      <w:color w:val="auto"/>
                      <w:sz w:val="18"/>
                      <w:szCs w:val="18"/>
                    </w:rPr>
                  </w:pPr>
                  <w:r>
                    <w:rPr>
                      <w:bCs/>
                      <w:color w:val="auto"/>
                      <w:sz w:val="18"/>
                      <w:szCs w:val="18"/>
                    </w:rPr>
                    <w:t>环境风险</w:t>
                  </w:r>
                </w:p>
              </w:tc>
              <w:tc>
                <w:tcPr>
                  <w:tcW w:w="2698" w:type="dxa"/>
                  <w:vAlign w:val="center"/>
                </w:tcPr>
                <w:p w14:paraId="62534290">
                  <w:pPr>
                    <w:jc w:val="center"/>
                    <w:textAlignment w:val="baseline"/>
                    <w:rPr>
                      <w:bCs/>
                      <w:color w:val="auto"/>
                      <w:sz w:val="18"/>
                      <w:szCs w:val="18"/>
                    </w:rPr>
                  </w:pPr>
                  <w:r>
                    <w:rPr>
                      <w:bCs/>
                      <w:color w:val="auto"/>
                      <w:sz w:val="18"/>
                      <w:szCs w:val="18"/>
                    </w:rPr>
                    <w:t>有毒有害和易燃易爆危险物质存储量超过临界量的建设项目</w:t>
                  </w:r>
                </w:p>
              </w:tc>
              <w:tc>
                <w:tcPr>
                  <w:tcW w:w="2134" w:type="dxa"/>
                  <w:vAlign w:val="center"/>
                </w:tcPr>
                <w:p w14:paraId="6B51E244">
                  <w:pPr>
                    <w:jc w:val="center"/>
                    <w:textAlignment w:val="baseline"/>
                    <w:rPr>
                      <w:bCs/>
                      <w:color w:val="auto"/>
                      <w:sz w:val="18"/>
                      <w:szCs w:val="18"/>
                    </w:rPr>
                  </w:pPr>
                  <w:r>
                    <w:rPr>
                      <w:bCs/>
                      <w:color w:val="auto"/>
                      <w:sz w:val="18"/>
                      <w:szCs w:val="18"/>
                    </w:rPr>
                    <w:t>本项目涉及危险物</w:t>
                  </w:r>
                  <w:r>
                    <w:rPr>
                      <w:rFonts w:hint="eastAsia"/>
                      <w:bCs/>
                      <w:color w:val="auto"/>
                      <w:sz w:val="18"/>
                      <w:szCs w:val="18"/>
                      <w:lang w:eastAsia="zh-CN"/>
                    </w:rPr>
                    <w:t>质</w:t>
                  </w:r>
                  <w:r>
                    <w:rPr>
                      <w:bCs/>
                      <w:color w:val="auto"/>
                      <w:sz w:val="18"/>
                      <w:szCs w:val="18"/>
                    </w:rPr>
                    <w:t>储存量未超过临界量</w:t>
                  </w:r>
                </w:p>
              </w:tc>
              <w:tc>
                <w:tcPr>
                  <w:tcW w:w="713" w:type="dxa"/>
                  <w:vAlign w:val="center"/>
                </w:tcPr>
                <w:p w14:paraId="5DDA4AD9">
                  <w:pPr>
                    <w:jc w:val="center"/>
                    <w:textAlignment w:val="baseline"/>
                    <w:rPr>
                      <w:bCs/>
                      <w:color w:val="auto"/>
                      <w:sz w:val="18"/>
                      <w:szCs w:val="18"/>
                    </w:rPr>
                  </w:pPr>
                  <w:r>
                    <w:rPr>
                      <w:bCs/>
                      <w:color w:val="auto"/>
                      <w:sz w:val="18"/>
                      <w:szCs w:val="18"/>
                    </w:rPr>
                    <w:t>否</w:t>
                  </w:r>
                </w:p>
              </w:tc>
            </w:tr>
            <w:tr w14:paraId="45FCE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5" w:type="dxa"/>
                  <w:vAlign w:val="center"/>
                </w:tcPr>
                <w:p w14:paraId="5AAADFFA">
                  <w:pPr>
                    <w:jc w:val="center"/>
                    <w:textAlignment w:val="baseline"/>
                    <w:rPr>
                      <w:bCs/>
                      <w:color w:val="auto"/>
                      <w:sz w:val="18"/>
                      <w:szCs w:val="18"/>
                    </w:rPr>
                  </w:pPr>
                  <w:r>
                    <w:rPr>
                      <w:bCs/>
                      <w:color w:val="auto"/>
                      <w:sz w:val="18"/>
                      <w:szCs w:val="18"/>
                    </w:rPr>
                    <w:t>生态</w:t>
                  </w:r>
                </w:p>
              </w:tc>
              <w:tc>
                <w:tcPr>
                  <w:tcW w:w="2698" w:type="dxa"/>
                  <w:vAlign w:val="center"/>
                </w:tcPr>
                <w:p w14:paraId="4F3410C2">
                  <w:pPr>
                    <w:jc w:val="center"/>
                    <w:textAlignment w:val="baseline"/>
                    <w:rPr>
                      <w:bCs/>
                      <w:color w:val="auto"/>
                      <w:sz w:val="18"/>
                      <w:szCs w:val="18"/>
                    </w:rPr>
                  </w:pPr>
                  <w:r>
                    <w:rPr>
                      <w:bCs/>
                      <w:color w:val="auto"/>
                      <w:sz w:val="18"/>
                      <w:szCs w:val="18"/>
                    </w:rPr>
                    <w:t>取水口下游500米范围内有重要水生生物的自然产卵场、索饵场、越冬场和洄游通道的新增河道取水的污染类建设项目</w:t>
                  </w:r>
                </w:p>
              </w:tc>
              <w:tc>
                <w:tcPr>
                  <w:tcW w:w="2134" w:type="dxa"/>
                  <w:vAlign w:val="center"/>
                </w:tcPr>
                <w:p w14:paraId="572174B9">
                  <w:pPr>
                    <w:jc w:val="center"/>
                    <w:textAlignment w:val="baseline"/>
                    <w:rPr>
                      <w:bCs/>
                      <w:color w:val="auto"/>
                      <w:sz w:val="18"/>
                      <w:szCs w:val="18"/>
                    </w:rPr>
                  </w:pPr>
                  <w:r>
                    <w:rPr>
                      <w:bCs/>
                      <w:color w:val="auto"/>
                      <w:sz w:val="18"/>
                      <w:szCs w:val="18"/>
                    </w:rPr>
                    <w:t>不涉及</w:t>
                  </w:r>
                </w:p>
              </w:tc>
              <w:tc>
                <w:tcPr>
                  <w:tcW w:w="713" w:type="dxa"/>
                  <w:vAlign w:val="center"/>
                </w:tcPr>
                <w:p w14:paraId="55291459">
                  <w:pPr>
                    <w:jc w:val="center"/>
                    <w:textAlignment w:val="baseline"/>
                    <w:rPr>
                      <w:bCs/>
                      <w:color w:val="auto"/>
                      <w:sz w:val="18"/>
                      <w:szCs w:val="18"/>
                    </w:rPr>
                  </w:pPr>
                  <w:r>
                    <w:rPr>
                      <w:bCs/>
                      <w:color w:val="auto"/>
                      <w:sz w:val="18"/>
                      <w:szCs w:val="18"/>
                    </w:rPr>
                    <w:t>否</w:t>
                  </w:r>
                </w:p>
              </w:tc>
            </w:tr>
            <w:tr w14:paraId="1B330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5" w:type="dxa"/>
                  <w:vAlign w:val="center"/>
                </w:tcPr>
                <w:p w14:paraId="490156CB">
                  <w:pPr>
                    <w:jc w:val="center"/>
                    <w:textAlignment w:val="baseline"/>
                    <w:rPr>
                      <w:bCs/>
                      <w:color w:val="auto"/>
                      <w:sz w:val="18"/>
                      <w:szCs w:val="18"/>
                    </w:rPr>
                  </w:pPr>
                  <w:r>
                    <w:rPr>
                      <w:bCs/>
                      <w:color w:val="auto"/>
                      <w:sz w:val="18"/>
                      <w:szCs w:val="18"/>
                    </w:rPr>
                    <w:t>海洋</w:t>
                  </w:r>
                </w:p>
              </w:tc>
              <w:tc>
                <w:tcPr>
                  <w:tcW w:w="2698" w:type="dxa"/>
                  <w:vAlign w:val="center"/>
                </w:tcPr>
                <w:p w14:paraId="1985137D">
                  <w:pPr>
                    <w:jc w:val="center"/>
                    <w:textAlignment w:val="baseline"/>
                    <w:rPr>
                      <w:bCs/>
                      <w:color w:val="auto"/>
                      <w:sz w:val="18"/>
                      <w:szCs w:val="18"/>
                    </w:rPr>
                  </w:pPr>
                  <w:r>
                    <w:rPr>
                      <w:bCs/>
                      <w:color w:val="auto"/>
                      <w:sz w:val="18"/>
                      <w:szCs w:val="18"/>
                    </w:rPr>
                    <w:t>直接向海排放污染物的海洋工程建设项目</w:t>
                  </w:r>
                </w:p>
              </w:tc>
              <w:tc>
                <w:tcPr>
                  <w:tcW w:w="2134" w:type="dxa"/>
                  <w:vAlign w:val="center"/>
                </w:tcPr>
                <w:p w14:paraId="47AD2B1F">
                  <w:pPr>
                    <w:jc w:val="center"/>
                    <w:textAlignment w:val="baseline"/>
                    <w:rPr>
                      <w:bCs/>
                      <w:color w:val="auto"/>
                      <w:sz w:val="18"/>
                      <w:szCs w:val="18"/>
                    </w:rPr>
                  </w:pPr>
                  <w:r>
                    <w:rPr>
                      <w:bCs/>
                      <w:color w:val="auto"/>
                      <w:sz w:val="18"/>
                      <w:szCs w:val="18"/>
                    </w:rPr>
                    <w:t>不涉及</w:t>
                  </w:r>
                </w:p>
              </w:tc>
              <w:tc>
                <w:tcPr>
                  <w:tcW w:w="713" w:type="dxa"/>
                  <w:vAlign w:val="center"/>
                </w:tcPr>
                <w:p w14:paraId="22119EB8">
                  <w:pPr>
                    <w:jc w:val="center"/>
                    <w:textAlignment w:val="baseline"/>
                    <w:rPr>
                      <w:bCs/>
                      <w:color w:val="auto"/>
                      <w:sz w:val="18"/>
                      <w:szCs w:val="18"/>
                    </w:rPr>
                  </w:pPr>
                  <w:r>
                    <w:rPr>
                      <w:bCs/>
                      <w:color w:val="auto"/>
                      <w:sz w:val="18"/>
                      <w:szCs w:val="18"/>
                    </w:rPr>
                    <w:t>否</w:t>
                  </w:r>
                </w:p>
              </w:tc>
            </w:tr>
          </w:tbl>
          <w:p w14:paraId="3C8FD218">
            <w:pPr>
              <w:autoSpaceDE w:val="0"/>
              <w:autoSpaceDN w:val="0"/>
              <w:adjustRightInd w:val="0"/>
              <w:snapToGrid w:val="0"/>
              <w:jc w:val="center"/>
              <w:rPr>
                <w:color w:val="auto"/>
                <w:kern w:val="0"/>
              </w:rPr>
            </w:pPr>
          </w:p>
        </w:tc>
      </w:tr>
      <w:tr w14:paraId="0C9BEF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1413" w:type="dxa"/>
            <w:vAlign w:val="center"/>
          </w:tcPr>
          <w:p w14:paraId="7A76CFC1">
            <w:pPr>
              <w:autoSpaceDE w:val="0"/>
              <w:autoSpaceDN w:val="0"/>
              <w:adjustRightInd w:val="0"/>
              <w:snapToGrid w:val="0"/>
              <w:spacing w:line="420" w:lineRule="exact"/>
              <w:jc w:val="center"/>
              <w:rPr>
                <w:color w:val="auto"/>
                <w:kern w:val="0"/>
              </w:rPr>
            </w:pPr>
            <w:r>
              <w:rPr>
                <w:color w:val="auto"/>
              </w:rPr>
              <w:t>规划情况</w:t>
            </w:r>
          </w:p>
        </w:tc>
        <w:tc>
          <w:tcPr>
            <w:tcW w:w="7457" w:type="dxa"/>
            <w:gridSpan w:val="3"/>
            <w:vAlign w:val="center"/>
          </w:tcPr>
          <w:p w14:paraId="173B6FCD">
            <w:pPr>
              <w:keepNext w:val="0"/>
              <w:keepLines w:val="0"/>
              <w:pageBreakBefore w:val="0"/>
              <w:widowControl/>
              <w:kinsoku w:val="0"/>
              <w:wordWrap/>
              <w:overflowPunct/>
              <w:topLinePunct w:val="0"/>
              <w:autoSpaceDE w:val="0"/>
              <w:autoSpaceDN w:val="0"/>
              <w:bidi w:val="0"/>
              <w:adjustRightInd w:val="0"/>
              <w:snapToGrid w:val="0"/>
              <w:spacing w:line="240" w:lineRule="auto"/>
              <w:ind w:firstLine="420" w:firstLineChars="200"/>
              <w:jc w:val="both"/>
              <w:textAlignment w:val="baseline"/>
              <w:rPr>
                <w:rFonts w:hint="default" w:eastAsia="宋体"/>
                <w:color w:val="auto"/>
                <w:kern w:val="0"/>
                <w:sz w:val="21"/>
                <w:szCs w:val="21"/>
                <w:lang w:val="en-US" w:eastAsia="zh-CN"/>
              </w:rPr>
            </w:pPr>
            <w:r>
              <w:rPr>
                <w:rFonts w:hint="default" w:ascii="Times New Roman" w:hAnsi="Times New Roman" w:eastAsia="宋体" w:cs="Times New Roman"/>
                <w:color w:val="auto"/>
                <w:kern w:val="0"/>
                <w:sz w:val="21"/>
                <w:szCs w:val="21"/>
                <w:highlight w:val="none"/>
                <w:lang w:val="en-US" w:eastAsia="zh-CN" w:bidi="ar"/>
              </w:rPr>
              <w:t>济淄科创大走廊傅家产业园总体规划（2024-2035）</w:t>
            </w:r>
          </w:p>
        </w:tc>
      </w:tr>
      <w:tr w14:paraId="0FA2B1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1413" w:type="dxa"/>
            <w:vAlign w:val="center"/>
          </w:tcPr>
          <w:p w14:paraId="22653FE1">
            <w:pPr>
              <w:adjustRightInd w:val="0"/>
              <w:snapToGrid w:val="0"/>
              <w:spacing w:line="420" w:lineRule="exact"/>
              <w:jc w:val="center"/>
              <w:rPr>
                <w:color w:val="auto"/>
                <w:kern w:val="0"/>
              </w:rPr>
            </w:pPr>
            <w:r>
              <w:rPr>
                <w:color w:val="auto"/>
              </w:rPr>
              <w:t>规划环境影响评价情况</w:t>
            </w:r>
          </w:p>
        </w:tc>
        <w:tc>
          <w:tcPr>
            <w:tcW w:w="7457" w:type="dxa"/>
            <w:gridSpan w:val="3"/>
            <w:vAlign w:val="center"/>
          </w:tcPr>
          <w:p w14:paraId="2F50EC7A">
            <w:pPr>
              <w:keepNext w:val="0"/>
              <w:keepLines w:val="0"/>
              <w:pageBreakBefore w:val="0"/>
              <w:widowControl/>
              <w:kinsoku w:val="0"/>
              <w:wordWrap/>
              <w:overflowPunct/>
              <w:topLinePunct w:val="0"/>
              <w:autoSpaceDE w:val="0"/>
              <w:autoSpaceDN w:val="0"/>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审查意见：</w:t>
            </w:r>
            <w:r>
              <w:rPr>
                <w:rFonts w:hint="default" w:ascii="Times New Roman" w:hAnsi="Times New Roman" w:eastAsia="宋体" w:cs="Times New Roman"/>
                <w:color w:val="auto"/>
                <w:kern w:val="0"/>
                <w:sz w:val="21"/>
                <w:szCs w:val="21"/>
                <w:highlight w:val="none"/>
              </w:rPr>
              <w:t>淄博市生态环境局经济开发区分局关于《济淄科创大走廊傅家产业园总体规划（2024-2035）环境影响报告书》的审查意见</w:t>
            </w:r>
          </w:p>
          <w:p w14:paraId="6391B1A6">
            <w:pPr>
              <w:keepNext w:val="0"/>
              <w:keepLines w:val="0"/>
              <w:pageBreakBefore w:val="0"/>
              <w:widowControl/>
              <w:kinsoku w:val="0"/>
              <w:wordWrap/>
              <w:overflowPunct/>
              <w:topLinePunct w:val="0"/>
              <w:autoSpaceDE w:val="0"/>
              <w:autoSpaceDN w:val="0"/>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审批文号</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rPr>
              <w:t>淄经开规划环审[2024]1号</w:t>
            </w:r>
          </w:p>
          <w:p w14:paraId="463368FB">
            <w:pPr>
              <w:keepNext w:val="0"/>
              <w:keepLines w:val="0"/>
              <w:pageBreakBefore w:val="0"/>
              <w:widowControl/>
              <w:kinsoku w:val="0"/>
              <w:wordWrap/>
              <w:overflowPunct/>
              <w:topLinePunct w:val="0"/>
              <w:autoSpaceDE w:val="0"/>
              <w:autoSpaceDN w:val="0"/>
              <w:bidi w:val="0"/>
              <w:adjustRightInd w:val="0"/>
              <w:snapToGrid w:val="0"/>
              <w:spacing w:line="360" w:lineRule="auto"/>
              <w:ind w:firstLine="420" w:firstLineChars="200"/>
              <w:jc w:val="both"/>
              <w:textAlignment w:val="baseline"/>
              <w:rPr>
                <w:rFonts w:hint="eastAsia" w:eastAsia="宋体"/>
                <w:color w:val="auto"/>
                <w:kern w:val="0"/>
                <w:sz w:val="21"/>
                <w:szCs w:val="21"/>
                <w:lang w:eastAsia="zh-CN"/>
              </w:rPr>
            </w:pPr>
            <w:r>
              <w:rPr>
                <w:rFonts w:hint="default" w:ascii="Times New Roman" w:hAnsi="Times New Roman" w:eastAsia="宋体" w:cs="Times New Roman"/>
                <w:color w:val="auto"/>
                <w:kern w:val="0"/>
                <w:sz w:val="21"/>
                <w:szCs w:val="21"/>
                <w:highlight w:val="none"/>
                <w:lang w:val="en-US" w:eastAsia="zh-CN"/>
              </w:rPr>
              <w:t>审批时间：</w:t>
            </w:r>
            <w:r>
              <w:rPr>
                <w:rFonts w:hint="default" w:ascii="Times New Roman" w:hAnsi="Times New Roman" w:eastAsia="宋体" w:cs="Times New Roman"/>
                <w:color w:val="auto"/>
                <w:kern w:val="0"/>
                <w:sz w:val="21"/>
                <w:szCs w:val="21"/>
                <w:highlight w:val="none"/>
              </w:rPr>
              <w:t>2024年12月20日</w:t>
            </w:r>
          </w:p>
        </w:tc>
      </w:tr>
      <w:tr w14:paraId="4A1230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1413" w:type="dxa"/>
            <w:vAlign w:val="center"/>
          </w:tcPr>
          <w:p w14:paraId="2BA08736">
            <w:pPr>
              <w:adjustRightInd w:val="0"/>
              <w:snapToGrid w:val="0"/>
              <w:spacing w:line="420" w:lineRule="exact"/>
              <w:jc w:val="center"/>
              <w:rPr>
                <w:color w:val="auto"/>
                <w:kern w:val="0"/>
              </w:rPr>
            </w:pPr>
            <w:r>
              <w:rPr>
                <w:color w:val="auto"/>
                <w:kern w:val="0"/>
              </w:rPr>
              <w:t>规划及规划</w:t>
            </w:r>
            <w:r>
              <w:rPr>
                <w:color w:val="auto"/>
              </w:rPr>
              <w:t>环境</w:t>
            </w:r>
            <w:r>
              <w:rPr>
                <w:color w:val="auto"/>
                <w:kern w:val="0"/>
              </w:rPr>
              <w:t>影响评价符合性分析</w:t>
            </w:r>
          </w:p>
        </w:tc>
        <w:tc>
          <w:tcPr>
            <w:tcW w:w="7457" w:type="dxa"/>
            <w:gridSpan w:val="3"/>
            <w:vAlign w:val="center"/>
          </w:tcPr>
          <w:p w14:paraId="370D9CB5">
            <w:pPr>
              <w:keepNext w:val="0"/>
              <w:keepLines w:val="0"/>
              <w:pageBreakBefore w:val="0"/>
              <w:widowControl/>
              <w:kinsoku/>
              <w:wordWrap/>
              <w:overflowPunct w:val="0"/>
              <w:topLinePunct w:val="0"/>
              <w:autoSpaceDE w:val="0"/>
              <w:autoSpaceDN w:val="0"/>
              <w:bidi w:val="0"/>
              <w:adjustRightInd w:val="0"/>
              <w:snapToGrid w:val="0"/>
              <w:spacing w:before="240" w:beforeLines="100" w:line="360" w:lineRule="auto"/>
              <w:ind w:firstLine="422" w:firstLineChars="200"/>
              <w:jc w:val="both"/>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一、用地符合性分析</w:t>
            </w:r>
          </w:p>
          <w:p w14:paraId="68BE44DE">
            <w:pPr>
              <w:keepNext w:val="0"/>
              <w:keepLines w:val="0"/>
              <w:pageBreakBefore w:val="0"/>
              <w:widowControl/>
              <w:kinsoku/>
              <w:wordWrap/>
              <w:overflowPunct w:val="0"/>
              <w:topLinePunct w:val="0"/>
              <w:autoSpaceDE w:val="0"/>
              <w:autoSpaceDN w:val="0"/>
              <w:bidi w:val="0"/>
              <w:adjustRightInd w:val="0"/>
              <w:snapToGrid w:val="0"/>
              <w:spacing w:line="360" w:lineRule="auto"/>
              <w:ind w:firstLine="420" w:firstLineChars="200"/>
              <w:jc w:val="both"/>
              <w:textAlignment w:val="baseline"/>
              <w:rPr>
                <w:rFonts w:hint="eastAsia"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济淄科创大走廊傅家产业园所在位置原属于周村区南郊镇，根据《中共周村区委周村区人民政府关于进一步加快经济园区建设的意见》（周发[2017]8 号）中相关内容，周村区于 2017 年批准成立了李家产业集中区，其四至范围为以李家南北大街为中心向两侧延伸，包括李家村及清泉、北岭村部分，规划面积 80 公顷，发展定位是重点提升机械加工制造产业。批准成立后该集中区未履行规划环评手续</w:t>
            </w:r>
            <w:r>
              <w:rPr>
                <w:rFonts w:hint="eastAsia" w:cs="Times New Roman"/>
                <w:color w:val="auto"/>
                <w:kern w:val="0"/>
                <w:sz w:val="21"/>
                <w:szCs w:val="21"/>
                <w:highlight w:val="none"/>
                <w:lang w:eastAsia="zh-CN"/>
              </w:rPr>
              <w:t>。</w:t>
            </w:r>
          </w:p>
          <w:p w14:paraId="5DF5F5DE">
            <w:pPr>
              <w:keepNext w:val="0"/>
              <w:keepLines w:val="0"/>
              <w:pageBreakBefore w:val="0"/>
              <w:widowControl/>
              <w:kinsoku/>
              <w:wordWrap/>
              <w:overflowPunct w:val="0"/>
              <w:topLinePunct w:val="0"/>
              <w:autoSpaceDE w:val="0"/>
              <w:autoSpaceDN w:val="0"/>
              <w:bidi w:val="0"/>
              <w:adjustRightInd w:val="0"/>
              <w:snapToGrid w:val="0"/>
              <w:spacing w:line="360" w:lineRule="auto"/>
              <w:ind w:firstLine="420" w:firstLineChars="200"/>
              <w:jc w:val="both"/>
              <w:textAlignment w:val="baseline"/>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2020 年，该片区划归淄博经济开发区代管，在原李家产业集中区的基础上规划建设济淄科创大走廊傅家产业园。</w:t>
            </w:r>
          </w:p>
          <w:p w14:paraId="665AEAF0">
            <w:pPr>
              <w:keepNext w:val="0"/>
              <w:keepLines w:val="0"/>
              <w:pageBreakBefore w:val="0"/>
              <w:widowControl/>
              <w:kinsoku/>
              <w:wordWrap/>
              <w:overflowPunct w:val="0"/>
              <w:topLinePunct w:val="0"/>
              <w:autoSpaceDE w:val="0"/>
              <w:autoSpaceDN w:val="0"/>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济淄科创大走廊傅家产业园为淄博经济开发区管委会于2024年7月31日批准成立的专业园区，范围为：原山大道以西、滨莱高速以东、昌国路以南，产业园规划面积87.72公顷。</w:t>
            </w:r>
          </w:p>
          <w:p w14:paraId="4D3DE518">
            <w:pPr>
              <w:keepNext w:val="0"/>
              <w:keepLines w:val="0"/>
              <w:pageBreakBefore w:val="0"/>
              <w:widowControl/>
              <w:kinsoku/>
              <w:wordWrap/>
              <w:overflowPunct w:val="0"/>
              <w:topLinePunct w:val="0"/>
              <w:autoSpaceDE w:val="0"/>
              <w:autoSpaceDN w:val="0"/>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本项目位于</w:t>
            </w:r>
            <w:r>
              <w:rPr>
                <w:rFonts w:hint="eastAsia" w:ascii="Times New Roman" w:hAnsi="Times New Roman" w:cs="Times New Roman"/>
                <w:color w:val="auto"/>
                <w:sz w:val="21"/>
                <w:szCs w:val="21"/>
                <w:highlight w:val="none"/>
                <w:lang w:eastAsia="zh-CN"/>
              </w:rPr>
              <w:t>淄博经济开发区</w:t>
            </w:r>
            <w:r>
              <w:rPr>
                <w:rFonts w:hint="eastAsia" w:cs="Times New Roman"/>
                <w:color w:val="auto"/>
                <w:sz w:val="21"/>
                <w:szCs w:val="21"/>
                <w:highlight w:val="none"/>
                <w:lang w:eastAsia="zh-CN"/>
              </w:rPr>
              <w:t>济淄科创大走廊傅家产业园内</w:t>
            </w:r>
            <w:r>
              <w:rPr>
                <w:rFonts w:hint="default" w:ascii="Times New Roman" w:hAnsi="Times New Roman" w:eastAsia="宋体" w:cs="Times New Roman"/>
                <w:color w:val="auto"/>
                <w:kern w:val="0"/>
                <w:sz w:val="21"/>
                <w:szCs w:val="21"/>
                <w:highlight w:val="none"/>
              </w:rPr>
              <w:t>，用地符合园区规划的要求。</w:t>
            </w:r>
          </w:p>
          <w:p w14:paraId="352791EE">
            <w:pPr>
              <w:keepNext w:val="0"/>
              <w:keepLines w:val="0"/>
              <w:pageBreakBefore w:val="0"/>
              <w:widowControl/>
              <w:kinsoku/>
              <w:wordWrap/>
              <w:overflowPunct w:val="0"/>
              <w:topLinePunct w:val="0"/>
              <w:autoSpaceDE w:val="0"/>
              <w:autoSpaceDN w:val="0"/>
              <w:bidi w:val="0"/>
              <w:adjustRightInd w:val="0"/>
              <w:snapToGrid w:val="0"/>
              <w:spacing w:line="360" w:lineRule="auto"/>
              <w:ind w:firstLine="422" w:firstLineChars="200"/>
              <w:jc w:val="both"/>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二、规划批复产业定位符合性</w:t>
            </w:r>
          </w:p>
          <w:p w14:paraId="0BF2ABB1">
            <w:pPr>
              <w:keepNext w:val="0"/>
              <w:keepLines w:val="0"/>
              <w:pageBreakBefore w:val="0"/>
              <w:widowControl/>
              <w:kinsoku/>
              <w:wordWrap/>
              <w:overflowPunct w:val="0"/>
              <w:topLinePunct w:val="0"/>
              <w:autoSpaceDE w:val="0"/>
              <w:autoSpaceDN w:val="0"/>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根据《淄博市生态环境局经济开发区分局关于〈济淄科创大走廊傅家产业园总体规划（2024-2035）环境影响报告书〉的审查意见》及报告书中的园区产业定位及发展方向，产业园以先进装备制造、高端新材料应用为主导产业，适当布局污染及能耗小的家具制造、塑料制品业、通用设备及专用设备制造等行业。</w:t>
            </w:r>
          </w:p>
          <w:p w14:paraId="35B15BE4">
            <w:pPr>
              <w:keepNext w:val="0"/>
              <w:keepLines w:val="0"/>
              <w:pageBreakBefore w:val="0"/>
              <w:widowControl/>
              <w:kinsoku w:val="0"/>
              <w:wordWrap/>
              <w:overflowPunct/>
              <w:topLinePunct w:val="0"/>
              <w:autoSpaceDE w:val="0"/>
              <w:autoSpaceDN w:val="0"/>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0"/>
                <w:sz w:val="21"/>
                <w:szCs w:val="21"/>
                <w:highlight w:val="none"/>
                <w:lang w:val="ru-RU"/>
              </w:rPr>
            </w:pPr>
            <w:r>
              <w:rPr>
                <w:rFonts w:hint="default" w:ascii="Times New Roman" w:hAnsi="Times New Roman" w:eastAsia="宋体" w:cs="Times New Roman"/>
                <w:color w:val="auto"/>
                <w:kern w:val="0"/>
                <w:sz w:val="21"/>
                <w:szCs w:val="21"/>
                <w:highlight w:val="none"/>
                <w:lang w:val="ru-RU"/>
              </w:rPr>
              <w:t>根据园区规划，园区行业准入清单见表</w:t>
            </w:r>
            <w:r>
              <w:rPr>
                <w:rFonts w:hint="default" w:ascii="Times New Roman" w:hAnsi="Times New Roman" w:eastAsia="宋体" w:cs="Times New Roman"/>
                <w:color w:val="auto"/>
                <w:kern w:val="0"/>
                <w:sz w:val="21"/>
                <w:szCs w:val="21"/>
                <w:highlight w:val="none"/>
              </w:rPr>
              <w:t>2</w:t>
            </w:r>
            <w:r>
              <w:rPr>
                <w:rFonts w:hint="default" w:ascii="Times New Roman" w:hAnsi="Times New Roman" w:eastAsia="宋体" w:cs="Times New Roman"/>
                <w:color w:val="auto"/>
                <w:kern w:val="0"/>
                <w:sz w:val="21"/>
                <w:szCs w:val="21"/>
                <w:highlight w:val="none"/>
                <w:lang w:val="ru-RU"/>
              </w:rPr>
              <w:t>。表中</w:t>
            </w:r>
            <w:r>
              <w:rPr>
                <w:rFonts w:hint="default" w:ascii="Times New Roman" w:hAnsi="Times New Roman" w:eastAsia="宋体" w:cs="Times New Roman"/>
                <w:color w:val="auto"/>
                <w:kern w:val="0"/>
                <w:sz w:val="21"/>
                <w:szCs w:val="21"/>
                <w:highlight w:val="none"/>
              </w:rPr>
              <w:t>★表示“优先进入行业”；▲表示“有条件进入行业”；×表示“禁止进入行业”。</w:t>
            </w:r>
          </w:p>
          <w:p w14:paraId="2DC41097">
            <w:pPr>
              <w:pStyle w:val="2"/>
              <w:keepNext w:val="0"/>
              <w:keepLines w:val="0"/>
              <w:pageBreakBefore w:val="0"/>
              <w:widowControl/>
              <w:kinsoku w:val="0"/>
              <w:wordWrap/>
              <w:overflowPunct/>
              <w:topLinePunct w:val="0"/>
              <w:autoSpaceDE w:val="0"/>
              <w:autoSpaceDN w:val="0"/>
              <w:bidi w:val="0"/>
              <w:adjustRightInd w:val="0"/>
              <w:snapToGrid w:val="0"/>
              <w:spacing w:after="0" w:afterLines="30" w:line="240" w:lineRule="auto"/>
              <w:ind w:left="0" w:leftChars="0"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w:t>
            </w:r>
            <w:r>
              <w:rPr>
                <w:rFonts w:hint="eastAsia" w:ascii="Times New Roman" w:hAnsi="Times New Roman" w:eastAsia="宋体" w:cs="Times New Roman"/>
                <w:b/>
                <w:bCs/>
                <w:color w:val="auto"/>
                <w:kern w:val="0"/>
                <w:sz w:val="21"/>
                <w:szCs w:val="21"/>
                <w:highlight w:val="none"/>
                <w:lang w:val="en-US" w:eastAsia="zh-CN"/>
              </w:rPr>
              <w:t>1-</w:t>
            </w:r>
            <w:r>
              <w:rPr>
                <w:rFonts w:hint="default" w:ascii="Times New Roman" w:hAnsi="Times New Roman" w:eastAsia="宋体" w:cs="Times New Roman"/>
                <w:b/>
                <w:bCs/>
                <w:color w:val="auto"/>
                <w:kern w:val="0"/>
                <w:sz w:val="21"/>
                <w:szCs w:val="21"/>
                <w:highlight w:val="none"/>
              </w:rPr>
              <w:t>2 园区行业准入清单一览表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5"/>
              <w:gridCol w:w="4085"/>
              <w:gridCol w:w="1598"/>
            </w:tblGrid>
            <w:tr w14:paraId="6CB9C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noWrap w:val="0"/>
                  <w:vAlign w:val="center"/>
                </w:tcPr>
                <w:p w14:paraId="57EC3534">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行业类别</w:t>
                  </w:r>
                </w:p>
              </w:tc>
              <w:tc>
                <w:tcPr>
                  <w:tcW w:w="2826" w:type="pct"/>
                  <w:noWrap w:val="0"/>
                  <w:vAlign w:val="center"/>
                </w:tcPr>
                <w:p w14:paraId="47AE7341">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行业小类</w:t>
                  </w:r>
                </w:p>
              </w:tc>
              <w:tc>
                <w:tcPr>
                  <w:tcW w:w="1104" w:type="pct"/>
                  <w:noWrap w:val="0"/>
                  <w:vAlign w:val="center"/>
                </w:tcPr>
                <w:p w14:paraId="49F205B7">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控制级别</w:t>
                  </w:r>
                </w:p>
              </w:tc>
            </w:tr>
            <w:tr w14:paraId="5EE3D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restart"/>
                  <w:noWrap w:val="0"/>
                  <w:vAlign w:val="center"/>
                </w:tcPr>
                <w:p w14:paraId="731FE8BB">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C33金属制品业</w:t>
                  </w:r>
                </w:p>
              </w:tc>
              <w:tc>
                <w:tcPr>
                  <w:tcW w:w="2826" w:type="pct"/>
                  <w:noWrap w:val="0"/>
                  <w:vAlign w:val="center"/>
                </w:tcPr>
                <w:p w14:paraId="0B909B9C">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C331结构性金属制品制造</w:t>
                  </w:r>
                </w:p>
              </w:tc>
              <w:tc>
                <w:tcPr>
                  <w:tcW w:w="1104" w:type="pct"/>
                  <w:noWrap w:val="0"/>
                  <w:vAlign w:val="center"/>
                </w:tcPr>
                <w:p w14:paraId="5119AFE8">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7F7E6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0FF5DD2C">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0F6EBA42">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C332金属工具制造</w:t>
                  </w:r>
                </w:p>
              </w:tc>
              <w:tc>
                <w:tcPr>
                  <w:tcW w:w="1104" w:type="pct"/>
                  <w:noWrap w:val="0"/>
                  <w:vAlign w:val="center"/>
                </w:tcPr>
                <w:p w14:paraId="5BF71868">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26644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2654C00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74D25D6F">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C333集装箱及金属包装容器制造</w:t>
                  </w:r>
                </w:p>
              </w:tc>
              <w:tc>
                <w:tcPr>
                  <w:tcW w:w="1104" w:type="pct"/>
                  <w:noWrap w:val="0"/>
                  <w:vAlign w:val="center"/>
                </w:tcPr>
                <w:p w14:paraId="60F98A5E">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358BC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318EAD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6EEBF90B">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C334金属丝绳及其制品制造</w:t>
                  </w:r>
                </w:p>
              </w:tc>
              <w:tc>
                <w:tcPr>
                  <w:tcW w:w="1104" w:type="pct"/>
                  <w:noWrap w:val="0"/>
                  <w:vAlign w:val="center"/>
                </w:tcPr>
                <w:p w14:paraId="4398DC6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57344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8EB279C">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63076F08">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C335建筑、安全用金属制品制造</w:t>
                  </w:r>
                </w:p>
              </w:tc>
              <w:tc>
                <w:tcPr>
                  <w:tcW w:w="1104" w:type="pct"/>
                  <w:noWrap w:val="0"/>
                  <w:vAlign w:val="center"/>
                </w:tcPr>
                <w:p w14:paraId="2159CBDC">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78E62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7BEB6379">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21198C2C">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C336金属表面处理及热处理加工</w:t>
                  </w:r>
                </w:p>
              </w:tc>
              <w:tc>
                <w:tcPr>
                  <w:tcW w:w="1104" w:type="pct"/>
                  <w:noWrap w:val="0"/>
                  <w:vAlign w:val="center"/>
                </w:tcPr>
                <w:p w14:paraId="103D9A34">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3D4CD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5C3B9C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19C8E222">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C337搪瓷制品制造</w:t>
                  </w:r>
                </w:p>
              </w:tc>
              <w:tc>
                <w:tcPr>
                  <w:tcW w:w="1104" w:type="pct"/>
                  <w:noWrap w:val="0"/>
                  <w:vAlign w:val="center"/>
                </w:tcPr>
                <w:p w14:paraId="73C04725">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1EC8A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5A1F90D8">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48F958DB">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C338金属制日用品制造</w:t>
                  </w:r>
                </w:p>
              </w:tc>
              <w:tc>
                <w:tcPr>
                  <w:tcW w:w="1104" w:type="pct"/>
                  <w:noWrap w:val="0"/>
                  <w:vAlign w:val="center"/>
                </w:tcPr>
                <w:p w14:paraId="5E89DFCF">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22659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0BC77354">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3C8B6D87">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C339铸造及其他金属制品制造</w:t>
                  </w:r>
                </w:p>
              </w:tc>
              <w:tc>
                <w:tcPr>
                  <w:tcW w:w="1104" w:type="pct"/>
                  <w:noWrap w:val="0"/>
                  <w:vAlign w:val="center"/>
                </w:tcPr>
                <w:p w14:paraId="66D4AD97">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12184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restart"/>
                  <w:noWrap w:val="0"/>
                  <w:vAlign w:val="center"/>
                </w:tcPr>
                <w:p w14:paraId="619EA88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C34通用设备制造业</w:t>
                  </w:r>
                </w:p>
              </w:tc>
              <w:tc>
                <w:tcPr>
                  <w:tcW w:w="2826" w:type="pct"/>
                  <w:noWrap w:val="0"/>
                  <w:vAlign w:val="center"/>
                </w:tcPr>
                <w:p w14:paraId="1C021A2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C341锅炉及原动设备制造</w:t>
                  </w:r>
                </w:p>
              </w:tc>
              <w:tc>
                <w:tcPr>
                  <w:tcW w:w="1104" w:type="pct"/>
                  <w:noWrap w:val="0"/>
                  <w:vAlign w:val="center"/>
                </w:tcPr>
                <w:p w14:paraId="4FCD9ACE">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0EAD3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7DD420E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4AA3CDC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C342金属加工机械制造</w:t>
                  </w:r>
                </w:p>
              </w:tc>
              <w:tc>
                <w:tcPr>
                  <w:tcW w:w="1104" w:type="pct"/>
                  <w:noWrap w:val="0"/>
                  <w:vAlign w:val="center"/>
                </w:tcPr>
                <w:p w14:paraId="290D283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1F919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52725657">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3E126B3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C343物料搬运设备制造</w:t>
                  </w:r>
                </w:p>
              </w:tc>
              <w:tc>
                <w:tcPr>
                  <w:tcW w:w="1104" w:type="pct"/>
                  <w:noWrap w:val="0"/>
                  <w:vAlign w:val="center"/>
                </w:tcPr>
                <w:p w14:paraId="34FE2B89">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61FE6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6D3F292">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67AF6BBE">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C344泵、阀门、压缩机及类似机械制造</w:t>
                  </w:r>
                </w:p>
              </w:tc>
              <w:tc>
                <w:tcPr>
                  <w:tcW w:w="1104" w:type="pct"/>
                  <w:noWrap w:val="0"/>
                  <w:vAlign w:val="center"/>
                </w:tcPr>
                <w:p w14:paraId="56B5BD98">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296C8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7B62D99">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4EC9A2A8">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C345轴承、齿轮和传动部件制造</w:t>
                  </w:r>
                </w:p>
              </w:tc>
              <w:tc>
                <w:tcPr>
                  <w:tcW w:w="1104" w:type="pct"/>
                  <w:noWrap w:val="0"/>
                  <w:vAlign w:val="center"/>
                </w:tcPr>
                <w:p w14:paraId="0C173B0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5CD1C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2D73DC2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47C073C9">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C346烘炉、风机、包装等设备制造</w:t>
                  </w:r>
                </w:p>
              </w:tc>
              <w:tc>
                <w:tcPr>
                  <w:tcW w:w="1104" w:type="pct"/>
                  <w:noWrap w:val="0"/>
                  <w:vAlign w:val="center"/>
                </w:tcPr>
                <w:p w14:paraId="7BCF5AFB">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1117B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17F121C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2A9F802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C347文化、办公用机械制造</w:t>
                  </w:r>
                </w:p>
              </w:tc>
              <w:tc>
                <w:tcPr>
                  <w:tcW w:w="1104" w:type="pct"/>
                  <w:noWrap w:val="0"/>
                  <w:vAlign w:val="center"/>
                </w:tcPr>
                <w:p w14:paraId="35A65439">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461A4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1E16A667">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6BA5DC1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C348通用零部件制造</w:t>
                  </w:r>
                </w:p>
              </w:tc>
              <w:tc>
                <w:tcPr>
                  <w:tcW w:w="1104" w:type="pct"/>
                  <w:noWrap w:val="0"/>
                  <w:vAlign w:val="center"/>
                </w:tcPr>
                <w:p w14:paraId="7CE348F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1C001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4DB2F42">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133CDC4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C349其他通用设备制造</w:t>
                  </w:r>
                </w:p>
              </w:tc>
              <w:tc>
                <w:tcPr>
                  <w:tcW w:w="1104" w:type="pct"/>
                  <w:noWrap w:val="0"/>
                  <w:vAlign w:val="center"/>
                </w:tcPr>
                <w:p w14:paraId="74D209CB">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7E807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restart"/>
                  <w:noWrap w:val="0"/>
                  <w:vAlign w:val="center"/>
                </w:tcPr>
                <w:p w14:paraId="696962BF">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C35专用设备制造业</w:t>
                  </w:r>
                </w:p>
              </w:tc>
              <w:tc>
                <w:tcPr>
                  <w:tcW w:w="2826" w:type="pct"/>
                  <w:noWrap w:val="0"/>
                  <w:vAlign w:val="center"/>
                </w:tcPr>
                <w:p w14:paraId="45BB8BD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C351采矿、冶金、建筑专用设备制造</w:t>
                  </w:r>
                </w:p>
              </w:tc>
              <w:tc>
                <w:tcPr>
                  <w:tcW w:w="1104" w:type="pct"/>
                  <w:noWrap w:val="0"/>
                  <w:vAlign w:val="center"/>
                </w:tcPr>
                <w:p w14:paraId="03007985">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71341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2B8BDAE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16F44F55">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C352化工、木材、非金属加工专用设备制造</w:t>
                  </w:r>
                </w:p>
              </w:tc>
              <w:tc>
                <w:tcPr>
                  <w:tcW w:w="1104" w:type="pct"/>
                  <w:noWrap w:val="0"/>
                  <w:vAlign w:val="center"/>
                </w:tcPr>
                <w:p w14:paraId="5CBF417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20675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78A49E7">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6E7D7805">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C353食品、饮料、烟草及饲料生产专用设备制造</w:t>
                  </w:r>
                </w:p>
              </w:tc>
              <w:tc>
                <w:tcPr>
                  <w:tcW w:w="1104" w:type="pct"/>
                  <w:noWrap w:val="0"/>
                  <w:vAlign w:val="center"/>
                </w:tcPr>
                <w:p w14:paraId="649002CC">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70546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1A425C8C">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2CE1B995">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C354印刷、制药、日化及日用品生产专用设备制造</w:t>
                  </w:r>
                </w:p>
              </w:tc>
              <w:tc>
                <w:tcPr>
                  <w:tcW w:w="1104" w:type="pct"/>
                  <w:noWrap w:val="0"/>
                  <w:vAlign w:val="center"/>
                </w:tcPr>
                <w:p w14:paraId="5873CF8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32AEA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35E333EE">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21EA8C79">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C355纺织、服装和皮革加工专用设备制造</w:t>
                  </w:r>
                </w:p>
              </w:tc>
              <w:tc>
                <w:tcPr>
                  <w:tcW w:w="1104" w:type="pct"/>
                  <w:noWrap w:val="0"/>
                  <w:vAlign w:val="center"/>
                </w:tcPr>
                <w:p w14:paraId="424236C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471A6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AE4F4C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78771101">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C356电子和电工机械专用设备制造</w:t>
                  </w:r>
                </w:p>
              </w:tc>
              <w:tc>
                <w:tcPr>
                  <w:tcW w:w="1104" w:type="pct"/>
                  <w:noWrap w:val="0"/>
                  <w:vAlign w:val="center"/>
                </w:tcPr>
                <w:p w14:paraId="10DC99DC">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78253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F3F556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1C2BEAD5">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C357农、林、牧、渔专用机械制造</w:t>
                  </w:r>
                </w:p>
              </w:tc>
              <w:tc>
                <w:tcPr>
                  <w:tcW w:w="1104" w:type="pct"/>
                  <w:noWrap w:val="0"/>
                  <w:vAlign w:val="center"/>
                </w:tcPr>
                <w:p w14:paraId="17BE4299">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036AC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26351A05">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3BA7030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C358医疗仪器设备及器械制造</w:t>
                  </w:r>
                </w:p>
              </w:tc>
              <w:tc>
                <w:tcPr>
                  <w:tcW w:w="1104" w:type="pct"/>
                  <w:noWrap w:val="0"/>
                  <w:vAlign w:val="center"/>
                </w:tcPr>
                <w:p w14:paraId="7957BA62">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34393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59B443F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31DEE2D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C359环保、邮政、社会公共服务及其他专用设备制造</w:t>
                  </w:r>
                </w:p>
              </w:tc>
              <w:tc>
                <w:tcPr>
                  <w:tcW w:w="1104" w:type="pct"/>
                  <w:noWrap w:val="0"/>
                  <w:vAlign w:val="center"/>
                </w:tcPr>
                <w:p w14:paraId="32D191F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32306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restart"/>
                  <w:noWrap w:val="0"/>
                  <w:vAlign w:val="center"/>
                </w:tcPr>
                <w:p w14:paraId="20CEA048">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C38电气机械和器材制造业</w:t>
                  </w:r>
                </w:p>
              </w:tc>
              <w:tc>
                <w:tcPr>
                  <w:tcW w:w="2826" w:type="pct"/>
                  <w:noWrap w:val="0"/>
                  <w:vAlign w:val="center"/>
                </w:tcPr>
                <w:p w14:paraId="0AB1F58C">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C381电机制造</w:t>
                  </w:r>
                </w:p>
              </w:tc>
              <w:tc>
                <w:tcPr>
                  <w:tcW w:w="1104" w:type="pct"/>
                  <w:noWrap w:val="0"/>
                  <w:vAlign w:val="center"/>
                </w:tcPr>
                <w:p w14:paraId="2A0E2A54">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31169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73ACBD3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70ACDBBF">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C382输配电及控制设备制造</w:t>
                  </w:r>
                </w:p>
              </w:tc>
              <w:tc>
                <w:tcPr>
                  <w:tcW w:w="1104" w:type="pct"/>
                  <w:noWrap w:val="0"/>
                  <w:vAlign w:val="center"/>
                </w:tcPr>
                <w:p w14:paraId="6527238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589F7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5DAA088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2B4C5BE8">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C383电线、电缆、光缆及电工器材制造</w:t>
                  </w:r>
                </w:p>
              </w:tc>
              <w:tc>
                <w:tcPr>
                  <w:tcW w:w="1104" w:type="pct"/>
                  <w:noWrap w:val="0"/>
                  <w:vAlign w:val="center"/>
                </w:tcPr>
                <w:p w14:paraId="58767799">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4FCA8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07D40654">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202DE7D1">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C384电池制造</w:t>
                  </w:r>
                </w:p>
              </w:tc>
              <w:tc>
                <w:tcPr>
                  <w:tcW w:w="1104" w:type="pct"/>
                  <w:noWrap w:val="0"/>
                  <w:vAlign w:val="center"/>
                </w:tcPr>
                <w:p w14:paraId="6BE4A13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2E037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3019BF14">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2C8E92C2">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C385家用电力器具制造</w:t>
                  </w:r>
                </w:p>
              </w:tc>
              <w:tc>
                <w:tcPr>
                  <w:tcW w:w="1104" w:type="pct"/>
                  <w:noWrap w:val="0"/>
                  <w:vAlign w:val="center"/>
                </w:tcPr>
                <w:p w14:paraId="390F276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035D7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E6F07F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0DDB871F">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C386非电力家用器具制造</w:t>
                  </w:r>
                </w:p>
              </w:tc>
              <w:tc>
                <w:tcPr>
                  <w:tcW w:w="1104" w:type="pct"/>
                  <w:noWrap w:val="0"/>
                  <w:vAlign w:val="center"/>
                </w:tcPr>
                <w:p w14:paraId="47B515BB">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23888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5C111B27">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4D42D924">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C387照明器具制造</w:t>
                  </w:r>
                </w:p>
              </w:tc>
              <w:tc>
                <w:tcPr>
                  <w:tcW w:w="1104" w:type="pct"/>
                  <w:noWrap w:val="0"/>
                  <w:vAlign w:val="center"/>
                </w:tcPr>
                <w:p w14:paraId="24903C0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3F7D3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F3B843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220C4EF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C388其他电器机械及器材制造</w:t>
                  </w:r>
                </w:p>
              </w:tc>
              <w:tc>
                <w:tcPr>
                  <w:tcW w:w="1104" w:type="pct"/>
                  <w:noWrap w:val="0"/>
                  <w:vAlign w:val="center"/>
                </w:tcPr>
                <w:p w14:paraId="47B3D009">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7EC09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restart"/>
                  <w:noWrap w:val="0"/>
                  <w:vAlign w:val="center"/>
                </w:tcPr>
                <w:p w14:paraId="6B239F0F">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C30非金属矿物制品业</w:t>
                  </w:r>
                </w:p>
              </w:tc>
              <w:tc>
                <w:tcPr>
                  <w:tcW w:w="2826" w:type="pct"/>
                  <w:noWrap w:val="0"/>
                  <w:vAlign w:val="center"/>
                </w:tcPr>
                <w:p w14:paraId="4C0F075B">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C301水泥、石灰和石膏制造</w:t>
                  </w:r>
                </w:p>
              </w:tc>
              <w:tc>
                <w:tcPr>
                  <w:tcW w:w="1104" w:type="pct"/>
                  <w:noWrap w:val="0"/>
                  <w:vAlign w:val="center"/>
                </w:tcPr>
                <w:p w14:paraId="0F20305B">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724BB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E44593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382FE48C">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C302石膏、水泥制品及类似制品制造</w:t>
                  </w:r>
                </w:p>
              </w:tc>
              <w:tc>
                <w:tcPr>
                  <w:tcW w:w="1104" w:type="pct"/>
                  <w:noWrap w:val="0"/>
                  <w:vAlign w:val="center"/>
                </w:tcPr>
                <w:p w14:paraId="2152709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1725F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41C63B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412793D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C303砖瓦、石材等建筑材料制造</w:t>
                  </w:r>
                </w:p>
              </w:tc>
              <w:tc>
                <w:tcPr>
                  <w:tcW w:w="1104" w:type="pct"/>
                  <w:noWrap w:val="0"/>
                  <w:vAlign w:val="center"/>
                </w:tcPr>
                <w:p w14:paraId="7442644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4F28F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D9E5A04">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11F9C4C1">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C304玻璃制造</w:t>
                  </w:r>
                </w:p>
              </w:tc>
              <w:tc>
                <w:tcPr>
                  <w:tcW w:w="1104" w:type="pct"/>
                  <w:noWrap w:val="0"/>
                  <w:vAlign w:val="center"/>
                </w:tcPr>
                <w:p w14:paraId="4BA747C1">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6D6A9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75B4363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0FD9384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C305玻璃制品制造</w:t>
                  </w:r>
                </w:p>
              </w:tc>
              <w:tc>
                <w:tcPr>
                  <w:tcW w:w="1104" w:type="pct"/>
                  <w:noWrap w:val="0"/>
                  <w:vAlign w:val="center"/>
                </w:tcPr>
                <w:p w14:paraId="5BDDDC4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36C38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11F4E85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36BAFE1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C306玻璃纤维和玻璃纤维增强塑料制品制造</w:t>
                  </w:r>
                </w:p>
              </w:tc>
              <w:tc>
                <w:tcPr>
                  <w:tcW w:w="1104" w:type="pct"/>
                  <w:noWrap w:val="0"/>
                  <w:vAlign w:val="center"/>
                </w:tcPr>
                <w:p w14:paraId="5B3C90B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6C3F7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7531175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3ECDD5B2">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C307陶瓷制品制造</w:t>
                  </w:r>
                </w:p>
              </w:tc>
              <w:tc>
                <w:tcPr>
                  <w:tcW w:w="1104" w:type="pct"/>
                  <w:noWrap w:val="0"/>
                  <w:vAlign w:val="center"/>
                </w:tcPr>
                <w:p w14:paraId="2416500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3733C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65055ED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478D3B6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C308耐火材料制品制造</w:t>
                  </w:r>
                </w:p>
              </w:tc>
              <w:tc>
                <w:tcPr>
                  <w:tcW w:w="1104" w:type="pct"/>
                  <w:noWrap w:val="0"/>
                  <w:vAlign w:val="center"/>
                </w:tcPr>
                <w:p w14:paraId="4594369E">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599CB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3EF4D87C">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16A8FEDB">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C309石墨及其他非金属矿物制品制造</w:t>
                  </w:r>
                </w:p>
              </w:tc>
              <w:tc>
                <w:tcPr>
                  <w:tcW w:w="1104" w:type="pct"/>
                  <w:noWrap w:val="0"/>
                  <w:vAlign w:val="center"/>
                </w:tcPr>
                <w:p w14:paraId="23FF9585">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39785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restart"/>
                  <w:noWrap w:val="0"/>
                  <w:vAlign w:val="center"/>
                </w:tcPr>
                <w:p w14:paraId="210EF609">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C21家具制造</w:t>
                  </w:r>
                </w:p>
              </w:tc>
              <w:tc>
                <w:tcPr>
                  <w:tcW w:w="2826" w:type="pct"/>
                  <w:noWrap w:val="0"/>
                  <w:vAlign w:val="center"/>
                </w:tcPr>
                <w:p w14:paraId="2A952304">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C211木质家具制造</w:t>
                  </w:r>
                </w:p>
              </w:tc>
              <w:tc>
                <w:tcPr>
                  <w:tcW w:w="1104" w:type="pct"/>
                  <w:noWrap w:val="0"/>
                  <w:vAlign w:val="center"/>
                </w:tcPr>
                <w:p w14:paraId="2E4C145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52E57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EED0CA8">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7D0F3A12">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C212塑料家具制造</w:t>
                  </w:r>
                </w:p>
              </w:tc>
              <w:tc>
                <w:tcPr>
                  <w:tcW w:w="1104" w:type="pct"/>
                  <w:noWrap w:val="0"/>
                  <w:vAlign w:val="center"/>
                </w:tcPr>
                <w:p w14:paraId="7572D0A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75EBE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55097BE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09D84D6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C213金属家具制造</w:t>
                  </w:r>
                </w:p>
              </w:tc>
              <w:tc>
                <w:tcPr>
                  <w:tcW w:w="1104" w:type="pct"/>
                  <w:noWrap w:val="0"/>
                  <w:vAlign w:val="center"/>
                </w:tcPr>
                <w:p w14:paraId="27C953BE">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609D4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1534158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1B469A99">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C214塑料家具制造</w:t>
                  </w:r>
                </w:p>
              </w:tc>
              <w:tc>
                <w:tcPr>
                  <w:tcW w:w="1104" w:type="pct"/>
                  <w:noWrap w:val="0"/>
                  <w:vAlign w:val="center"/>
                </w:tcPr>
                <w:p w14:paraId="5045AF5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64883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498F9D5">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7E77C9AE">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C219其他家具制造</w:t>
                  </w:r>
                </w:p>
              </w:tc>
              <w:tc>
                <w:tcPr>
                  <w:tcW w:w="1104" w:type="pct"/>
                  <w:noWrap w:val="0"/>
                  <w:vAlign w:val="center"/>
                </w:tcPr>
                <w:p w14:paraId="0DFBEB9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2BB00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noWrap w:val="0"/>
                  <w:vAlign w:val="center"/>
                </w:tcPr>
                <w:p w14:paraId="47D5F033">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C26化学原料和化学品制造业</w:t>
                  </w:r>
                </w:p>
              </w:tc>
              <w:tc>
                <w:tcPr>
                  <w:tcW w:w="3930" w:type="pct"/>
                  <w:gridSpan w:val="2"/>
                  <w:noWrap w:val="0"/>
                  <w:vAlign w:val="center"/>
                </w:tcPr>
                <w:p w14:paraId="09EE0261">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只允许单纯物理分离、物理提纯、混合、分装的项目入内</w:t>
                  </w:r>
                </w:p>
              </w:tc>
            </w:tr>
            <w:tr w14:paraId="7F322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restart"/>
                  <w:noWrap w:val="0"/>
                  <w:vAlign w:val="center"/>
                </w:tcPr>
                <w:p w14:paraId="70BFC2B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C29橡胶和塑料制造业</w:t>
                  </w:r>
                </w:p>
              </w:tc>
              <w:tc>
                <w:tcPr>
                  <w:tcW w:w="2826" w:type="pct"/>
                  <w:noWrap w:val="0"/>
                  <w:vAlign w:val="center"/>
                </w:tcPr>
                <w:p w14:paraId="76DB21DD">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C219橡胶制品业</w:t>
                  </w:r>
                </w:p>
              </w:tc>
              <w:tc>
                <w:tcPr>
                  <w:tcW w:w="1104" w:type="pct"/>
                  <w:noWrap w:val="0"/>
                  <w:vAlign w:val="center"/>
                </w:tcPr>
                <w:p w14:paraId="75F6E538">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0C024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9" w:type="pct"/>
                  <w:vMerge w:val="continue"/>
                  <w:noWrap w:val="0"/>
                  <w:vAlign w:val="center"/>
                </w:tcPr>
                <w:p w14:paraId="48ECA232">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p>
              </w:tc>
              <w:tc>
                <w:tcPr>
                  <w:tcW w:w="2826" w:type="pct"/>
                  <w:noWrap w:val="0"/>
                  <w:vAlign w:val="center"/>
                </w:tcPr>
                <w:p w14:paraId="39042DC6">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C292塑料制品业</w:t>
                  </w:r>
                </w:p>
              </w:tc>
              <w:tc>
                <w:tcPr>
                  <w:tcW w:w="1104" w:type="pct"/>
                  <w:noWrap w:val="0"/>
                  <w:vAlign w:val="center"/>
                </w:tcPr>
                <w:p w14:paraId="48AF62CE">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w:t>
                  </w:r>
                </w:p>
              </w:tc>
            </w:tr>
            <w:tr w14:paraId="736E0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14:paraId="74FD66BE">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▲：废水、废气排放不得含有“铅、砷、铬、镉、汞”等一类重金属污染物；能效达到最新版工业重点领域能效标杆水平和基准水平；采取的防污措施须满足污染防治可行技术指南的要求；不得使用高污染燃料； C307陶瓷制品业只允许特种陶瓷制品及陶瓷新材料制造业入园；C339铸造及其他金属制品制造按照现行有效的“两高”项目管理措施实施；</w:t>
                  </w:r>
                </w:p>
                <w:p w14:paraId="7E1C07DF">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另：对于李家中路以南的地块，只允许环境影响轻微的相关项目入驻</w:t>
                  </w:r>
                </w:p>
              </w:tc>
            </w:tr>
            <w:tr w14:paraId="45143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14:paraId="206A4E3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表中未列的其他行业在满足以下条件下可以入园：</w:t>
                  </w:r>
                </w:p>
                <w:p w14:paraId="678CF670">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①行业产生的环境影响要小于园区主导产业生产过程中产生的环境影响；</w:t>
                  </w:r>
                </w:p>
                <w:p w14:paraId="798C3A4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②环境风险可防可控。</w:t>
                  </w:r>
                </w:p>
                <w:p w14:paraId="37030A6A">
                  <w:pPr>
                    <w:pStyle w:val="417"/>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②入区之前须由园区管理部门商由当地生态环境主管部门许可。</w:t>
                  </w:r>
                </w:p>
              </w:tc>
            </w:tr>
          </w:tbl>
          <w:p w14:paraId="6E19BF23">
            <w:pPr>
              <w:keepNext w:val="0"/>
              <w:keepLines w:val="0"/>
              <w:pageBreakBefore w:val="0"/>
              <w:widowControl/>
              <w:kinsoku/>
              <w:wordWrap/>
              <w:overflowPunct/>
              <w:topLinePunct w:val="0"/>
              <w:autoSpaceDE w:val="0"/>
              <w:autoSpaceDN w:val="0"/>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本项目为</w:t>
            </w:r>
            <w:r>
              <w:rPr>
                <w:rFonts w:hint="eastAsia" w:ascii="Times New Roman" w:hAnsi="Times New Roman" w:cs="Times New Roman"/>
                <w:color w:val="auto"/>
                <w:kern w:val="0"/>
                <w:sz w:val="21"/>
                <w:szCs w:val="21"/>
                <w:highlight w:val="none"/>
                <w:lang w:eastAsia="zh-CN"/>
              </w:rPr>
              <w:t>高性能抛光粉体项目</w:t>
            </w:r>
            <w:r>
              <w:rPr>
                <w:rFonts w:hint="default" w:ascii="Times New Roman" w:hAnsi="Times New Roman" w:eastAsia="宋体" w:cs="Times New Roman"/>
                <w:color w:val="auto"/>
                <w:kern w:val="0"/>
                <w:sz w:val="21"/>
                <w:szCs w:val="21"/>
                <w:highlight w:val="none"/>
              </w:rPr>
              <w:t>，项目</w:t>
            </w:r>
            <w:r>
              <w:rPr>
                <w:rFonts w:hint="eastAsia" w:ascii="Times New Roman" w:hAnsi="Times New Roman" w:cs="Times New Roman"/>
                <w:color w:val="auto"/>
                <w:kern w:val="0"/>
                <w:sz w:val="21"/>
                <w:szCs w:val="21"/>
                <w:highlight w:val="none"/>
                <w:lang w:val="en-US" w:eastAsia="zh-CN"/>
              </w:rPr>
              <w:t>行业</w:t>
            </w:r>
            <w:r>
              <w:rPr>
                <w:rFonts w:hint="default" w:ascii="Times New Roman" w:hAnsi="Times New Roman" w:eastAsia="宋体" w:cs="Times New Roman"/>
                <w:color w:val="auto"/>
                <w:kern w:val="0"/>
                <w:sz w:val="21"/>
                <w:szCs w:val="21"/>
                <w:highlight w:val="none"/>
              </w:rPr>
              <w:t>为</w:t>
            </w:r>
            <w:r>
              <w:rPr>
                <w:rFonts w:hint="eastAsia" w:ascii="Times New Roman" w:hAnsi="Times New Roman" w:cs="Times New Roman"/>
                <w:color w:val="auto"/>
                <w:kern w:val="0"/>
                <w:sz w:val="21"/>
                <w:szCs w:val="21"/>
                <w:highlight w:val="none"/>
                <w:lang w:eastAsia="zh-CN"/>
              </w:rPr>
              <w:t>C3985电子专用材料制造</w:t>
            </w:r>
            <w:r>
              <w:rPr>
                <w:rFonts w:hint="default" w:ascii="Times New Roman" w:hAnsi="Times New Roman" w:eastAsia="宋体" w:cs="Times New Roman"/>
                <w:color w:val="auto"/>
                <w:kern w:val="0"/>
                <w:sz w:val="21"/>
                <w:szCs w:val="21"/>
                <w:highlight w:val="none"/>
              </w:rPr>
              <w:t>，</w:t>
            </w:r>
            <w:r>
              <w:rPr>
                <w:rFonts w:hint="eastAsia" w:ascii="Times New Roman" w:hAnsi="Times New Roman" w:cs="Times New Roman"/>
                <w:color w:val="auto"/>
                <w:kern w:val="0"/>
                <w:sz w:val="21"/>
                <w:szCs w:val="21"/>
                <w:highlight w:val="none"/>
                <w:lang w:val="en-US" w:eastAsia="zh-CN"/>
              </w:rPr>
              <w:t>属</w:t>
            </w:r>
            <w:r>
              <w:rPr>
                <w:rFonts w:hint="eastAsia" w:ascii="Times New Roman" w:hAnsi="Times New Roman" w:eastAsia="宋体" w:cs="Times New Roman"/>
                <w:color w:val="auto"/>
                <w:kern w:val="0"/>
                <w:sz w:val="21"/>
                <w:szCs w:val="21"/>
                <w:highlight w:val="none"/>
                <w:lang w:val="en-US" w:eastAsia="zh-CN"/>
              </w:rPr>
              <w:t>于“</w:t>
            </w:r>
            <w:r>
              <w:rPr>
                <w:rFonts w:hint="default" w:ascii="Times New Roman" w:hAnsi="Times New Roman" w:eastAsia="宋体" w:cs="Times New Roman"/>
                <w:color w:val="auto"/>
                <w:kern w:val="0"/>
                <w:sz w:val="21"/>
                <w:szCs w:val="21"/>
                <w:highlight w:val="none"/>
              </w:rPr>
              <w:t>园区行业准入清单一览表</w:t>
            </w:r>
            <w:r>
              <w:rPr>
                <w:rFonts w:hint="eastAsia" w:ascii="Times New Roman" w:hAnsi="Times New Roman" w:eastAsia="宋体" w:cs="Times New Roman"/>
                <w:color w:val="auto"/>
                <w:kern w:val="0"/>
                <w:sz w:val="21"/>
                <w:szCs w:val="21"/>
                <w:highlight w:val="none"/>
                <w:lang w:val="en-US" w:eastAsia="zh-CN"/>
              </w:rPr>
              <w:t>”中“</w:t>
            </w:r>
            <w:r>
              <w:rPr>
                <w:rFonts w:hint="default" w:ascii="Times New Roman" w:hAnsi="Times New Roman" w:eastAsia="宋体" w:cs="Times New Roman"/>
                <w:color w:val="auto"/>
                <w:kern w:val="0"/>
                <w:sz w:val="21"/>
                <w:szCs w:val="21"/>
                <w:highlight w:val="none"/>
                <w:lang w:val="en-US"/>
              </w:rPr>
              <w:t>表中未列的其他行业</w:t>
            </w:r>
            <w:r>
              <w:rPr>
                <w:rFonts w:hint="eastAsia" w:ascii="Times New Roman" w:hAnsi="Times New Roman" w:eastAsia="宋体" w:cs="Times New Roman"/>
                <w:color w:val="auto"/>
                <w:kern w:val="0"/>
                <w:sz w:val="21"/>
                <w:szCs w:val="21"/>
                <w:highlight w:val="none"/>
                <w:lang w:val="en-US" w:eastAsia="zh-CN"/>
              </w:rPr>
              <w:t>”</w:t>
            </w:r>
            <w:r>
              <w:rPr>
                <w:rFonts w:hint="eastAsia" w:ascii="Times New Roman" w:hAnsi="Times New Roman" w:cs="Times New Roman"/>
                <w:color w:val="auto"/>
                <w:kern w:val="0"/>
                <w:sz w:val="21"/>
                <w:szCs w:val="21"/>
                <w:highlight w:val="none"/>
                <w:lang w:val="en-US" w:eastAsia="zh-CN"/>
              </w:rPr>
              <w:t>，项目</w:t>
            </w:r>
            <w:r>
              <w:rPr>
                <w:rFonts w:hint="default" w:ascii="Times New Roman" w:hAnsi="Times New Roman" w:eastAsia="宋体" w:cs="Times New Roman"/>
                <w:color w:val="auto"/>
                <w:kern w:val="0"/>
                <w:sz w:val="21"/>
                <w:szCs w:val="21"/>
                <w:highlight w:val="none"/>
              </w:rPr>
              <w:t>环境风险可防可控，</w:t>
            </w:r>
            <w:r>
              <w:rPr>
                <w:rFonts w:hint="eastAsia" w:cs="Times New Roman"/>
                <w:color w:val="auto"/>
                <w:kern w:val="0"/>
                <w:sz w:val="21"/>
                <w:szCs w:val="21"/>
                <w:highlight w:val="none"/>
                <w:lang w:val="en-US" w:eastAsia="zh-CN"/>
              </w:rPr>
              <w:t>且小于园区主导产业的环境影响，</w:t>
            </w:r>
            <w:r>
              <w:rPr>
                <w:rFonts w:hint="default" w:ascii="Times New Roman" w:hAnsi="Times New Roman" w:eastAsia="宋体" w:cs="Times New Roman"/>
                <w:color w:val="auto"/>
                <w:kern w:val="0"/>
                <w:sz w:val="21"/>
                <w:szCs w:val="21"/>
                <w:highlight w:val="none"/>
                <w:lang w:val="en-US" w:eastAsia="zh-CN"/>
              </w:rPr>
              <w:t>已取得傅家镇同意建设的意见（详见附件</w:t>
            </w:r>
            <w:r>
              <w:rPr>
                <w:rFonts w:hint="eastAsia" w:cs="Times New Roman"/>
                <w:color w:val="auto"/>
                <w:kern w:val="0"/>
                <w:sz w:val="21"/>
                <w:szCs w:val="21"/>
                <w:highlight w:val="none"/>
                <w:lang w:val="en-US" w:eastAsia="zh-CN"/>
              </w:rPr>
              <w:t>9</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故项目满足入园条件</w:t>
            </w:r>
            <w:r>
              <w:rPr>
                <w:rFonts w:hint="eastAsia" w:ascii="Times New Roman" w:hAnsi="Times New Roman" w:cs="Times New Roman"/>
                <w:color w:val="auto"/>
                <w:kern w:val="0"/>
                <w:sz w:val="21"/>
                <w:szCs w:val="21"/>
                <w:highlight w:val="none"/>
                <w:lang w:val="en-US" w:eastAsia="zh-CN"/>
              </w:rPr>
              <w:t>。</w:t>
            </w:r>
          </w:p>
          <w:p w14:paraId="518129F1">
            <w:pPr>
              <w:keepNext w:val="0"/>
              <w:keepLines w:val="0"/>
              <w:pageBreakBefore w:val="0"/>
              <w:widowControl/>
              <w:kinsoku/>
              <w:wordWrap/>
              <w:overflowPunct/>
              <w:topLinePunct w:val="0"/>
              <w:autoSpaceDE w:val="0"/>
              <w:autoSpaceDN w:val="0"/>
              <w:bidi w:val="0"/>
              <w:adjustRightInd w:val="0"/>
              <w:snapToGrid w:val="0"/>
              <w:spacing w:line="360" w:lineRule="auto"/>
              <w:ind w:firstLine="420" w:firstLineChars="200"/>
              <w:jc w:val="both"/>
              <w:textAlignment w:val="baseline"/>
              <w:rPr>
                <w:rFonts w:hint="eastAsia" w:eastAsia="宋体"/>
                <w:color w:val="auto"/>
                <w:sz w:val="24"/>
                <w:szCs w:val="24"/>
                <w:lang w:eastAsia="zh-CN"/>
              </w:rPr>
            </w:pPr>
            <w:r>
              <w:rPr>
                <w:rFonts w:hint="default" w:ascii="Times New Roman" w:hAnsi="Times New Roman" w:eastAsia="宋体" w:cs="Times New Roman"/>
                <w:color w:val="auto"/>
                <w:kern w:val="0"/>
                <w:sz w:val="21"/>
                <w:szCs w:val="21"/>
                <w:highlight w:val="none"/>
              </w:rPr>
              <w:t>本项目位于</w:t>
            </w:r>
            <w:r>
              <w:rPr>
                <w:rFonts w:hint="default" w:ascii="Times New Roman" w:hAnsi="Times New Roman" w:eastAsia="宋体" w:cs="Times New Roman"/>
                <w:color w:val="auto"/>
                <w:sz w:val="21"/>
                <w:szCs w:val="21"/>
                <w:highlight w:val="none"/>
              </w:rPr>
              <w:t>淄博经济开发区</w:t>
            </w:r>
            <w:r>
              <w:rPr>
                <w:rFonts w:hint="default" w:ascii="Times New Roman" w:hAnsi="Times New Roman" w:eastAsia="宋体" w:cs="Times New Roman"/>
                <w:color w:val="auto"/>
                <w:kern w:val="0"/>
                <w:sz w:val="21"/>
                <w:szCs w:val="21"/>
                <w:highlight w:val="none"/>
              </w:rPr>
              <w:t>，根据</w:t>
            </w:r>
            <w:r>
              <w:rPr>
                <w:rFonts w:hint="eastAsia" w:cs="Times New Roman"/>
                <w:color w:val="auto"/>
                <w:kern w:val="0"/>
                <w:sz w:val="21"/>
                <w:szCs w:val="21"/>
                <w:highlight w:val="none"/>
                <w:lang w:val="en-US" w:eastAsia="zh-CN"/>
              </w:rPr>
              <w:t>附件6</w:t>
            </w:r>
            <w:r>
              <w:rPr>
                <w:rFonts w:hint="default" w:ascii="Times New Roman" w:hAnsi="Times New Roman" w:eastAsia="宋体" w:cs="Times New Roman"/>
                <w:color w:val="auto"/>
                <w:kern w:val="0"/>
                <w:sz w:val="21"/>
                <w:szCs w:val="21"/>
                <w:highlight w:val="none"/>
              </w:rPr>
              <w:t>淄博市国土空间总体规划（2021-2035）</w:t>
            </w:r>
            <w:r>
              <w:rPr>
                <w:rFonts w:hint="default" w:ascii="Times New Roman" w:hAnsi="Times New Roman" w:eastAsia="宋体" w:cs="Times New Roman"/>
                <w:color w:val="auto"/>
                <w:kern w:val="0"/>
                <w:sz w:val="21"/>
                <w:szCs w:val="21"/>
                <w:highlight w:val="none"/>
                <w:lang w:val="en-US" w:eastAsia="zh-CN"/>
              </w:rPr>
              <w:t>-中心城区土地使用规划图</w:t>
            </w:r>
            <w:r>
              <w:rPr>
                <w:rFonts w:hint="default" w:ascii="Times New Roman" w:hAnsi="Times New Roman" w:eastAsia="宋体" w:cs="Times New Roman"/>
                <w:color w:val="auto"/>
                <w:kern w:val="0"/>
                <w:sz w:val="21"/>
                <w:szCs w:val="21"/>
                <w:highlight w:val="none"/>
              </w:rPr>
              <w:t>，项目建设位置属于工业用地，不属于</w:t>
            </w:r>
            <w:r>
              <w:rPr>
                <w:rFonts w:hint="default" w:ascii="Times New Roman" w:hAnsi="Times New Roman" w:cs="Times New Roman"/>
                <w:bCs/>
                <w:color w:val="auto"/>
                <w:sz w:val="21"/>
                <w:szCs w:val="21"/>
                <w:highlight w:val="none"/>
              </w:rPr>
              <w:t>“国土资源部、国家发展和改革委员会关于发布实施《自然资源要素支撑产业高质量发展指导目录（2024年本）》的通知”中的限制类和禁止类</w:t>
            </w:r>
            <w:r>
              <w:rPr>
                <w:rFonts w:hint="default" w:ascii="Times New Roman" w:hAnsi="Times New Roman" w:eastAsia="宋体" w:cs="Times New Roman"/>
                <w:color w:val="auto"/>
                <w:kern w:val="0"/>
                <w:sz w:val="21"/>
                <w:szCs w:val="21"/>
                <w:highlight w:val="none"/>
              </w:rPr>
              <w:t>。根据《济淄科创大走廊傅家产业园总体规划（2024-2035）报告书》，本项目位于园区适宜建设区内（详见附图</w:t>
            </w:r>
            <w:r>
              <w:rPr>
                <w:rFonts w:hint="eastAsia" w:cs="Times New Roman"/>
                <w:color w:val="auto"/>
                <w:kern w:val="0"/>
                <w:sz w:val="21"/>
                <w:szCs w:val="21"/>
                <w:highlight w:val="none"/>
                <w:lang w:val="en-US" w:eastAsia="zh-CN"/>
              </w:rPr>
              <w:t>8</w:t>
            </w:r>
            <w:r>
              <w:rPr>
                <w:rFonts w:hint="default" w:ascii="Times New Roman" w:hAnsi="Times New Roman" w:eastAsia="宋体" w:cs="Times New Roman"/>
                <w:color w:val="auto"/>
                <w:kern w:val="0"/>
                <w:sz w:val="21"/>
                <w:szCs w:val="21"/>
                <w:highlight w:val="none"/>
              </w:rPr>
              <w:t>）。因此，本项目符合国家及地方用地规划。</w:t>
            </w:r>
          </w:p>
        </w:tc>
      </w:tr>
      <w:tr w14:paraId="03D689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413" w:type="dxa"/>
            <w:vAlign w:val="center"/>
          </w:tcPr>
          <w:p w14:paraId="2B457ABB">
            <w:pPr>
              <w:autoSpaceDE w:val="0"/>
              <w:autoSpaceDN w:val="0"/>
              <w:adjustRightInd w:val="0"/>
              <w:snapToGrid w:val="0"/>
              <w:spacing w:line="420" w:lineRule="exact"/>
              <w:jc w:val="center"/>
              <w:rPr>
                <w:color w:val="auto"/>
                <w:kern w:val="0"/>
              </w:rPr>
            </w:pPr>
            <w:r>
              <w:rPr>
                <w:color w:val="auto"/>
                <w:kern w:val="0"/>
              </w:rPr>
              <w:t>其他符合性分析</w:t>
            </w:r>
          </w:p>
        </w:tc>
        <w:tc>
          <w:tcPr>
            <w:tcW w:w="7457" w:type="dxa"/>
            <w:gridSpan w:val="3"/>
            <w:vAlign w:val="center"/>
          </w:tcPr>
          <w:p w14:paraId="6A739B2E">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b/>
                <w:color w:val="auto"/>
              </w:rPr>
            </w:pPr>
            <w:r>
              <w:rPr>
                <w:b/>
                <w:color w:val="auto"/>
              </w:rPr>
              <w:t>一、</w:t>
            </w:r>
            <w:r>
              <w:rPr>
                <w:rFonts w:hint="eastAsia"/>
                <w:b/>
                <w:color w:val="auto"/>
                <w:lang w:val="en-US" w:eastAsia="zh-CN"/>
              </w:rPr>
              <w:t>“生态环境分区管控”</w:t>
            </w:r>
            <w:r>
              <w:rPr>
                <w:rFonts w:hint="eastAsia"/>
                <w:b/>
                <w:color w:val="auto"/>
              </w:rPr>
              <w:t>符合性判定</w:t>
            </w:r>
          </w:p>
          <w:p w14:paraId="2E082002">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bCs/>
                <w:color w:val="FF0000"/>
                <w:highlight w:val="none"/>
              </w:rPr>
            </w:pPr>
            <w:r>
              <w:rPr>
                <w:bCs/>
                <w:color w:val="FF0000"/>
                <w:highlight w:val="none"/>
              </w:rPr>
              <w:t>1、生态保护红线</w:t>
            </w:r>
          </w:p>
          <w:p w14:paraId="4487363D">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eastAsia" w:ascii="宋体" w:hAnsi="宋体"/>
                <w:bCs/>
                <w:color w:val="FF0000"/>
                <w:szCs w:val="21"/>
                <w:highlight w:val="none"/>
                <w:lang w:val="en-US" w:eastAsia="zh-CN"/>
              </w:rPr>
            </w:pPr>
            <w:r>
              <w:rPr>
                <w:rFonts w:hint="default" w:ascii="Times New Roman" w:hAnsi="Times New Roman" w:cs="Times New Roman"/>
                <w:b w:val="0"/>
                <w:bCs/>
                <w:color w:val="FF0000"/>
                <w:highlight w:val="none"/>
                <w:lang w:val="en-US" w:eastAsia="zh-CN"/>
              </w:rPr>
              <w:t>根据附图</w:t>
            </w:r>
            <w:r>
              <w:rPr>
                <w:rFonts w:hint="eastAsia" w:ascii="Times New Roman" w:hAnsi="Times New Roman" w:cs="Times New Roman"/>
                <w:b w:val="0"/>
                <w:bCs/>
                <w:color w:val="FF0000"/>
                <w:highlight w:val="none"/>
                <w:lang w:val="en-US" w:eastAsia="zh-CN"/>
              </w:rPr>
              <w:t>5</w:t>
            </w:r>
            <w:r>
              <w:rPr>
                <w:rFonts w:hint="default" w:ascii="Times New Roman" w:hAnsi="Times New Roman" w:cs="Times New Roman"/>
                <w:b w:val="0"/>
                <w:bCs/>
                <w:color w:val="FF0000"/>
                <w:highlight w:val="none"/>
                <w:lang w:val="en-US" w:eastAsia="zh-CN"/>
              </w:rPr>
              <w:t>淄博市国土空间总体规划（</w:t>
            </w:r>
            <w:r>
              <w:rPr>
                <w:rFonts w:hint="eastAsia" w:ascii="Times New Roman" w:hAnsi="Times New Roman" w:cs="Times New Roman"/>
                <w:b w:val="0"/>
                <w:bCs/>
                <w:color w:val="FF0000"/>
                <w:highlight w:val="none"/>
                <w:lang w:val="en-US" w:eastAsia="zh-CN"/>
              </w:rPr>
              <w:t>2024-</w:t>
            </w:r>
            <w:r>
              <w:rPr>
                <w:rFonts w:hint="default" w:ascii="Times New Roman" w:hAnsi="Times New Roman" w:cs="Times New Roman"/>
                <w:b w:val="0"/>
                <w:bCs/>
                <w:color w:val="FF0000"/>
                <w:highlight w:val="none"/>
                <w:lang w:val="en-US" w:eastAsia="zh-CN"/>
              </w:rPr>
              <w:t>2035年）-市域国土空间控制线规划图可知，项目不在生态红线范围内</w:t>
            </w:r>
            <w:r>
              <w:rPr>
                <w:rFonts w:hint="eastAsia" w:ascii="宋体" w:hAnsi="宋体"/>
                <w:bCs/>
                <w:color w:val="FF0000"/>
                <w:szCs w:val="21"/>
                <w:highlight w:val="none"/>
                <w:lang w:val="en-US" w:eastAsia="zh-CN"/>
              </w:rPr>
              <w:t>。</w:t>
            </w:r>
          </w:p>
          <w:p w14:paraId="45E45C09">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bCs/>
                <w:color w:val="FF0000"/>
                <w:highlight w:val="none"/>
              </w:rPr>
            </w:pPr>
            <w:r>
              <w:rPr>
                <w:bCs/>
                <w:color w:val="FF0000"/>
                <w:highlight w:val="none"/>
              </w:rPr>
              <w:t>2、资源利用上线</w:t>
            </w:r>
          </w:p>
          <w:p w14:paraId="7869837B">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bCs/>
                <w:color w:val="FF0000"/>
                <w:highlight w:val="none"/>
              </w:rPr>
            </w:pPr>
            <w:r>
              <w:rPr>
                <w:bCs/>
                <w:color w:val="FF0000"/>
                <w:highlight w:val="none"/>
              </w:rPr>
              <w:t>自然资源利用上线也称资源利用红线。资源利用上</w:t>
            </w:r>
            <w:r>
              <w:rPr>
                <w:rFonts w:hint="eastAsia"/>
                <w:bCs/>
                <w:color w:val="FF0000"/>
                <w:highlight w:val="none"/>
                <w:lang w:eastAsia="zh-CN"/>
              </w:rPr>
              <w:t>线</w:t>
            </w:r>
            <w:r>
              <w:rPr>
                <w:bCs/>
                <w:color w:val="FF0000"/>
                <w:highlight w:val="none"/>
              </w:rPr>
              <w:t>是指为促进资源能源节约，保障能源、水、土地等资源安全利用和高效利用的最高和最低要求。</w:t>
            </w:r>
            <w:r>
              <w:rPr>
                <w:bCs/>
                <w:color w:val="FF0000"/>
                <w:szCs w:val="21"/>
                <w:highlight w:val="none"/>
              </w:rPr>
              <w:t>本项目</w:t>
            </w:r>
            <w:r>
              <w:rPr>
                <w:bCs/>
                <w:color w:val="FF0000"/>
                <w:highlight w:val="none"/>
              </w:rPr>
              <w:t>运营过程中消耗水资源</w:t>
            </w:r>
            <w:r>
              <w:rPr>
                <w:rFonts w:hint="eastAsia"/>
                <w:bCs/>
                <w:color w:val="FF0000"/>
                <w:highlight w:val="none"/>
                <w:lang w:val="en-US" w:eastAsia="zh-CN"/>
              </w:rPr>
              <w:t>666.7</w:t>
            </w:r>
            <w:r>
              <w:rPr>
                <w:bCs/>
                <w:color w:val="FF0000"/>
                <w:highlight w:val="none"/>
              </w:rPr>
              <w:t>m</w:t>
            </w:r>
            <w:r>
              <w:rPr>
                <w:bCs/>
                <w:color w:val="FF0000"/>
                <w:highlight w:val="none"/>
                <w:vertAlign w:val="superscript"/>
              </w:rPr>
              <w:t>3</w:t>
            </w:r>
            <w:r>
              <w:rPr>
                <w:bCs/>
                <w:color w:val="FF0000"/>
                <w:highlight w:val="none"/>
              </w:rPr>
              <w:t>/a、电力</w:t>
            </w:r>
            <w:r>
              <w:rPr>
                <w:rFonts w:hint="eastAsia"/>
                <w:bCs/>
                <w:color w:val="FF0000"/>
                <w:highlight w:val="none"/>
                <w:lang w:val="en-US" w:eastAsia="zh-CN"/>
              </w:rPr>
              <w:t>30</w:t>
            </w:r>
            <w:r>
              <w:rPr>
                <w:bCs/>
                <w:color w:val="FF0000"/>
                <w:highlight w:val="none"/>
              </w:rPr>
              <w:t>万kWh/a</w:t>
            </w:r>
            <w:r>
              <w:rPr>
                <w:rFonts w:hint="eastAsia"/>
                <w:bCs/>
                <w:color w:val="FF0000"/>
                <w:highlight w:val="none"/>
                <w:lang w:eastAsia="zh-CN"/>
              </w:rPr>
              <w:t>，</w:t>
            </w:r>
            <w:r>
              <w:rPr>
                <w:rFonts w:hint="eastAsia"/>
                <w:bCs/>
                <w:color w:val="FF0000"/>
                <w:highlight w:val="none"/>
                <w:lang w:val="en-US" w:eastAsia="zh-CN"/>
              </w:rPr>
              <w:t>天然气用量为27万</w:t>
            </w:r>
            <w:r>
              <w:rPr>
                <w:bCs/>
                <w:color w:val="FF0000"/>
                <w:highlight w:val="none"/>
              </w:rPr>
              <w:t>m</w:t>
            </w:r>
            <w:r>
              <w:rPr>
                <w:bCs/>
                <w:color w:val="FF0000"/>
                <w:highlight w:val="none"/>
                <w:vertAlign w:val="superscript"/>
              </w:rPr>
              <w:t>3</w:t>
            </w:r>
            <w:r>
              <w:rPr>
                <w:bCs/>
                <w:color w:val="FF0000"/>
                <w:highlight w:val="none"/>
              </w:rPr>
              <w:t>/a</w:t>
            </w:r>
            <w:r>
              <w:rPr>
                <w:rFonts w:hint="eastAsia"/>
                <w:bCs/>
                <w:color w:val="FF0000"/>
                <w:highlight w:val="none"/>
                <w:lang w:eastAsia="zh-CN"/>
              </w:rPr>
              <w:t>，不使用水、煤炭、天然气等能源，</w:t>
            </w:r>
            <w:r>
              <w:rPr>
                <w:bCs/>
                <w:color w:val="FF0000"/>
                <w:highlight w:val="none"/>
              </w:rPr>
              <w:t>资源消耗量相对区域资源利用总量较少，符合资源利用上</w:t>
            </w:r>
            <w:r>
              <w:rPr>
                <w:rFonts w:hint="eastAsia"/>
                <w:bCs/>
                <w:color w:val="FF0000"/>
                <w:highlight w:val="none"/>
                <w:lang w:eastAsia="zh-CN"/>
              </w:rPr>
              <w:t>线</w:t>
            </w:r>
            <w:r>
              <w:rPr>
                <w:bCs/>
                <w:color w:val="FF0000"/>
                <w:highlight w:val="none"/>
              </w:rPr>
              <w:t>要求。</w:t>
            </w:r>
          </w:p>
          <w:p w14:paraId="0964FFB2">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bCs/>
                <w:color w:val="FF0000"/>
                <w:highlight w:val="none"/>
              </w:rPr>
            </w:pPr>
            <w:r>
              <w:rPr>
                <w:bCs/>
                <w:color w:val="FF0000"/>
                <w:highlight w:val="none"/>
              </w:rPr>
              <w:t>3、环境质量底线</w:t>
            </w:r>
          </w:p>
          <w:p w14:paraId="23B14854">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color w:val="FF0000"/>
                <w:sz w:val="21"/>
                <w:szCs w:val="21"/>
                <w:highlight w:val="none"/>
              </w:rPr>
            </w:pPr>
            <w:r>
              <w:rPr>
                <w:bCs/>
                <w:color w:val="FF0000"/>
                <w:highlight w:val="none"/>
              </w:rPr>
              <w:t>环境质量底线是指国家和地方设置的大气、水和土壤环境质量目标，也是改善环境质量的基准</w:t>
            </w:r>
            <w:r>
              <w:rPr>
                <w:bCs/>
                <w:color w:val="FF0000"/>
                <w:sz w:val="21"/>
                <w:szCs w:val="21"/>
                <w:highlight w:val="none"/>
              </w:rPr>
              <w:t>线。</w:t>
            </w:r>
            <w:r>
              <w:rPr>
                <w:color w:val="FF0000"/>
                <w:sz w:val="21"/>
                <w:szCs w:val="21"/>
                <w:highlight w:val="none"/>
              </w:rPr>
              <w:t>项目周边环境空气质量不符合</w:t>
            </w:r>
            <w:r>
              <w:rPr>
                <w:rFonts w:hint="default"/>
                <w:color w:val="FF0000"/>
                <w:sz w:val="21"/>
                <w:szCs w:val="21"/>
                <w:highlight w:val="none"/>
              </w:rPr>
              <w:t>《环境空气质量标准》</w:t>
            </w:r>
            <w:r>
              <w:rPr>
                <w:rFonts w:hint="default"/>
                <w:color w:val="FF0000"/>
                <w:sz w:val="21"/>
                <w:szCs w:val="21"/>
                <w:highlight w:val="none"/>
                <w:lang w:eastAsia="zh-CN"/>
              </w:rPr>
              <w:t>（</w:t>
            </w:r>
            <w:r>
              <w:rPr>
                <w:rFonts w:hint="default"/>
                <w:color w:val="FF0000"/>
                <w:sz w:val="21"/>
                <w:szCs w:val="21"/>
                <w:highlight w:val="none"/>
              </w:rPr>
              <w:t>GB3095-2012</w:t>
            </w:r>
            <w:r>
              <w:rPr>
                <w:rFonts w:hint="default"/>
                <w:color w:val="FF0000"/>
                <w:sz w:val="21"/>
                <w:szCs w:val="21"/>
                <w:highlight w:val="none"/>
                <w:lang w:eastAsia="zh-CN"/>
              </w:rPr>
              <w:t>）</w:t>
            </w:r>
            <w:r>
              <w:rPr>
                <w:rFonts w:hint="default"/>
                <w:color w:val="FF0000"/>
                <w:sz w:val="21"/>
                <w:szCs w:val="21"/>
                <w:highlight w:val="none"/>
              </w:rPr>
              <w:t>及其修改单二级标准限值</w:t>
            </w:r>
            <w:r>
              <w:rPr>
                <w:color w:val="FF0000"/>
                <w:sz w:val="21"/>
                <w:szCs w:val="21"/>
                <w:highlight w:val="none"/>
              </w:rPr>
              <w:t>；项目区域地表水</w:t>
            </w:r>
            <w:r>
              <w:rPr>
                <w:rFonts w:hint="default"/>
                <w:color w:val="FF0000"/>
                <w:sz w:val="21"/>
                <w:szCs w:val="21"/>
                <w:highlight w:val="none"/>
                <w:lang w:eastAsia="zh-CN"/>
              </w:rPr>
              <w:t>孝妇河</w:t>
            </w:r>
            <w:r>
              <w:rPr>
                <w:color w:val="FF0000"/>
                <w:sz w:val="21"/>
                <w:szCs w:val="21"/>
                <w:highlight w:val="none"/>
              </w:rPr>
              <w:t>水质能够满足《地表水环境质量标准》（GB3838-2002）中的Ⅳ类标准；项目区域地下水符合《地下水质量标准》（GB/T14848-2017）Ⅲ类标准要求；项目区域噪声符合《声环境质量标准》（GB3096-2008）</w:t>
            </w:r>
            <w:r>
              <w:rPr>
                <w:rFonts w:hint="eastAsia"/>
                <w:color w:val="FF0000"/>
                <w:sz w:val="21"/>
                <w:szCs w:val="21"/>
                <w:highlight w:val="none"/>
                <w:lang w:eastAsia="zh-CN"/>
              </w:rPr>
              <w:t>3</w:t>
            </w:r>
            <w:r>
              <w:rPr>
                <w:color w:val="FF0000"/>
                <w:sz w:val="21"/>
                <w:szCs w:val="21"/>
                <w:highlight w:val="none"/>
              </w:rPr>
              <w:t>类标准要求。该项目</w:t>
            </w:r>
            <w:r>
              <w:rPr>
                <w:rFonts w:hint="default"/>
                <w:color w:val="FF0000"/>
                <w:sz w:val="21"/>
                <w:szCs w:val="21"/>
                <w:highlight w:val="none"/>
                <w:lang w:val="en-US" w:eastAsia="zh-CN"/>
              </w:rPr>
              <w:t>烧</w:t>
            </w:r>
            <w:r>
              <w:rPr>
                <w:rFonts w:hint="eastAsia"/>
                <w:color w:val="FF0000"/>
                <w:sz w:val="21"/>
                <w:szCs w:val="21"/>
                <w:highlight w:val="none"/>
                <w:lang w:val="en-US" w:eastAsia="zh-CN"/>
              </w:rPr>
              <w:t>制工序产生的粉尘和天然气燃烧产生的废气经SNCR脱硝+1#布袋除尘器处理后与SNCR脱硝过程未被利用逃逸的氨、臭气浓度一同经15m高排气筒（DA001）排放</w:t>
            </w:r>
            <w:r>
              <w:rPr>
                <w:rFonts w:hint="default"/>
                <w:color w:val="FF0000"/>
                <w:sz w:val="21"/>
                <w:szCs w:val="21"/>
                <w:highlight w:val="none"/>
                <w:lang w:val="en-US" w:eastAsia="zh-CN"/>
              </w:rPr>
              <w:t>；</w:t>
            </w:r>
            <w:r>
              <w:rPr>
                <w:rFonts w:hint="eastAsia"/>
                <w:color w:val="FF0000"/>
                <w:sz w:val="21"/>
                <w:szCs w:val="21"/>
                <w:highlight w:val="none"/>
                <w:lang w:val="en-US" w:eastAsia="zh-CN"/>
              </w:rPr>
              <w:t>进料、筛分、上料、混料、装料、包装工序</w:t>
            </w:r>
            <w:r>
              <w:rPr>
                <w:rFonts w:hint="default"/>
                <w:color w:val="FF0000"/>
                <w:sz w:val="21"/>
                <w:szCs w:val="21"/>
                <w:highlight w:val="none"/>
                <w:lang w:val="en-US" w:eastAsia="zh-CN"/>
              </w:rPr>
              <w:t>产生的粉尘经集气罩收集，</w:t>
            </w:r>
            <w:r>
              <w:rPr>
                <w:rFonts w:hint="eastAsia"/>
                <w:color w:val="FF0000"/>
                <w:sz w:val="21"/>
                <w:szCs w:val="21"/>
                <w:highlight w:val="none"/>
                <w:lang w:val="en-US" w:eastAsia="zh-CN"/>
              </w:rPr>
              <w:t>经2#布袋除尘器处理后由15m高排气筒（DA002）排放，</w:t>
            </w:r>
            <w:r>
              <w:rPr>
                <w:color w:val="FF0000"/>
                <w:sz w:val="21"/>
                <w:szCs w:val="21"/>
                <w:highlight w:val="none"/>
              </w:rPr>
              <w:t>对周围环境的影响较小，在可接受范围之内。项目所排放的污染物满足相关排放标准，满足总量控制指标的要求，不影响当地污染物减排任务的完成，该项目对周围环境的影响程度不大，满足环境质量底线要求。</w:t>
            </w:r>
          </w:p>
          <w:p w14:paraId="2A5FEE1B">
            <w:pPr>
              <w:keepNext w:val="0"/>
              <w:keepLines w:val="0"/>
              <w:pageBreakBefore w:val="0"/>
              <w:widowControl w:val="0"/>
              <w:kinsoku/>
              <w:wordWrap/>
              <w:overflowPunct/>
              <w:topLinePunct w:val="0"/>
              <w:bidi w:val="0"/>
              <w:adjustRightInd w:val="0"/>
              <w:snapToGrid w:val="0"/>
              <w:spacing w:line="360" w:lineRule="auto"/>
              <w:ind w:firstLine="420" w:firstLineChars="200"/>
              <w:jc w:val="left"/>
              <w:textAlignment w:val="auto"/>
              <w:rPr>
                <w:bCs/>
                <w:color w:val="FF0000"/>
                <w:highlight w:val="none"/>
              </w:rPr>
            </w:pPr>
            <w:r>
              <w:rPr>
                <w:bCs/>
                <w:color w:val="FF0000"/>
                <w:highlight w:val="none"/>
              </w:rPr>
              <w:t>4、生态环境准入清单</w:t>
            </w:r>
          </w:p>
          <w:p w14:paraId="4721621E">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color w:val="auto"/>
                <w:sz w:val="21"/>
                <w:szCs w:val="21"/>
                <w:highlight w:val="none"/>
              </w:rPr>
            </w:pPr>
            <w:r>
              <w:rPr>
                <w:rFonts w:hint="eastAsia" w:cs="Times New Roman"/>
                <w:color w:val="FF0000"/>
                <w:highlight w:val="none"/>
                <w:lang w:val="en-US" w:eastAsia="zh-CN"/>
              </w:rPr>
              <w:t>生</w:t>
            </w:r>
            <w:r>
              <w:rPr>
                <w:rFonts w:hint="default" w:ascii="Times New Roman" w:hAnsi="Times New Roman" w:cs="Times New Roman"/>
                <w:color w:val="FF0000"/>
                <w:highlight w:val="none"/>
              </w:rPr>
              <w:t>态环境准入清单是指基于生态保护红线、环境质量底线和资源利用上线，以清单方式列出禁止、限制等差别化环境准入条件和要求</w:t>
            </w:r>
            <w:r>
              <w:rPr>
                <w:rFonts w:hint="eastAsia" w:ascii="Times New Roman" w:hAnsi="Times New Roman" w:cs="Times New Roman"/>
                <w:color w:val="FF0000"/>
                <w:highlight w:val="none"/>
                <w:lang w:eastAsia="zh-CN"/>
              </w:rPr>
              <w:t>。</w:t>
            </w:r>
            <w:r>
              <w:rPr>
                <w:rFonts w:hint="default" w:ascii="Times New Roman" w:hAnsi="Times New Roman" w:cs="Times New Roman"/>
                <w:color w:val="auto"/>
                <w:highlight w:val="none"/>
                <w:lang w:eastAsia="zh-CN"/>
              </w:rPr>
              <w:t>根据</w:t>
            </w:r>
            <w:r>
              <w:rPr>
                <w:rFonts w:hint="default" w:ascii="Times New Roman" w:hAnsi="Times New Roman" w:cs="Times New Roman"/>
                <w:bCs/>
                <w:color w:val="auto"/>
                <w:highlight w:val="none"/>
              </w:rPr>
              <w:t>淄博市生态环境委员会办公室于2024年4月18日发布的《关于印发&lt;淄博市2023年生态环境分区管控成果动态更新项目生态环境准入清单&gt;的通知》</w:t>
            </w:r>
            <w:r>
              <w:rPr>
                <w:rFonts w:hint="default" w:ascii="Times New Roman" w:hAnsi="Times New Roman" w:cs="Times New Roman"/>
                <w:color w:val="auto"/>
                <w:kern w:val="0"/>
                <w:szCs w:val="21"/>
                <w:highlight w:val="none"/>
                <w:lang w:val="zh-CN"/>
              </w:rPr>
              <w:t>，本项目位于</w:t>
            </w:r>
            <w:r>
              <w:rPr>
                <w:rFonts w:hint="eastAsia" w:ascii="Times New Roman" w:hAnsi="Times New Roman" w:cs="Times New Roman"/>
                <w:color w:val="auto"/>
                <w:kern w:val="0"/>
                <w:szCs w:val="21"/>
                <w:highlight w:val="none"/>
                <w:lang w:val="en-US" w:eastAsia="zh-CN"/>
              </w:rPr>
              <w:t>淄博经济开发区</w:t>
            </w:r>
            <w:r>
              <w:rPr>
                <w:rFonts w:hint="default" w:ascii="Times New Roman" w:hAnsi="Times New Roman" w:cs="Times New Roman"/>
                <w:color w:val="auto"/>
                <w:kern w:val="0"/>
                <w:szCs w:val="21"/>
                <w:highlight w:val="none"/>
                <w:lang w:val="zh-CN"/>
              </w:rPr>
              <w:t>，管控单元名称</w:t>
            </w:r>
            <w:r>
              <w:rPr>
                <w:rFonts w:hint="default" w:ascii="Times New Roman" w:hAnsi="Times New Roman" w:cs="Times New Roman"/>
                <w:color w:val="auto"/>
                <w:kern w:val="0"/>
                <w:szCs w:val="21"/>
                <w:highlight w:val="none"/>
              </w:rPr>
              <w:t>为</w:t>
            </w:r>
            <w:r>
              <w:rPr>
                <w:rFonts w:hint="eastAsia" w:cs="Times New Roman"/>
                <w:color w:val="auto"/>
                <w:kern w:val="0"/>
                <w:szCs w:val="21"/>
                <w:highlight w:val="none"/>
                <w:lang w:val="en-US" w:eastAsia="zh-CN"/>
              </w:rPr>
              <w:t>南郊镇</w:t>
            </w:r>
            <w:r>
              <w:rPr>
                <w:rFonts w:hint="default" w:ascii="Times New Roman" w:hAnsi="Times New Roman" w:cs="Times New Roman"/>
                <w:color w:val="auto"/>
                <w:kern w:val="0"/>
                <w:szCs w:val="21"/>
                <w:highlight w:val="none"/>
                <w:lang w:val="zh-CN"/>
              </w:rPr>
              <w:t>，管控单元编码</w:t>
            </w:r>
            <w:r>
              <w:rPr>
                <w:rFonts w:hint="default" w:ascii="Times New Roman" w:hAnsi="Times New Roman" w:cs="Times New Roman" w:eastAsiaTheme="majorEastAsia"/>
                <w:i w:val="0"/>
                <w:iCs w:val="0"/>
                <w:color w:val="auto"/>
                <w:kern w:val="0"/>
                <w:sz w:val="21"/>
                <w:szCs w:val="21"/>
                <w:u w:val="none"/>
                <w:lang w:val="en-US" w:eastAsia="zh-CN" w:bidi="ar"/>
              </w:rPr>
              <w:t>ZH37030630001</w:t>
            </w:r>
            <w:r>
              <w:rPr>
                <w:rFonts w:hint="default" w:ascii="Times New Roman" w:hAnsi="Times New Roman" w:cs="Times New Roman"/>
                <w:color w:val="auto"/>
                <w:kern w:val="0"/>
                <w:szCs w:val="21"/>
                <w:highlight w:val="none"/>
                <w:lang w:val="zh-CN"/>
              </w:rPr>
              <w:t>，为一般管控单元，</w:t>
            </w:r>
            <w:r>
              <w:rPr>
                <w:rFonts w:hint="default" w:ascii="Times New Roman" w:hAnsi="Times New Roman" w:cs="Times New Roman"/>
                <w:color w:val="auto"/>
                <w:highlight w:val="none"/>
              </w:rPr>
              <w:t>与淄博市环境管控单元位置关系见附图</w:t>
            </w:r>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3</w:t>
            </w:r>
            <w:r>
              <w:rPr>
                <w:color w:val="auto"/>
                <w:sz w:val="21"/>
                <w:szCs w:val="21"/>
                <w:highlight w:val="none"/>
              </w:rPr>
              <w:t>。项目与</w:t>
            </w:r>
            <w:r>
              <w:rPr>
                <w:color w:val="auto"/>
                <w:sz w:val="21"/>
                <w:szCs w:val="21"/>
                <w:highlight w:val="none"/>
                <w:lang w:val="zh-CN"/>
              </w:rPr>
              <w:t>《</w:t>
            </w:r>
            <w:r>
              <w:rPr>
                <w:rFonts w:hint="eastAsia"/>
                <w:color w:val="auto"/>
                <w:sz w:val="21"/>
                <w:szCs w:val="21"/>
                <w:highlight w:val="none"/>
                <w:lang w:val="en-US" w:eastAsia="zh-CN"/>
              </w:rPr>
              <w:t>淄博市2023年生态环境分区管控成果动态更新项目生态环境准入清单</w:t>
            </w:r>
            <w:r>
              <w:rPr>
                <w:color w:val="auto"/>
                <w:sz w:val="21"/>
                <w:szCs w:val="21"/>
                <w:highlight w:val="none"/>
                <w:lang w:val="zh-CN"/>
              </w:rPr>
              <w:t>》</w:t>
            </w:r>
            <w:r>
              <w:rPr>
                <w:color w:val="auto"/>
                <w:sz w:val="21"/>
                <w:szCs w:val="21"/>
                <w:highlight w:val="none"/>
              </w:rPr>
              <w:t>符合性分析</w:t>
            </w:r>
            <w:r>
              <w:rPr>
                <w:rFonts w:hint="eastAsia"/>
                <w:color w:val="auto"/>
                <w:sz w:val="21"/>
                <w:szCs w:val="21"/>
                <w:highlight w:val="none"/>
                <w:lang w:eastAsia="zh-CN"/>
              </w:rPr>
              <w:t>见表</w:t>
            </w:r>
            <w:r>
              <w:rPr>
                <w:rFonts w:hint="eastAsia"/>
                <w:color w:val="auto"/>
                <w:sz w:val="21"/>
                <w:szCs w:val="21"/>
                <w:highlight w:val="none"/>
                <w:lang w:val="en-US" w:eastAsia="zh-CN"/>
              </w:rPr>
              <w:t>1-3。</w:t>
            </w:r>
          </w:p>
          <w:p w14:paraId="7F539D6D">
            <w:pPr>
              <w:keepNext w:val="0"/>
              <w:keepLines w:val="0"/>
              <w:pageBreakBefore w:val="0"/>
              <w:widowControl w:val="0"/>
              <w:kinsoku/>
              <w:wordWrap/>
              <w:overflowPunct/>
              <w:topLinePunct w:val="0"/>
              <w:bidi w:val="0"/>
              <w:adjustRightInd w:val="0"/>
              <w:snapToGrid w:val="0"/>
              <w:spacing w:line="360" w:lineRule="auto"/>
              <w:ind w:firstLine="422" w:firstLineChars="200"/>
              <w:jc w:val="center"/>
              <w:textAlignment w:val="auto"/>
              <w:rPr>
                <w:b/>
                <w:bCs/>
                <w:color w:val="auto"/>
                <w:szCs w:val="21"/>
                <w:highlight w:val="none"/>
              </w:rPr>
            </w:pPr>
            <w:r>
              <w:rPr>
                <w:b/>
                <w:bCs/>
                <w:color w:val="auto"/>
                <w:szCs w:val="21"/>
                <w:highlight w:val="none"/>
              </w:rPr>
              <w:t>表 1</w:t>
            </w:r>
            <w:r>
              <w:rPr>
                <w:rFonts w:hint="eastAsia"/>
                <w:b/>
                <w:bCs/>
                <w:color w:val="auto"/>
                <w:szCs w:val="21"/>
                <w:highlight w:val="none"/>
                <w:lang w:val="en-US" w:eastAsia="zh-CN"/>
              </w:rPr>
              <w:t>-3</w:t>
            </w:r>
            <w:r>
              <w:rPr>
                <w:b/>
                <w:bCs/>
                <w:color w:val="auto"/>
                <w:szCs w:val="21"/>
                <w:highlight w:val="none"/>
              </w:rPr>
              <w:t xml:space="preserve"> 与</w:t>
            </w:r>
            <w:r>
              <w:rPr>
                <w:b/>
                <w:bCs/>
                <w:color w:val="auto"/>
                <w:szCs w:val="21"/>
                <w:highlight w:val="none"/>
                <w:lang w:val="zh-CN"/>
              </w:rPr>
              <w:t>《</w:t>
            </w:r>
            <w:r>
              <w:rPr>
                <w:rFonts w:hint="eastAsia"/>
                <w:b/>
                <w:bCs/>
                <w:color w:val="auto"/>
                <w:szCs w:val="21"/>
                <w:highlight w:val="none"/>
                <w:lang w:val="en-US" w:eastAsia="zh-CN"/>
              </w:rPr>
              <w:t>淄博市2023年生态环境分区管控成果动态更新项目生态环境准入清单</w:t>
            </w:r>
            <w:r>
              <w:rPr>
                <w:b/>
                <w:bCs/>
                <w:color w:val="auto"/>
                <w:szCs w:val="21"/>
                <w:highlight w:val="none"/>
                <w:lang w:val="zh-CN"/>
              </w:rPr>
              <w:t>》</w:t>
            </w:r>
            <w:r>
              <w:rPr>
                <w:b/>
                <w:bCs/>
                <w:color w:val="auto"/>
                <w:szCs w:val="21"/>
                <w:highlight w:val="none"/>
              </w:rPr>
              <w:t>符合性分析表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7"/>
              <w:gridCol w:w="3442"/>
              <w:gridCol w:w="2455"/>
              <w:gridCol w:w="577"/>
            </w:tblGrid>
            <w:tr w14:paraId="36559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trPr>
              <w:tc>
                <w:tcPr>
                  <w:tcW w:w="523" w:type="pct"/>
                  <w:tcBorders>
                    <w:tl2br w:val="nil"/>
                    <w:tr2bl w:val="nil"/>
                  </w:tcBorders>
                  <w:noWrap w:val="0"/>
                  <w:vAlign w:val="center"/>
                </w:tcPr>
                <w:p w14:paraId="12072469">
                  <w:pPr>
                    <w:adjustRightInd w:val="0"/>
                    <w:snapToGrid w:val="0"/>
                    <w:jc w:val="center"/>
                    <w:rPr>
                      <w:b/>
                      <w:bCs/>
                      <w:color w:val="auto"/>
                      <w:sz w:val="18"/>
                      <w:szCs w:val="18"/>
                    </w:rPr>
                  </w:pPr>
                  <w:r>
                    <w:rPr>
                      <w:b/>
                      <w:bCs/>
                      <w:color w:val="auto"/>
                      <w:sz w:val="18"/>
                      <w:szCs w:val="18"/>
                    </w:rPr>
                    <w:t>分类</w:t>
                  </w:r>
                </w:p>
              </w:tc>
              <w:tc>
                <w:tcPr>
                  <w:tcW w:w="2379" w:type="pct"/>
                  <w:tcBorders>
                    <w:tl2br w:val="nil"/>
                    <w:tr2bl w:val="nil"/>
                  </w:tcBorders>
                  <w:noWrap w:val="0"/>
                  <w:vAlign w:val="center"/>
                </w:tcPr>
                <w:p w14:paraId="1F5BE05A">
                  <w:pPr>
                    <w:adjustRightInd w:val="0"/>
                    <w:snapToGrid w:val="0"/>
                    <w:jc w:val="center"/>
                    <w:rPr>
                      <w:b/>
                      <w:bCs/>
                      <w:color w:val="auto"/>
                      <w:sz w:val="18"/>
                      <w:szCs w:val="18"/>
                    </w:rPr>
                  </w:pPr>
                  <w:r>
                    <w:rPr>
                      <w:b/>
                      <w:bCs/>
                      <w:color w:val="auto"/>
                      <w:sz w:val="18"/>
                      <w:szCs w:val="18"/>
                    </w:rPr>
                    <w:t>文件要求</w:t>
                  </w:r>
                </w:p>
              </w:tc>
              <w:tc>
                <w:tcPr>
                  <w:tcW w:w="1697" w:type="pct"/>
                  <w:tcBorders>
                    <w:tl2br w:val="nil"/>
                    <w:tr2bl w:val="nil"/>
                  </w:tcBorders>
                  <w:noWrap w:val="0"/>
                  <w:vAlign w:val="center"/>
                </w:tcPr>
                <w:p w14:paraId="1D0EC4B1">
                  <w:pPr>
                    <w:adjustRightInd w:val="0"/>
                    <w:snapToGrid w:val="0"/>
                    <w:jc w:val="center"/>
                    <w:rPr>
                      <w:b/>
                      <w:bCs/>
                      <w:color w:val="auto"/>
                      <w:sz w:val="18"/>
                      <w:szCs w:val="18"/>
                    </w:rPr>
                  </w:pPr>
                  <w:r>
                    <w:rPr>
                      <w:b/>
                      <w:bCs/>
                      <w:color w:val="auto"/>
                      <w:sz w:val="18"/>
                      <w:szCs w:val="18"/>
                    </w:rPr>
                    <w:t>本项目情况</w:t>
                  </w:r>
                </w:p>
              </w:tc>
              <w:tc>
                <w:tcPr>
                  <w:tcW w:w="399" w:type="pct"/>
                  <w:tcBorders>
                    <w:tl2br w:val="nil"/>
                    <w:tr2bl w:val="nil"/>
                  </w:tcBorders>
                  <w:noWrap w:val="0"/>
                  <w:vAlign w:val="center"/>
                </w:tcPr>
                <w:p w14:paraId="3C9C54A6">
                  <w:pPr>
                    <w:adjustRightInd w:val="0"/>
                    <w:snapToGrid w:val="0"/>
                    <w:jc w:val="center"/>
                    <w:rPr>
                      <w:b/>
                      <w:bCs/>
                      <w:color w:val="auto"/>
                      <w:sz w:val="18"/>
                      <w:szCs w:val="18"/>
                    </w:rPr>
                  </w:pPr>
                  <w:r>
                    <w:rPr>
                      <w:b/>
                      <w:bCs/>
                      <w:color w:val="auto"/>
                      <w:sz w:val="18"/>
                      <w:szCs w:val="18"/>
                    </w:rPr>
                    <w:t>符合情况</w:t>
                  </w:r>
                </w:p>
              </w:tc>
            </w:tr>
            <w:tr w14:paraId="7D07F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5" w:hRule="atLeast"/>
              </w:trPr>
              <w:tc>
                <w:tcPr>
                  <w:tcW w:w="523" w:type="pct"/>
                  <w:tcBorders>
                    <w:tl2br w:val="nil"/>
                    <w:tr2bl w:val="nil"/>
                  </w:tcBorders>
                  <w:noWrap w:val="0"/>
                  <w:vAlign w:val="center"/>
                </w:tcPr>
                <w:p w14:paraId="715E413B">
                  <w:pPr>
                    <w:adjustRightInd w:val="0"/>
                    <w:snapToGrid w:val="0"/>
                    <w:rPr>
                      <w:color w:val="auto"/>
                      <w:sz w:val="18"/>
                      <w:szCs w:val="18"/>
                    </w:rPr>
                  </w:pPr>
                  <w:r>
                    <w:rPr>
                      <w:color w:val="auto"/>
                      <w:sz w:val="18"/>
                      <w:szCs w:val="18"/>
                    </w:rPr>
                    <w:t>空间约束 布局</w:t>
                  </w:r>
                </w:p>
              </w:tc>
              <w:tc>
                <w:tcPr>
                  <w:tcW w:w="2379" w:type="pct"/>
                  <w:tcBorders>
                    <w:tl2br w:val="nil"/>
                    <w:tr2bl w:val="nil"/>
                  </w:tcBorders>
                  <w:noWrap w:val="0"/>
                  <w:vAlign w:val="center"/>
                </w:tcPr>
                <w:p w14:paraId="14ED9C68">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禁止新建、扩建《产业结构调整指导目录》（现行）明确的淘汰类项目和引入《市场准入负面清单》（现行）禁止准入类事项；鼓励对列入《产业结构调整指导目录》的限制类、淘汰类工业项目进行淘汰和提升改造。</w:t>
                  </w:r>
                </w:p>
                <w:p w14:paraId="4CA72CA6">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2.大气布局敏感区从严控制新建、扩建排放大气污染物的工业项目；科学合理规划布局商业、居住并严格执行。</w:t>
                  </w:r>
                </w:p>
                <w:p w14:paraId="6CA9172E">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3.污水处理设施不健全、未正常运行或污水管网未覆盖的地区，未配套污水处理设施的项目不得建设。</w:t>
                  </w:r>
                </w:p>
                <w:p w14:paraId="1FACEFC0">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4.新建有污染物排放的工业项目，除在安全生产等方面有特殊要求的以外，应当进入工业园区或工业聚集区。</w:t>
                  </w:r>
                </w:p>
                <w:p w14:paraId="2F78CB22">
                  <w:pPr>
                    <w:adjustRightInd w:val="0"/>
                    <w:snapToGrid w:val="0"/>
                    <w:jc w:val="both"/>
                    <w:rPr>
                      <w:color w:val="auto"/>
                      <w:sz w:val="18"/>
                      <w:szCs w:val="18"/>
                    </w:rPr>
                  </w:pPr>
                  <w:r>
                    <w:rPr>
                      <w:rFonts w:hint="default" w:ascii="Times New Roman" w:hAnsi="Times New Roman" w:eastAsia="宋体" w:cs="Times New Roman"/>
                      <w:i w:val="0"/>
                      <w:color w:val="auto"/>
                      <w:kern w:val="0"/>
                      <w:sz w:val="18"/>
                      <w:szCs w:val="18"/>
                      <w:u w:val="none"/>
                      <w:lang w:val="en-US" w:eastAsia="zh-CN" w:bidi="ar"/>
                    </w:rPr>
                    <w:t>5.按照省市要求，严格控制“两高”项目，新建“两高”项目实行“五个减量替代”。</w:t>
                  </w:r>
                </w:p>
              </w:tc>
              <w:tc>
                <w:tcPr>
                  <w:tcW w:w="1697" w:type="pct"/>
                  <w:tcBorders>
                    <w:tl2br w:val="nil"/>
                    <w:tr2bl w:val="nil"/>
                  </w:tcBorders>
                  <w:noWrap w:val="0"/>
                  <w:vAlign w:val="center"/>
                </w:tcPr>
                <w:p w14:paraId="61B943C2">
                  <w:pPr>
                    <w:adjustRightInd w:val="0"/>
                    <w:snapToGrid w:val="0"/>
                    <w:jc w:val="both"/>
                    <w:rPr>
                      <w:color w:val="auto"/>
                      <w:sz w:val="18"/>
                      <w:szCs w:val="18"/>
                    </w:rPr>
                  </w:pPr>
                  <w:r>
                    <w:rPr>
                      <w:rFonts w:hint="eastAsia"/>
                      <w:color w:val="auto"/>
                      <w:sz w:val="18"/>
                      <w:szCs w:val="18"/>
                      <w:lang w:val="en-US" w:eastAsia="zh-CN"/>
                    </w:rPr>
                    <w:t>1.</w:t>
                  </w:r>
                  <w:r>
                    <w:rPr>
                      <w:color w:val="auto"/>
                      <w:sz w:val="18"/>
                      <w:szCs w:val="18"/>
                    </w:rPr>
                    <w:t>本项目</w:t>
                  </w:r>
                  <w:r>
                    <w:rPr>
                      <w:rFonts w:hint="eastAsia"/>
                      <w:color w:val="auto"/>
                      <w:sz w:val="18"/>
                      <w:szCs w:val="18"/>
                      <w:lang w:val="en-US" w:eastAsia="zh-CN"/>
                    </w:rPr>
                    <w:t>为C3985电子专用材料制造，</w:t>
                  </w:r>
                  <w:r>
                    <w:rPr>
                      <w:rFonts w:hint="default"/>
                      <w:color w:val="auto"/>
                      <w:sz w:val="18"/>
                      <w:szCs w:val="18"/>
                    </w:rPr>
                    <w:t>不属于《产业结构调整指导目录》（</w:t>
                  </w:r>
                  <w:r>
                    <w:rPr>
                      <w:rFonts w:hint="default"/>
                      <w:color w:val="auto"/>
                      <w:sz w:val="18"/>
                      <w:szCs w:val="18"/>
                      <w:lang w:val="en-US" w:eastAsia="zh-CN"/>
                    </w:rPr>
                    <w:t>2024年版</w:t>
                  </w:r>
                  <w:r>
                    <w:rPr>
                      <w:rFonts w:hint="default"/>
                      <w:color w:val="auto"/>
                      <w:sz w:val="18"/>
                      <w:szCs w:val="18"/>
                    </w:rPr>
                    <w:t>）明确的淘汰类项目和引入《市场准入负面清单》（现行）禁止准入类事项</w:t>
                  </w:r>
                  <w:r>
                    <w:rPr>
                      <w:color w:val="auto"/>
                      <w:sz w:val="18"/>
                      <w:szCs w:val="18"/>
                    </w:rPr>
                    <w:t>。</w:t>
                  </w:r>
                </w:p>
                <w:p w14:paraId="5E17AA5F">
                  <w:pPr>
                    <w:adjustRightInd w:val="0"/>
                    <w:snapToGrid w:val="0"/>
                    <w:jc w:val="both"/>
                    <w:rPr>
                      <w:color w:val="auto"/>
                      <w:sz w:val="18"/>
                      <w:szCs w:val="18"/>
                    </w:rPr>
                  </w:pPr>
                  <w:r>
                    <w:rPr>
                      <w:rFonts w:hint="eastAsia"/>
                      <w:color w:val="auto"/>
                      <w:sz w:val="18"/>
                      <w:szCs w:val="18"/>
                      <w:lang w:val="en-US" w:eastAsia="zh-CN"/>
                    </w:rPr>
                    <w:t>2.本项目不位于大气布局敏感区</w:t>
                  </w:r>
                  <w:r>
                    <w:rPr>
                      <w:color w:val="auto"/>
                      <w:sz w:val="18"/>
                      <w:szCs w:val="18"/>
                    </w:rPr>
                    <w:t>。</w:t>
                  </w:r>
                </w:p>
                <w:p w14:paraId="715568BD">
                  <w:pPr>
                    <w:adjustRightInd w:val="0"/>
                    <w:snapToGrid w:val="0"/>
                    <w:jc w:val="both"/>
                    <w:rPr>
                      <w:color w:val="auto"/>
                      <w:sz w:val="18"/>
                      <w:szCs w:val="18"/>
                    </w:rPr>
                  </w:pPr>
                  <w:r>
                    <w:rPr>
                      <w:rFonts w:hint="eastAsia"/>
                      <w:color w:val="auto"/>
                      <w:sz w:val="18"/>
                      <w:szCs w:val="18"/>
                      <w:lang w:val="en-US" w:eastAsia="zh-CN"/>
                    </w:rPr>
                    <w:t>3.</w:t>
                  </w:r>
                  <w:r>
                    <w:rPr>
                      <w:color w:val="auto"/>
                      <w:sz w:val="18"/>
                      <w:szCs w:val="18"/>
                    </w:rPr>
                    <w:t>本项目不涉及废水外排</w:t>
                  </w:r>
                  <w:r>
                    <w:rPr>
                      <w:rFonts w:hint="eastAsia"/>
                      <w:color w:val="auto"/>
                      <w:sz w:val="18"/>
                      <w:szCs w:val="18"/>
                      <w:lang w:eastAsia="zh-CN"/>
                    </w:rPr>
                    <w:t>，生活污水经化粪池处理后环卫清运</w:t>
                  </w:r>
                  <w:r>
                    <w:rPr>
                      <w:color w:val="auto"/>
                      <w:sz w:val="18"/>
                      <w:szCs w:val="18"/>
                    </w:rPr>
                    <w:t>。</w:t>
                  </w:r>
                </w:p>
                <w:p w14:paraId="762A573D">
                  <w:pPr>
                    <w:adjustRightInd w:val="0"/>
                    <w:snapToGrid w:val="0"/>
                    <w:jc w:val="both"/>
                    <w:rPr>
                      <w:color w:val="auto"/>
                      <w:sz w:val="18"/>
                      <w:szCs w:val="18"/>
                    </w:rPr>
                  </w:pPr>
                  <w:r>
                    <w:rPr>
                      <w:rFonts w:hint="eastAsia"/>
                      <w:color w:val="auto"/>
                      <w:sz w:val="18"/>
                      <w:szCs w:val="18"/>
                      <w:lang w:val="en-US" w:eastAsia="zh-CN"/>
                    </w:rPr>
                    <w:t>4.</w:t>
                  </w:r>
                  <w:r>
                    <w:rPr>
                      <w:color w:val="auto"/>
                      <w:sz w:val="18"/>
                      <w:szCs w:val="18"/>
                    </w:rPr>
                    <w:t>本</w:t>
                  </w:r>
                  <w:r>
                    <w:rPr>
                      <w:rFonts w:hint="eastAsia"/>
                      <w:color w:val="auto"/>
                      <w:sz w:val="18"/>
                      <w:szCs w:val="18"/>
                      <w:lang w:eastAsia="zh-CN"/>
                    </w:rPr>
                    <w:t>项目</w:t>
                  </w:r>
                  <w:r>
                    <w:rPr>
                      <w:rFonts w:hint="eastAsia"/>
                      <w:color w:val="auto"/>
                      <w:sz w:val="18"/>
                      <w:szCs w:val="18"/>
                      <w:lang w:val="en-US" w:eastAsia="zh-CN"/>
                    </w:rPr>
                    <w:t>位于济淄科创大走廊傅家产业园内</w:t>
                  </w:r>
                  <w:r>
                    <w:rPr>
                      <w:color w:val="auto"/>
                      <w:sz w:val="18"/>
                      <w:szCs w:val="18"/>
                    </w:rPr>
                    <w:t>。</w:t>
                  </w:r>
                </w:p>
                <w:p w14:paraId="3A12ADCE">
                  <w:pPr>
                    <w:adjustRightInd w:val="0"/>
                    <w:snapToGrid w:val="0"/>
                    <w:jc w:val="both"/>
                    <w:rPr>
                      <w:color w:val="auto"/>
                      <w:sz w:val="18"/>
                      <w:szCs w:val="18"/>
                    </w:rPr>
                  </w:pPr>
                  <w:r>
                    <w:rPr>
                      <w:rFonts w:hint="eastAsia"/>
                      <w:color w:val="auto"/>
                      <w:sz w:val="18"/>
                      <w:szCs w:val="18"/>
                      <w:lang w:val="en-US" w:eastAsia="zh-CN"/>
                    </w:rPr>
                    <w:t>5.本项目不属于“两高”项目。</w:t>
                  </w:r>
                </w:p>
              </w:tc>
              <w:tc>
                <w:tcPr>
                  <w:tcW w:w="399" w:type="pct"/>
                  <w:tcBorders>
                    <w:tl2br w:val="nil"/>
                    <w:tr2bl w:val="nil"/>
                  </w:tcBorders>
                  <w:noWrap w:val="0"/>
                  <w:vAlign w:val="center"/>
                </w:tcPr>
                <w:p w14:paraId="13784069">
                  <w:pPr>
                    <w:adjustRightInd w:val="0"/>
                    <w:snapToGrid w:val="0"/>
                    <w:jc w:val="center"/>
                    <w:rPr>
                      <w:color w:val="auto"/>
                      <w:sz w:val="18"/>
                      <w:szCs w:val="18"/>
                    </w:rPr>
                  </w:pPr>
                  <w:r>
                    <w:rPr>
                      <w:color w:val="auto"/>
                      <w:sz w:val="18"/>
                      <w:szCs w:val="18"/>
                    </w:rPr>
                    <w:t>符合</w:t>
                  </w:r>
                </w:p>
              </w:tc>
            </w:tr>
            <w:tr w14:paraId="4FFA3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1" w:hRule="atLeast"/>
              </w:trPr>
              <w:tc>
                <w:tcPr>
                  <w:tcW w:w="523" w:type="pct"/>
                  <w:tcBorders>
                    <w:tl2br w:val="nil"/>
                    <w:tr2bl w:val="nil"/>
                  </w:tcBorders>
                  <w:noWrap w:val="0"/>
                  <w:vAlign w:val="center"/>
                </w:tcPr>
                <w:p w14:paraId="1C6881CD">
                  <w:pPr>
                    <w:adjustRightInd w:val="0"/>
                    <w:snapToGrid w:val="0"/>
                    <w:rPr>
                      <w:color w:val="auto"/>
                      <w:sz w:val="18"/>
                      <w:szCs w:val="18"/>
                    </w:rPr>
                  </w:pPr>
                  <w:r>
                    <w:rPr>
                      <w:color w:val="auto"/>
                      <w:sz w:val="18"/>
                      <w:szCs w:val="18"/>
                    </w:rPr>
                    <w:t>污染物排放管控</w:t>
                  </w:r>
                </w:p>
              </w:tc>
              <w:tc>
                <w:tcPr>
                  <w:tcW w:w="2379" w:type="pct"/>
                  <w:tcBorders>
                    <w:tl2br w:val="nil"/>
                    <w:tr2bl w:val="nil"/>
                  </w:tcBorders>
                  <w:noWrap w:val="0"/>
                  <w:vAlign w:val="center"/>
                </w:tcPr>
                <w:p w14:paraId="28E15042">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1.涉“两高”项目企业应当积极实施节能改造提升，提高能源使用效率，推进节能减排。</w:t>
                  </w:r>
                </w:p>
                <w:p w14:paraId="771B47FF">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2.落实主要污染物总量替代要求，按照山东省生态环境厅《关于印发山东省建设项目主要大气污染物排放总量替代指标核算及管理办法的通知》，实施动态管控替代。</w:t>
                  </w:r>
                </w:p>
                <w:p w14:paraId="3406F845">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3.废水应当按照要求进行预处理，达到行业排放标准或是综合排放标准后方可排放。</w:t>
                  </w:r>
                </w:p>
                <w:p w14:paraId="64FAD375">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4.禁止工业废水和生活污水未经处理直排环境；原则上除工业污水集中处理设施、城镇污水处理厂外不得新建入河排污口。</w:t>
                  </w:r>
                </w:p>
                <w:p w14:paraId="6E41C43D">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5.包装印刷、表面涂装等涉VOCs排放的行业，严格按照淄博市行业环境管控要求，实施源头替代，建立健全治理设施，确保污染物稳定达标排放，做到持证排污。</w:t>
                  </w:r>
                </w:p>
                <w:p w14:paraId="33E51F70">
                  <w:pPr>
                    <w:adjustRightInd w:val="0"/>
                    <w:snapToGrid w:val="0"/>
                    <w:jc w:val="both"/>
                    <w:rPr>
                      <w:color w:val="auto"/>
                      <w:sz w:val="18"/>
                      <w:szCs w:val="18"/>
                    </w:rPr>
                  </w:pPr>
                  <w:r>
                    <w:rPr>
                      <w:rFonts w:hint="default" w:ascii="Times New Roman" w:hAnsi="Times New Roman" w:eastAsia="宋体" w:cs="Times New Roman"/>
                      <w:i w:val="0"/>
                      <w:color w:val="auto"/>
                      <w:kern w:val="0"/>
                      <w:sz w:val="18"/>
                      <w:szCs w:val="18"/>
                      <w:u w:val="none"/>
                      <w:lang w:val="en-US" w:eastAsia="zh-CN" w:bidi="ar"/>
                    </w:rPr>
                    <w:t>6.进一步加强对建设工程施工、建筑物拆除、交通运输、道路保洁、物料运输与堆存、采石取土、养护绿化等活动的扬尘管理。</w:t>
                  </w:r>
                </w:p>
              </w:tc>
              <w:tc>
                <w:tcPr>
                  <w:tcW w:w="1697" w:type="pct"/>
                  <w:tcBorders>
                    <w:tl2br w:val="nil"/>
                    <w:tr2bl w:val="nil"/>
                  </w:tcBorders>
                  <w:noWrap w:val="0"/>
                  <w:vAlign w:val="center"/>
                </w:tcPr>
                <w:p w14:paraId="324694B5">
                  <w:pPr>
                    <w:adjustRightInd w:val="0"/>
                    <w:snapToGrid w:val="0"/>
                    <w:jc w:val="both"/>
                    <w:rPr>
                      <w:color w:val="auto"/>
                      <w:sz w:val="18"/>
                      <w:szCs w:val="18"/>
                      <w:highlight w:val="none"/>
                    </w:rPr>
                  </w:pPr>
                  <w:r>
                    <w:rPr>
                      <w:rFonts w:hint="eastAsia"/>
                      <w:color w:val="auto"/>
                      <w:sz w:val="18"/>
                      <w:szCs w:val="18"/>
                      <w:lang w:val="en-US" w:eastAsia="zh-CN"/>
                    </w:rPr>
                    <w:t>1.</w:t>
                  </w:r>
                  <w:r>
                    <w:rPr>
                      <w:color w:val="auto"/>
                      <w:sz w:val="18"/>
                      <w:szCs w:val="18"/>
                    </w:rPr>
                    <w:t>本</w:t>
                  </w:r>
                  <w:r>
                    <w:rPr>
                      <w:color w:val="auto"/>
                      <w:sz w:val="18"/>
                      <w:szCs w:val="18"/>
                      <w:highlight w:val="none"/>
                    </w:rPr>
                    <w:t>项目</w:t>
                  </w:r>
                  <w:r>
                    <w:rPr>
                      <w:rFonts w:hint="eastAsia"/>
                      <w:color w:val="auto"/>
                      <w:sz w:val="18"/>
                      <w:szCs w:val="18"/>
                      <w:highlight w:val="none"/>
                      <w:lang w:eastAsia="zh-CN"/>
                    </w:rPr>
                    <w:t>属于</w:t>
                  </w:r>
                  <w:r>
                    <w:rPr>
                      <w:rFonts w:hint="eastAsia"/>
                      <w:color w:val="auto"/>
                      <w:sz w:val="18"/>
                      <w:szCs w:val="18"/>
                      <w:highlight w:val="none"/>
                      <w:lang w:val="en-US" w:eastAsia="zh-CN"/>
                    </w:rPr>
                    <w:t>C3985电子专用材料制造，</w:t>
                  </w:r>
                  <w:r>
                    <w:rPr>
                      <w:color w:val="auto"/>
                      <w:sz w:val="18"/>
                      <w:szCs w:val="18"/>
                      <w:highlight w:val="none"/>
                    </w:rPr>
                    <w:t>不属于两高项目。</w:t>
                  </w:r>
                </w:p>
                <w:p w14:paraId="3EF76F7A">
                  <w:pPr>
                    <w:adjustRightInd w:val="0"/>
                    <w:snapToGrid w:val="0"/>
                    <w:jc w:val="both"/>
                    <w:rPr>
                      <w:rFonts w:hint="default" w:ascii="宋体" w:hAnsi="宋体" w:eastAsia="宋体" w:cs="宋体"/>
                      <w:color w:val="auto"/>
                      <w:sz w:val="18"/>
                      <w:szCs w:val="18"/>
                      <w:lang w:val="en-US" w:eastAsia="zh-CN"/>
                    </w:rPr>
                  </w:pPr>
                  <w:r>
                    <w:rPr>
                      <w:rFonts w:hint="eastAsia" w:ascii="宋体" w:hAnsi="宋体" w:cs="宋体"/>
                      <w:color w:val="auto"/>
                      <w:sz w:val="18"/>
                      <w:szCs w:val="18"/>
                      <w:highlight w:val="none"/>
                      <w:lang w:val="en-US" w:eastAsia="zh-CN"/>
                    </w:rPr>
                    <w:t>2.本项目建成后严格落实主要污染物总量控制</w:t>
                  </w:r>
                  <w:r>
                    <w:rPr>
                      <w:rFonts w:hint="eastAsia" w:ascii="宋体" w:hAnsi="宋体" w:cs="宋体"/>
                      <w:color w:val="auto"/>
                      <w:sz w:val="18"/>
                      <w:szCs w:val="18"/>
                      <w:lang w:eastAsia="zh-CN"/>
                    </w:rPr>
                    <w:t>。</w:t>
                  </w:r>
                </w:p>
                <w:p w14:paraId="125AFC50">
                  <w:pPr>
                    <w:adjustRightInd w:val="0"/>
                    <w:snapToGrid w:val="0"/>
                    <w:jc w:val="both"/>
                    <w:rPr>
                      <w:color w:val="auto"/>
                      <w:sz w:val="18"/>
                      <w:szCs w:val="18"/>
                    </w:rPr>
                  </w:pPr>
                  <w:r>
                    <w:rPr>
                      <w:rFonts w:hint="eastAsia"/>
                      <w:color w:val="auto"/>
                      <w:sz w:val="18"/>
                      <w:szCs w:val="18"/>
                      <w:lang w:val="en-US" w:eastAsia="zh-CN"/>
                    </w:rPr>
                    <w:t>3.</w:t>
                  </w:r>
                  <w:r>
                    <w:rPr>
                      <w:color w:val="auto"/>
                      <w:sz w:val="18"/>
                      <w:szCs w:val="18"/>
                    </w:rPr>
                    <w:t>本项目不涉及废水外排</w:t>
                  </w:r>
                  <w:r>
                    <w:rPr>
                      <w:rFonts w:hint="eastAsia"/>
                      <w:color w:val="auto"/>
                      <w:sz w:val="18"/>
                      <w:szCs w:val="18"/>
                      <w:lang w:eastAsia="zh-CN"/>
                    </w:rPr>
                    <w:t>，生活污水经化粪池处理后环卫清运</w:t>
                  </w:r>
                  <w:r>
                    <w:rPr>
                      <w:color w:val="auto"/>
                      <w:sz w:val="18"/>
                      <w:szCs w:val="18"/>
                    </w:rPr>
                    <w:t>。</w:t>
                  </w:r>
                </w:p>
                <w:p w14:paraId="087FDCB9">
                  <w:pPr>
                    <w:adjustRightInd w:val="0"/>
                    <w:snapToGrid w:val="0"/>
                    <w:jc w:val="both"/>
                    <w:rPr>
                      <w:color w:val="auto"/>
                      <w:sz w:val="18"/>
                      <w:szCs w:val="18"/>
                    </w:rPr>
                  </w:pPr>
                  <w:r>
                    <w:rPr>
                      <w:rFonts w:hint="eastAsia"/>
                      <w:color w:val="auto"/>
                      <w:sz w:val="18"/>
                      <w:szCs w:val="18"/>
                      <w:lang w:val="en-US" w:eastAsia="zh-CN"/>
                    </w:rPr>
                    <w:t>4.</w:t>
                  </w:r>
                  <w:r>
                    <w:rPr>
                      <w:color w:val="auto"/>
                      <w:sz w:val="18"/>
                      <w:szCs w:val="18"/>
                    </w:rPr>
                    <w:t>本项目不涉及废水外排</w:t>
                  </w:r>
                  <w:r>
                    <w:rPr>
                      <w:rFonts w:hint="eastAsia"/>
                      <w:color w:val="auto"/>
                      <w:sz w:val="18"/>
                      <w:szCs w:val="18"/>
                      <w:lang w:eastAsia="zh-CN"/>
                    </w:rPr>
                    <w:t>，生活污水经化粪池处理后环卫清运</w:t>
                  </w:r>
                  <w:r>
                    <w:rPr>
                      <w:color w:val="auto"/>
                      <w:sz w:val="18"/>
                      <w:szCs w:val="18"/>
                    </w:rPr>
                    <w:t>。</w:t>
                  </w:r>
                </w:p>
                <w:p w14:paraId="000C6746">
                  <w:pPr>
                    <w:adjustRightInd w:val="0"/>
                    <w:snapToGrid w:val="0"/>
                    <w:jc w:val="both"/>
                    <w:rPr>
                      <w:color w:val="auto"/>
                      <w:sz w:val="18"/>
                      <w:szCs w:val="18"/>
                    </w:rPr>
                  </w:pPr>
                  <w:r>
                    <w:rPr>
                      <w:rFonts w:hint="eastAsia"/>
                      <w:color w:val="auto"/>
                      <w:sz w:val="18"/>
                      <w:szCs w:val="18"/>
                      <w:lang w:val="en-US" w:eastAsia="zh-CN"/>
                    </w:rPr>
                    <w:t>5.本</w:t>
                  </w:r>
                  <w:r>
                    <w:rPr>
                      <w:color w:val="auto"/>
                      <w:sz w:val="18"/>
                      <w:szCs w:val="18"/>
                    </w:rPr>
                    <w:t>项目</w:t>
                  </w:r>
                  <w:r>
                    <w:rPr>
                      <w:rFonts w:hint="eastAsia"/>
                      <w:color w:val="auto"/>
                      <w:sz w:val="18"/>
                      <w:szCs w:val="18"/>
                      <w:lang w:val="en-US" w:eastAsia="zh-CN"/>
                    </w:rPr>
                    <w:t>不涉及VOCs排放。</w:t>
                  </w:r>
                </w:p>
                <w:p w14:paraId="69D903CD">
                  <w:pPr>
                    <w:adjustRightInd w:val="0"/>
                    <w:snapToGrid w:val="0"/>
                    <w:jc w:val="both"/>
                    <w:rPr>
                      <w:color w:val="auto"/>
                      <w:sz w:val="18"/>
                      <w:szCs w:val="18"/>
                    </w:rPr>
                  </w:pPr>
                  <w:r>
                    <w:rPr>
                      <w:rFonts w:hint="eastAsia"/>
                      <w:color w:val="auto"/>
                      <w:sz w:val="18"/>
                      <w:szCs w:val="18"/>
                      <w:lang w:val="en-US" w:eastAsia="zh-CN"/>
                    </w:rPr>
                    <w:t>6.</w:t>
                  </w:r>
                  <w:r>
                    <w:rPr>
                      <w:color w:val="auto"/>
                      <w:sz w:val="18"/>
                      <w:szCs w:val="18"/>
                    </w:rPr>
                    <w:t>本项目不涉及</w:t>
                  </w:r>
                  <w:r>
                    <w:rPr>
                      <w:rFonts w:hint="eastAsia"/>
                      <w:color w:val="auto"/>
                      <w:sz w:val="18"/>
                      <w:szCs w:val="18"/>
                      <w:lang w:eastAsia="zh-CN"/>
                    </w:rPr>
                    <w:t>建设工程施工、建筑物拆除，交通运输、道路保洁、物料运输等活动严格按规定进行扬尘管理</w:t>
                  </w:r>
                  <w:r>
                    <w:rPr>
                      <w:color w:val="auto"/>
                      <w:sz w:val="18"/>
                      <w:szCs w:val="18"/>
                    </w:rPr>
                    <w:t>。</w:t>
                  </w:r>
                </w:p>
              </w:tc>
              <w:tc>
                <w:tcPr>
                  <w:tcW w:w="399" w:type="pct"/>
                  <w:tcBorders>
                    <w:tl2br w:val="nil"/>
                    <w:tr2bl w:val="nil"/>
                  </w:tcBorders>
                  <w:noWrap w:val="0"/>
                  <w:vAlign w:val="center"/>
                </w:tcPr>
                <w:p w14:paraId="0786A24A">
                  <w:pPr>
                    <w:adjustRightInd w:val="0"/>
                    <w:snapToGrid w:val="0"/>
                    <w:jc w:val="center"/>
                    <w:rPr>
                      <w:color w:val="auto"/>
                      <w:sz w:val="18"/>
                      <w:szCs w:val="18"/>
                    </w:rPr>
                  </w:pPr>
                  <w:r>
                    <w:rPr>
                      <w:color w:val="auto"/>
                      <w:sz w:val="18"/>
                      <w:szCs w:val="18"/>
                    </w:rPr>
                    <w:t>符合</w:t>
                  </w:r>
                </w:p>
              </w:tc>
            </w:tr>
            <w:tr w14:paraId="76D94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3" w:hRule="atLeast"/>
              </w:trPr>
              <w:tc>
                <w:tcPr>
                  <w:tcW w:w="523" w:type="pct"/>
                  <w:tcBorders>
                    <w:tl2br w:val="nil"/>
                    <w:tr2bl w:val="nil"/>
                  </w:tcBorders>
                  <w:noWrap w:val="0"/>
                  <w:vAlign w:val="center"/>
                </w:tcPr>
                <w:p w14:paraId="4A0C771F">
                  <w:pPr>
                    <w:adjustRightInd w:val="0"/>
                    <w:snapToGrid w:val="0"/>
                    <w:rPr>
                      <w:color w:val="auto"/>
                      <w:sz w:val="18"/>
                      <w:szCs w:val="18"/>
                    </w:rPr>
                  </w:pPr>
                  <w:r>
                    <w:rPr>
                      <w:color w:val="auto"/>
                      <w:sz w:val="18"/>
                      <w:szCs w:val="18"/>
                    </w:rPr>
                    <w:t>环境风险 防控</w:t>
                  </w:r>
                </w:p>
              </w:tc>
              <w:tc>
                <w:tcPr>
                  <w:tcW w:w="2379" w:type="pct"/>
                  <w:tcBorders>
                    <w:tl2br w:val="nil"/>
                    <w:tr2bl w:val="nil"/>
                  </w:tcBorders>
                  <w:noWrap w:val="0"/>
                  <w:vAlign w:val="center"/>
                </w:tcPr>
                <w:p w14:paraId="4697347F">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1.加强农田土壤、灌溉水的监测，对周边区域环境风险源进行评估。</w:t>
                  </w:r>
                </w:p>
                <w:p w14:paraId="4300F8B7">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2.企业事业单位根据法律法规、管理部门要求和《企业事业单位突发环境事件应急预案备案管理办法（试行）》等规定，依法依规编制环境应急预案并定期开展演练。</w:t>
                  </w:r>
                </w:p>
                <w:p w14:paraId="302F9757">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3.建立各企业危险废物的贮存、申报、经营许可（无废城市建设豁免的除外）、转移及处置管理制度，并负责对危废相应活动的全程监管和环境安全保障。</w:t>
                  </w:r>
                </w:p>
                <w:p w14:paraId="0997763E">
                  <w:pPr>
                    <w:adjustRightInd w:val="0"/>
                    <w:snapToGrid w:val="0"/>
                    <w:jc w:val="both"/>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4.污染地块依法开展土壤污染状况调查、风险管控或者修复，未完成调查以及未达到土壤污染风险评估报告确定的风险管控、修复目标的地块，不得开工建设与风险管控和修复无关的项目。</w:t>
                  </w:r>
                </w:p>
                <w:p w14:paraId="758FE81A">
                  <w:pPr>
                    <w:adjustRightInd w:val="0"/>
                    <w:snapToGrid w:val="0"/>
                    <w:jc w:val="both"/>
                    <w:rPr>
                      <w:color w:val="auto"/>
                      <w:sz w:val="18"/>
                      <w:szCs w:val="18"/>
                    </w:rPr>
                  </w:pPr>
                  <w:r>
                    <w:rPr>
                      <w:rFonts w:hint="default" w:ascii="Times New Roman" w:hAnsi="Times New Roman" w:eastAsia="宋体" w:cs="Times New Roman"/>
                      <w:i w:val="0"/>
                      <w:color w:val="auto"/>
                      <w:kern w:val="0"/>
                      <w:sz w:val="18"/>
                      <w:szCs w:val="18"/>
                      <w:u w:val="none"/>
                      <w:lang w:val="en-US" w:eastAsia="zh-CN" w:bidi="ar"/>
                    </w:rPr>
                    <w:t>5.按照省市要求，做好清洁取暖改造工作。</w:t>
                  </w:r>
                </w:p>
              </w:tc>
              <w:tc>
                <w:tcPr>
                  <w:tcW w:w="1697" w:type="pct"/>
                  <w:tcBorders>
                    <w:tl2br w:val="nil"/>
                    <w:tr2bl w:val="nil"/>
                  </w:tcBorders>
                  <w:noWrap w:val="0"/>
                  <w:vAlign w:val="center"/>
                </w:tcPr>
                <w:p w14:paraId="558B5A10">
                  <w:pPr>
                    <w:adjustRightInd w:val="0"/>
                    <w:snapToGrid w:val="0"/>
                    <w:jc w:val="both"/>
                    <w:rPr>
                      <w:color w:val="auto"/>
                      <w:sz w:val="18"/>
                      <w:szCs w:val="18"/>
                    </w:rPr>
                  </w:pPr>
                  <w:r>
                    <w:rPr>
                      <w:rFonts w:hint="eastAsia"/>
                      <w:color w:val="auto"/>
                      <w:sz w:val="18"/>
                      <w:szCs w:val="18"/>
                      <w:lang w:val="en-US" w:eastAsia="zh-CN"/>
                    </w:rPr>
                    <w:t>1.本项目不涉及农田土壤、灌溉水的监测</w:t>
                  </w:r>
                  <w:r>
                    <w:rPr>
                      <w:color w:val="auto"/>
                      <w:sz w:val="18"/>
                      <w:szCs w:val="18"/>
                    </w:rPr>
                    <w:t>。</w:t>
                  </w:r>
                </w:p>
                <w:p w14:paraId="2A873C33">
                  <w:pPr>
                    <w:adjustRightInd w:val="0"/>
                    <w:snapToGrid w:val="0"/>
                    <w:jc w:val="both"/>
                    <w:rPr>
                      <w:color w:val="auto"/>
                      <w:sz w:val="18"/>
                      <w:szCs w:val="18"/>
                    </w:rPr>
                  </w:pPr>
                  <w:r>
                    <w:rPr>
                      <w:rFonts w:hint="eastAsia"/>
                      <w:color w:val="auto"/>
                      <w:sz w:val="18"/>
                      <w:szCs w:val="18"/>
                      <w:lang w:val="en-US" w:eastAsia="zh-CN"/>
                    </w:rPr>
                    <w:t>2.本项目建成后将依法依规编制环境应急预案并定期开展演练</w:t>
                  </w:r>
                  <w:r>
                    <w:rPr>
                      <w:color w:val="auto"/>
                      <w:sz w:val="18"/>
                      <w:szCs w:val="18"/>
                    </w:rPr>
                    <w:t>。</w:t>
                  </w:r>
                </w:p>
                <w:p w14:paraId="5C99E6D2">
                  <w:pPr>
                    <w:adjustRightInd w:val="0"/>
                    <w:snapToGrid w:val="0"/>
                    <w:jc w:val="both"/>
                    <w:rPr>
                      <w:color w:val="auto"/>
                      <w:sz w:val="18"/>
                      <w:szCs w:val="18"/>
                    </w:rPr>
                  </w:pPr>
                  <w:r>
                    <w:rPr>
                      <w:rFonts w:hint="eastAsia"/>
                      <w:color w:val="auto"/>
                      <w:sz w:val="18"/>
                      <w:szCs w:val="18"/>
                      <w:lang w:val="en-US" w:eastAsia="zh-CN"/>
                    </w:rPr>
                    <w:t>3.本项目建成后按要求执行</w:t>
                  </w:r>
                  <w:r>
                    <w:rPr>
                      <w:color w:val="auto"/>
                      <w:sz w:val="18"/>
                      <w:szCs w:val="18"/>
                    </w:rPr>
                    <w:t>。</w:t>
                  </w:r>
                </w:p>
                <w:p w14:paraId="6ECE1F4E">
                  <w:pPr>
                    <w:adjustRightInd w:val="0"/>
                    <w:snapToGrid w:val="0"/>
                    <w:jc w:val="both"/>
                    <w:rPr>
                      <w:rFonts w:hint="eastAsia"/>
                      <w:color w:val="auto"/>
                      <w:sz w:val="18"/>
                      <w:szCs w:val="18"/>
                      <w:lang w:eastAsia="zh-CN"/>
                    </w:rPr>
                  </w:pPr>
                  <w:r>
                    <w:rPr>
                      <w:rFonts w:hint="eastAsia"/>
                      <w:color w:val="auto"/>
                      <w:sz w:val="18"/>
                      <w:szCs w:val="18"/>
                      <w:lang w:val="en-US" w:eastAsia="zh-CN"/>
                    </w:rPr>
                    <w:t>4.本项目不涉及</w:t>
                  </w:r>
                  <w:r>
                    <w:rPr>
                      <w:rFonts w:hint="eastAsia"/>
                      <w:color w:val="auto"/>
                      <w:sz w:val="18"/>
                      <w:szCs w:val="18"/>
                      <w:lang w:eastAsia="zh-CN"/>
                    </w:rPr>
                    <w:t>。</w:t>
                  </w:r>
                </w:p>
                <w:p w14:paraId="11720360">
                  <w:pPr>
                    <w:adjustRightInd w:val="0"/>
                    <w:snapToGrid w:val="0"/>
                    <w:jc w:val="both"/>
                    <w:rPr>
                      <w:color w:val="auto"/>
                      <w:sz w:val="18"/>
                      <w:szCs w:val="18"/>
                    </w:rPr>
                  </w:pPr>
                  <w:r>
                    <w:rPr>
                      <w:rFonts w:hint="eastAsia"/>
                      <w:color w:val="auto"/>
                      <w:sz w:val="18"/>
                      <w:szCs w:val="18"/>
                      <w:lang w:val="en-US" w:eastAsia="zh-CN"/>
                    </w:rPr>
                    <w:t>5.企业</w:t>
                  </w:r>
                  <w:r>
                    <w:rPr>
                      <w:rFonts w:hint="default" w:ascii="Times New Roman" w:hAnsi="Times New Roman" w:eastAsia="宋体" w:cs="Times New Roman"/>
                      <w:i w:val="0"/>
                      <w:color w:val="auto"/>
                      <w:kern w:val="0"/>
                      <w:sz w:val="18"/>
                      <w:szCs w:val="18"/>
                      <w:u w:val="none"/>
                      <w:lang w:val="en-US" w:eastAsia="zh-CN" w:bidi="ar"/>
                    </w:rPr>
                    <w:t>按照省市要求，做好清洁取暖改造工作</w:t>
                  </w:r>
                  <w:r>
                    <w:rPr>
                      <w:rFonts w:hint="eastAsia" w:cs="Times New Roman"/>
                      <w:i w:val="0"/>
                      <w:color w:val="auto"/>
                      <w:kern w:val="0"/>
                      <w:sz w:val="18"/>
                      <w:szCs w:val="18"/>
                      <w:u w:val="none"/>
                      <w:lang w:val="en-US" w:eastAsia="zh-CN" w:bidi="ar"/>
                    </w:rPr>
                    <w:t>，取暖使用电</w:t>
                  </w:r>
                  <w:r>
                    <w:rPr>
                      <w:color w:val="auto"/>
                      <w:sz w:val="18"/>
                      <w:szCs w:val="18"/>
                    </w:rPr>
                    <w:t>。</w:t>
                  </w:r>
                </w:p>
              </w:tc>
              <w:tc>
                <w:tcPr>
                  <w:tcW w:w="399" w:type="pct"/>
                  <w:tcBorders>
                    <w:tl2br w:val="nil"/>
                    <w:tr2bl w:val="nil"/>
                  </w:tcBorders>
                  <w:noWrap w:val="0"/>
                  <w:vAlign w:val="center"/>
                </w:tcPr>
                <w:p w14:paraId="71BDB694">
                  <w:pPr>
                    <w:adjustRightInd w:val="0"/>
                    <w:snapToGrid w:val="0"/>
                    <w:jc w:val="center"/>
                    <w:rPr>
                      <w:color w:val="auto"/>
                      <w:sz w:val="18"/>
                      <w:szCs w:val="18"/>
                    </w:rPr>
                  </w:pPr>
                  <w:r>
                    <w:rPr>
                      <w:color w:val="auto"/>
                      <w:sz w:val="18"/>
                      <w:szCs w:val="18"/>
                    </w:rPr>
                    <w:t>符合</w:t>
                  </w:r>
                </w:p>
              </w:tc>
            </w:tr>
            <w:tr w14:paraId="1E035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trPr>
              <w:tc>
                <w:tcPr>
                  <w:tcW w:w="523" w:type="pct"/>
                  <w:tcBorders>
                    <w:tl2br w:val="nil"/>
                    <w:tr2bl w:val="nil"/>
                  </w:tcBorders>
                  <w:noWrap w:val="0"/>
                  <w:vAlign w:val="center"/>
                </w:tcPr>
                <w:p w14:paraId="7B01ECED">
                  <w:pPr>
                    <w:adjustRightInd w:val="0"/>
                    <w:snapToGrid w:val="0"/>
                    <w:rPr>
                      <w:color w:val="auto"/>
                      <w:sz w:val="18"/>
                      <w:szCs w:val="18"/>
                    </w:rPr>
                  </w:pPr>
                  <w:r>
                    <w:rPr>
                      <w:color w:val="auto"/>
                      <w:sz w:val="18"/>
                      <w:szCs w:val="18"/>
                    </w:rPr>
                    <w:t>资源开发效率要求</w:t>
                  </w:r>
                </w:p>
              </w:tc>
              <w:tc>
                <w:tcPr>
                  <w:tcW w:w="2379" w:type="pct"/>
                  <w:tcBorders>
                    <w:tl2br w:val="nil"/>
                    <w:tr2bl w:val="nil"/>
                  </w:tcBorders>
                  <w:noWrap w:val="0"/>
                  <w:vAlign w:val="center"/>
                </w:tcPr>
                <w:p w14:paraId="433F595F">
                  <w:pPr>
                    <w:adjustRightInd w:val="0"/>
                    <w:snapToGrid w:val="0"/>
                    <w:jc w:val="both"/>
                    <w:rPr>
                      <w:color w:val="auto"/>
                      <w:sz w:val="18"/>
                      <w:szCs w:val="18"/>
                    </w:rPr>
                  </w:pPr>
                  <w:r>
                    <w:rPr>
                      <w:rFonts w:hint="default" w:ascii="Times New Roman" w:hAnsi="Times New Roman" w:eastAsia="宋体" w:cs="Times New Roman"/>
                      <w:i w:val="0"/>
                      <w:color w:val="auto"/>
                      <w:kern w:val="0"/>
                      <w:sz w:val="18"/>
                      <w:szCs w:val="18"/>
                      <w:u w:val="none"/>
                      <w:lang w:val="en-US" w:eastAsia="zh-CN" w:bidi="ar"/>
                    </w:rPr>
                    <w:t>1.高污染燃料禁燃区内执行淄博市高污染燃料禁燃区划定文件的管控要求。</w:t>
                  </w:r>
                  <w:r>
                    <w:rPr>
                      <w:rFonts w:hint="default" w:ascii="Times New Roman" w:hAnsi="Times New Roman" w:eastAsia="宋体" w:cs="Times New Roman"/>
                      <w:i w:val="0"/>
                      <w:color w:val="auto"/>
                      <w:kern w:val="0"/>
                      <w:sz w:val="18"/>
                      <w:szCs w:val="18"/>
                      <w:u w:val="none"/>
                      <w:lang w:val="en-US" w:eastAsia="zh-CN" w:bidi="ar"/>
                    </w:rPr>
                    <w:br w:type="textWrapping"/>
                  </w:r>
                  <w:r>
                    <w:rPr>
                      <w:rFonts w:hint="default" w:ascii="Times New Roman" w:hAnsi="Times New Roman" w:eastAsia="宋体" w:cs="Times New Roman"/>
                      <w:i w:val="0"/>
                      <w:color w:val="auto"/>
                      <w:kern w:val="0"/>
                      <w:sz w:val="18"/>
                      <w:szCs w:val="18"/>
                      <w:u w:val="none"/>
                      <w:lang w:val="en-US" w:eastAsia="zh-CN" w:bidi="ar"/>
                    </w:rPr>
                    <w:t>2.提升土地集约化水平。</w:t>
                  </w:r>
                </w:p>
              </w:tc>
              <w:tc>
                <w:tcPr>
                  <w:tcW w:w="1697" w:type="pct"/>
                  <w:tcBorders>
                    <w:tl2br w:val="nil"/>
                    <w:tr2bl w:val="nil"/>
                  </w:tcBorders>
                  <w:noWrap w:val="0"/>
                  <w:vAlign w:val="center"/>
                </w:tcPr>
                <w:p w14:paraId="0B70E705">
                  <w:pPr>
                    <w:adjustRightInd w:val="0"/>
                    <w:snapToGrid w:val="0"/>
                    <w:jc w:val="both"/>
                    <w:rPr>
                      <w:rFonts w:hint="eastAsia"/>
                      <w:color w:val="auto"/>
                      <w:sz w:val="18"/>
                      <w:szCs w:val="18"/>
                      <w:lang w:val="en-US" w:eastAsia="zh-CN"/>
                    </w:rPr>
                  </w:pPr>
                  <w:r>
                    <w:rPr>
                      <w:rFonts w:hint="eastAsia"/>
                      <w:color w:val="auto"/>
                      <w:sz w:val="18"/>
                      <w:szCs w:val="18"/>
                      <w:lang w:val="en-US" w:eastAsia="zh-CN"/>
                    </w:rPr>
                    <w:t>1.</w:t>
                  </w:r>
                  <w:r>
                    <w:rPr>
                      <w:color w:val="auto"/>
                      <w:sz w:val="18"/>
                      <w:szCs w:val="18"/>
                    </w:rPr>
                    <w:t>本项目不使用</w:t>
                  </w:r>
                  <w:r>
                    <w:rPr>
                      <w:rFonts w:hint="eastAsia"/>
                      <w:color w:val="auto"/>
                      <w:sz w:val="18"/>
                      <w:szCs w:val="18"/>
                      <w:lang w:eastAsia="zh-CN"/>
                    </w:rPr>
                    <w:t>高污染燃料</w:t>
                  </w:r>
                  <w:r>
                    <w:rPr>
                      <w:color w:val="auto"/>
                      <w:sz w:val="18"/>
                      <w:szCs w:val="18"/>
                    </w:rPr>
                    <w:t>。</w:t>
                  </w:r>
                </w:p>
                <w:p w14:paraId="039713F6">
                  <w:pPr>
                    <w:adjustRightInd w:val="0"/>
                    <w:snapToGrid w:val="0"/>
                    <w:jc w:val="both"/>
                    <w:rPr>
                      <w:color w:val="auto"/>
                      <w:sz w:val="18"/>
                      <w:szCs w:val="18"/>
                    </w:rPr>
                  </w:pPr>
                  <w:r>
                    <w:rPr>
                      <w:rFonts w:hint="eastAsia"/>
                      <w:color w:val="auto"/>
                      <w:sz w:val="18"/>
                      <w:szCs w:val="18"/>
                      <w:lang w:val="en-US" w:eastAsia="zh-CN"/>
                    </w:rPr>
                    <w:t>2.</w:t>
                  </w:r>
                  <w:r>
                    <w:rPr>
                      <w:color w:val="auto"/>
                      <w:sz w:val="18"/>
                      <w:szCs w:val="18"/>
                    </w:rPr>
                    <w:t>本项目</w:t>
                  </w:r>
                  <w:r>
                    <w:rPr>
                      <w:rFonts w:hint="eastAsia"/>
                      <w:color w:val="auto"/>
                      <w:sz w:val="18"/>
                      <w:szCs w:val="18"/>
                      <w:lang w:val="en-US" w:eastAsia="zh-CN"/>
                    </w:rPr>
                    <w:t>在现有车间内进行技改，</w:t>
                  </w:r>
                  <w:r>
                    <w:rPr>
                      <w:color w:val="auto"/>
                      <w:sz w:val="18"/>
                      <w:szCs w:val="18"/>
                    </w:rPr>
                    <w:t>不新增用地</w:t>
                  </w:r>
                  <w:r>
                    <w:rPr>
                      <w:rFonts w:hint="eastAsia"/>
                      <w:color w:val="auto"/>
                      <w:sz w:val="18"/>
                      <w:szCs w:val="18"/>
                      <w:lang w:eastAsia="zh-CN"/>
                    </w:rPr>
                    <w:t>。</w:t>
                  </w:r>
                </w:p>
              </w:tc>
              <w:tc>
                <w:tcPr>
                  <w:tcW w:w="399" w:type="pct"/>
                  <w:tcBorders>
                    <w:tl2br w:val="nil"/>
                    <w:tr2bl w:val="nil"/>
                  </w:tcBorders>
                  <w:noWrap w:val="0"/>
                  <w:vAlign w:val="center"/>
                </w:tcPr>
                <w:p w14:paraId="3B28EFE3">
                  <w:pPr>
                    <w:adjustRightInd w:val="0"/>
                    <w:snapToGrid w:val="0"/>
                    <w:jc w:val="center"/>
                    <w:rPr>
                      <w:color w:val="auto"/>
                      <w:sz w:val="18"/>
                      <w:szCs w:val="18"/>
                    </w:rPr>
                  </w:pPr>
                  <w:r>
                    <w:rPr>
                      <w:color w:val="auto"/>
                      <w:sz w:val="18"/>
                      <w:szCs w:val="18"/>
                    </w:rPr>
                    <w:t>符合</w:t>
                  </w:r>
                </w:p>
              </w:tc>
            </w:tr>
          </w:tbl>
          <w:p w14:paraId="345F05CA">
            <w:pPr>
              <w:autoSpaceDE w:val="0"/>
              <w:autoSpaceDN w:val="0"/>
              <w:adjustRightInd w:val="0"/>
              <w:snapToGrid w:val="0"/>
              <w:spacing w:line="360" w:lineRule="auto"/>
              <w:ind w:firstLine="420" w:firstLineChars="200"/>
              <w:rPr>
                <w:rFonts w:hint="eastAsia"/>
                <w:bCs/>
                <w:color w:val="auto"/>
                <w:sz w:val="21"/>
                <w:szCs w:val="21"/>
              </w:rPr>
            </w:pPr>
            <w:r>
              <w:rPr>
                <w:rFonts w:hint="eastAsia"/>
                <w:bCs/>
                <w:color w:val="auto"/>
                <w:sz w:val="21"/>
                <w:szCs w:val="21"/>
              </w:rPr>
              <w:t>综上，对照</w:t>
            </w:r>
            <w:r>
              <w:rPr>
                <w:rFonts w:hint="eastAsia"/>
                <w:bCs/>
                <w:color w:val="auto"/>
                <w:sz w:val="21"/>
                <w:szCs w:val="21"/>
                <w:lang w:val="zh-CN"/>
              </w:rPr>
              <w:t>《</w:t>
            </w:r>
            <w:r>
              <w:rPr>
                <w:rFonts w:hint="eastAsia"/>
                <w:bCs/>
                <w:color w:val="auto"/>
                <w:sz w:val="21"/>
                <w:szCs w:val="21"/>
                <w:lang w:val="en-US" w:eastAsia="zh-CN"/>
              </w:rPr>
              <w:t>淄博市2023年生态环境分区管控成果动态更新项目生态环境准入清单</w:t>
            </w:r>
            <w:r>
              <w:rPr>
                <w:rFonts w:hint="eastAsia"/>
                <w:bCs/>
                <w:color w:val="auto"/>
                <w:sz w:val="21"/>
                <w:szCs w:val="21"/>
                <w:lang w:val="zh-CN"/>
              </w:rPr>
              <w:t>》</w:t>
            </w:r>
            <w:r>
              <w:rPr>
                <w:rFonts w:hint="eastAsia"/>
                <w:color w:val="auto"/>
                <w:sz w:val="21"/>
                <w:szCs w:val="21"/>
                <w:lang w:eastAsia="zh-CN"/>
              </w:rPr>
              <w:t>文件要求</w:t>
            </w:r>
            <w:r>
              <w:rPr>
                <w:rFonts w:hint="eastAsia"/>
                <w:bCs/>
                <w:color w:val="auto"/>
                <w:sz w:val="21"/>
                <w:szCs w:val="21"/>
              </w:rPr>
              <w:t>，本项目符合生态环境分区管控要求。</w:t>
            </w:r>
          </w:p>
          <w:p w14:paraId="00C072A1">
            <w:pPr>
              <w:autoSpaceDE w:val="0"/>
              <w:autoSpaceDN w:val="0"/>
              <w:adjustRightInd w:val="0"/>
              <w:snapToGrid w:val="0"/>
              <w:spacing w:line="360" w:lineRule="auto"/>
              <w:ind w:firstLine="422" w:firstLineChars="200"/>
              <w:rPr>
                <w:color w:val="auto"/>
                <w:kern w:val="0"/>
              </w:rPr>
            </w:pPr>
            <w:r>
              <w:rPr>
                <w:b/>
                <w:color w:val="auto"/>
                <w:kern w:val="0"/>
              </w:rPr>
              <w:t>二、</w:t>
            </w:r>
            <w:r>
              <w:rPr>
                <w:b/>
                <w:color w:val="auto"/>
              </w:rPr>
              <w:t>项目政策符合性分析</w:t>
            </w:r>
          </w:p>
          <w:p w14:paraId="4D0C4665">
            <w:pPr>
              <w:adjustRightInd w:val="0"/>
              <w:snapToGrid w:val="0"/>
              <w:spacing w:line="360" w:lineRule="auto"/>
              <w:ind w:firstLine="420" w:firstLineChars="200"/>
              <w:rPr>
                <w:color w:val="auto"/>
              </w:rPr>
            </w:pPr>
            <w:r>
              <w:rPr>
                <w:color w:val="auto"/>
              </w:rPr>
              <w:t>1、产业政策符合性</w:t>
            </w:r>
          </w:p>
          <w:p w14:paraId="13868E64">
            <w:pPr>
              <w:adjustRightInd w:val="0"/>
              <w:snapToGrid w:val="0"/>
              <w:spacing w:line="360" w:lineRule="auto"/>
              <w:ind w:firstLine="420" w:firstLineChars="200"/>
              <w:rPr>
                <w:color w:val="auto"/>
                <w:highlight w:val="none"/>
              </w:rPr>
            </w:pPr>
            <w:r>
              <w:rPr>
                <w:color w:val="auto"/>
                <w:kern w:val="0"/>
              </w:rPr>
              <w:t>项目的规模、产品、工艺以及采用的生产设备均不属于</w:t>
            </w:r>
            <w:r>
              <w:rPr>
                <w:rFonts w:hint="eastAsia"/>
                <w:color w:val="auto"/>
                <w:kern w:val="0"/>
                <w:lang w:eastAsia="zh-CN"/>
              </w:rPr>
              <w:t>《产业结构调整指导目录（2024年本）》</w:t>
            </w:r>
            <w:r>
              <w:rPr>
                <w:color w:val="auto"/>
                <w:kern w:val="0"/>
              </w:rPr>
              <w:t>中的</w:t>
            </w:r>
            <w:r>
              <w:rPr>
                <w:rFonts w:hint="eastAsia"/>
                <w:color w:val="auto"/>
                <w:kern w:val="0"/>
                <w:highlight w:val="none"/>
                <w:lang w:eastAsia="zh-CN"/>
              </w:rPr>
              <w:t>鼓励类、</w:t>
            </w:r>
            <w:r>
              <w:rPr>
                <w:color w:val="auto"/>
                <w:kern w:val="0"/>
                <w:highlight w:val="none"/>
              </w:rPr>
              <w:t>限制类和淘汰类项目</w:t>
            </w:r>
            <w:r>
              <w:rPr>
                <w:rFonts w:hint="eastAsia"/>
                <w:color w:val="auto"/>
                <w:kern w:val="0"/>
                <w:highlight w:val="none"/>
                <w:lang w:eastAsia="zh-CN"/>
              </w:rPr>
              <w:t>，属于允许类</w:t>
            </w:r>
            <w:r>
              <w:rPr>
                <w:color w:val="auto"/>
                <w:kern w:val="0"/>
                <w:highlight w:val="none"/>
              </w:rPr>
              <w:t>。根据</w:t>
            </w:r>
            <w:r>
              <w:rPr>
                <w:rFonts w:hint="eastAsia"/>
                <w:color w:val="auto"/>
                <w:kern w:val="0"/>
                <w:highlight w:val="none"/>
                <w:lang w:eastAsia="zh-CN"/>
              </w:rPr>
              <w:t>淄博奢瓷装饰材料技术有限公司</w:t>
            </w:r>
            <w:r>
              <w:rPr>
                <w:color w:val="auto"/>
                <w:kern w:val="0"/>
                <w:highlight w:val="none"/>
              </w:rPr>
              <w:t>申请的《山东省建设项目登记备案证明》（项目代码：</w:t>
            </w:r>
            <w:r>
              <w:rPr>
                <w:rFonts w:hint="eastAsia"/>
                <w:color w:val="auto"/>
                <w:highlight w:val="none"/>
                <w:lang w:eastAsia="zh-CN"/>
              </w:rPr>
              <w:t>2511-370393-89-02-323699</w:t>
            </w:r>
            <w:r>
              <w:rPr>
                <w:color w:val="auto"/>
                <w:kern w:val="0"/>
                <w:highlight w:val="none"/>
              </w:rPr>
              <w:t>），本项目符合国家和淄博市产业政策。</w:t>
            </w:r>
          </w:p>
          <w:p w14:paraId="4A3C6282">
            <w:pPr>
              <w:adjustRightInd w:val="0"/>
              <w:snapToGrid w:val="0"/>
              <w:spacing w:line="360" w:lineRule="auto"/>
              <w:ind w:firstLine="420" w:firstLineChars="200"/>
              <w:rPr>
                <w:color w:val="auto"/>
                <w:highlight w:val="none"/>
              </w:rPr>
            </w:pPr>
            <w:r>
              <w:rPr>
                <w:color w:val="auto"/>
                <w:highlight w:val="none"/>
              </w:rPr>
              <w:t>2、土地政策符合性</w:t>
            </w:r>
          </w:p>
          <w:p w14:paraId="0F899E3A">
            <w:pPr>
              <w:adjustRightInd w:val="0"/>
              <w:snapToGrid w:val="0"/>
              <w:spacing w:line="360" w:lineRule="auto"/>
              <w:ind w:firstLine="420" w:firstLineChars="200"/>
              <w:rPr>
                <w:rFonts w:hint="eastAsia" w:cs="Times New Roman"/>
                <w:color w:val="auto"/>
                <w:szCs w:val="21"/>
                <w:highlight w:val="none"/>
                <w:lang w:val="en-US" w:eastAsia="zh-CN"/>
              </w:rPr>
            </w:pPr>
            <w:r>
              <w:rPr>
                <w:rFonts w:hint="eastAsia" w:cs="Times New Roman"/>
                <w:color w:val="auto"/>
                <w:kern w:val="0"/>
                <w:sz w:val="21"/>
                <w:szCs w:val="21"/>
                <w:highlight w:val="none"/>
                <w:lang w:val="en-US" w:eastAsia="zh-CN"/>
              </w:rPr>
              <w:t>本</w:t>
            </w:r>
            <w:r>
              <w:rPr>
                <w:rFonts w:hint="default" w:ascii="Times New Roman" w:hAnsi="Times New Roman" w:cs="Times New Roman"/>
                <w:color w:val="auto"/>
                <w:kern w:val="0"/>
                <w:sz w:val="21"/>
                <w:szCs w:val="21"/>
                <w:highlight w:val="none"/>
              </w:rPr>
              <w:t>项目位于</w:t>
            </w:r>
            <w:r>
              <w:rPr>
                <w:rFonts w:hint="eastAsia" w:cs="Times New Roman"/>
                <w:color w:val="auto"/>
                <w:kern w:val="0"/>
                <w:sz w:val="21"/>
                <w:szCs w:val="21"/>
                <w:highlight w:val="none"/>
                <w:lang w:val="en-US" w:eastAsia="zh-CN"/>
              </w:rPr>
              <w:t>山东省淄博市淄博经济开发区傅家镇李家工业园</w:t>
            </w:r>
            <w:r>
              <w:rPr>
                <w:rFonts w:hint="eastAsia"/>
                <w:color w:val="auto"/>
                <w:highlight w:val="none"/>
                <w:lang w:val="en-US" w:eastAsia="zh-CN"/>
              </w:rPr>
              <w:t>，在现有厂房进行技改，该厂房占地面积为1300m</w:t>
            </w:r>
            <w:r>
              <w:rPr>
                <w:rFonts w:hint="eastAsia"/>
                <w:color w:val="auto"/>
                <w:highlight w:val="none"/>
                <w:vertAlign w:val="superscript"/>
                <w:lang w:val="en-US" w:eastAsia="zh-CN"/>
              </w:rPr>
              <w:t>2</w:t>
            </w:r>
            <w:r>
              <w:rPr>
                <w:rFonts w:hint="eastAsia"/>
                <w:color w:val="auto"/>
                <w:highlight w:val="none"/>
                <w:lang w:val="en-US" w:eastAsia="zh-CN"/>
              </w:rPr>
              <w:t>，</w:t>
            </w:r>
            <w:r>
              <w:rPr>
                <w:rFonts w:hint="eastAsia" w:ascii="Times New Roman" w:hAnsi="Times New Roman" w:cs="Times New Roman"/>
                <w:color w:val="auto"/>
                <w:sz w:val="21"/>
                <w:szCs w:val="21"/>
                <w:highlight w:val="none"/>
                <w:lang w:val="en-US" w:eastAsia="zh-CN"/>
              </w:rPr>
              <w:t>根据附图5淄博市国土空间总体规划（2021-2035年）-市域国土空间控制线规划图可知，该项目位于城镇开发边界内，</w:t>
            </w:r>
            <w:r>
              <w:rPr>
                <w:rFonts w:hint="eastAsia"/>
                <w:color w:val="auto"/>
                <w:highlight w:val="none"/>
                <w:lang w:val="en-US" w:eastAsia="zh-CN"/>
              </w:rPr>
              <w:t>根据附图6 淄博市国土空间总体规划（2021-2035年）-中心城区土地使用规划图可知，项目位置属于工业用地，</w:t>
            </w:r>
            <w:r>
              <w:rPr>
                <w:rFonts w:hint="eastAsia" w:cs="Times New Roman"/>
                <w:color w:val="auto"/>
                <w:szCs w:val="21"/>
                <w:highlight w:val="none"/>
                <w:lang w:val="en-US" w:eastAsia="zh-CN"/>
              </w:rPr>
              <w:t>符合土地规划要求。</w:t>
            </w:r>
          </w:p>
          <w:p w14:paraId="5CDB1E3D">
            <w:pPr>
              <w:adjustRightInd w:val="0"/>
              <w:snapToGrid w:val="0"/>
              <w:spacing w:line="360" w:lineRule="auto"/>
              <w:ind w:firstLine="420" w:firstLineChars="200"/>
              <w:rPr>
                <w:rFonts w:hint="eastAsia" w:ascii="Times New Roman" w:hAnsi="Times New Roman" w:eastAsia="宋体" w:cs="Times New Roman"/>
                <w:color w:val="auto"/>
                <w:kern w:val="0"/>
                <w:sz w:val="21"/>
                <w:szCs w:val="21"/>
                <w:lang w:eastAsia="zh-CN"/>
              </w:rPr>
            </w:pPr>
            <w:r>
              <w:rPr>
                <w:rFonts w:hint="default" w:ascii="Times New Roman" w:hAnsi="Times New Roman" w:cs="Times New Roman"/>
                <w:color w:val="auto"/>
                <w:highlight w:val="none"/>
              </w:rPr>
              <w:t>本项目用地不属于</w:t>
            </w:r>
            <w:r>
              <w:rPr>
                <w:rFonts w:hint="eastAsia" w:cs="Times New Roman"/>
                <w:color w:val="auto"/>
                <w:highlight w:val="none"/>
                <w:lang w:eastAsia="zh-CN"/>
              </w:rPr>
              <w:t>《自然资源要素支撑产业高质量发展指导目录（2024年本）》</w:t>
            </w:r>
            <w:r>
              <w:rPr>
                <w:rFonts w:hint="default" w:ascii="Times New Roman" w:hAnsi="Times New Roman" w:cs="Times New Roman"/>
                <w:color w:val="auto"/>
                <w:highlight w:val="none"/>
              </w:rPr>
              <w:t>（自然资发〔2024〕273号）中相应用地，不属于《</w:t>
            </w:r>
            <w:r>
              <w:rPr>
                <w:rFonts w:hint="default" w:ascii="Times New Roman" w:hAnsi="Times New Roman" w:eastAsia="宋体" w:cs="Times New Roman"/>
                <w:color w:val="auto"/>
              </w:rPr>
              <w:t>山东省禁止限制供地项目目录及建设用地集约利用控制标准》中山东省禁止、限制供地项目用地</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选址符合要求</w:t>
            </w:r>
            <w:r>
              <w:rPr>
                <w:rFonts w:hint="eastAsia" w:cs="Times New Roman"/>
                <w:color w:val="auto"/>
                <w:kern w:val="0"/>
                <w:sz w:val="21"/>
                <w:szCs w:val="21"/>
                <w:lang w:val="en-US" w:eastAsia="zh-CN"/>
              </w:rPr>
              <w:t>。</w:t>
            </w:r>
          </w:p>
          <w:p w14:paraId="070591E8">
            <w:pPr>
              <w:pStyle w:val="78"/>
              <w:adjustRightInd w:val="0"/>
              <w:snapToGrid w:val="0"/>
              <w:spacing w:before="0" w:beforeAutospacing="0" w:after="0" w:afterAutospacing="0" w:line="360" w:lineRule="auto"/>
              <w:ind w:firstLine="420" w:firstLineChars="200"/>
              <w:jc w:val="both"/>
              <w:rPr>
                <w:rFonts w:ascii="Times New Roman" w:hAnsi="Times New Roman"/>
                <w:color w:val="auto"/>
                <w:sz w:val="21"/>
                <w:szCs w:val="21"/>
              </w:rPr>
            </w:pPr>
            <w:r>
              <w:rPr>
                <w:rFonts w:ascii="Times New Roman" w:hAnsi="Times New Roman"/>
                <w:color w:val="auto"/>
                <w:sz w:val="21"/>
                <w:szCs w:val="21"/>
              </w:rPr>
              <w:t>3、环保政策符合性分析</w:t>
            </w:r>
          </w:p>
          <w:p w14:paraId="44EB133D">
            <w:pPr>
              <w:tabs>
                <w:tab w:val="left" w:pos="5427"/>
              </w:tabs>
              <w:adjustRightInd w:val="0"/>
              <w:snapToGrid w:val="0"/>
              <w:spacing w:line="360" w:lineRule="auto"/>
              <w:ind w:firstLine="420" w:firstLineChars="200"/>
              <w:rPr>
                <w:color w:val="auto"/>
              </w:rPr>
            </w:pPr>
            <w:r>
              <w:rPr>
                <w:bCs/>
                <w:color w:val="auto"/>
              </w:rPr>
              <w:t>（1）</w:t>
            </w:r>
            <w:r>
              <w:rPr>
                <w:color w:val="auto"/>
              </w:rPr>
              <w:t>与《关于做好环境影响评价制度与排污许可制衔接相关工作的通知》（环办环评[2017]84号）的符合性分析</w:t>
            </w:r>
          </w:p>
          <w:p w14:paraId="2DBB12A9">
            <w:pPr>
              <w:adjustRightInd w:val="0"/>
              <w:snapToGrid w:val="0"/>
              <w:spacing w:line="360" w:lineRule="auto"/>
              <w:jc w:val="center"/>
              <w:rPr>
                <w:b/>
                <w:color w:val="auto"/>
              </w:rPr>
            </w:pPr>
            <w:r>
              <w:rPr>
                <w:b/>
                <w:color w:val="auto"/>
              </w:rPr>
              <w:t>表1-</w:t>
            </w:r>
            <w:r>
              <w:rPr>
                <w:rFonts w:hint="eastAsia"/>
                <w:b/>
                <w:color w:val="auto"/>
                <w:lang w:val="en-US" w:eastAsia="zh-CN"/>
              </w:rPr>
              <w:t>4</w:t>
            </w:r>
            <w:r>
              <w:rPr>
                <w:b/>
                <w:color w:val="auto"/>
              </w:rPr>
              <w:t>项目与环办环评[2017]84号文件符合性分析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72"/>
              <w:gridCol w:w="2551"/>
              <w:gridCol w:w="608"/>
            </w:tblGrid>
            <w:tr w14:paraId="1CCDB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70DBD331">
                  <w:pPr>
                    <w:pStyle w:val="200"/>
                    <w:spacing w:before="24" w:after="24"/>
                    <w:rPr>
                      <w:rFonts w:ascii="Times New Roman"/>
                      <w:b/>
                      <w:bCs/>
                      <w:color w:val="auto"/>
                      <w:sz w:val="18"/>
                      <w:szCs w:val="18"/>
                    </w:rPr>
                  </w:pPr>
                  <w:r>
                    <w:rPr>
                      <w:rFonts w:ascii="Times New Roman"/>
                      <w:b/>
                      <w:bCs/>
                      <w:color w:val="auto"/>
                      <w:sz w:val="18"/>
                      <w:szCs w:val="18"/>
                    </w:rPr>
                    <w:t>文件要求</w:t>
                  </w:r>
                </w:p>
              </w:tc>
              <w:tc>
                <w:tcPr>
                  <w:tcW w:w="2847" w:type="dxa"/>
                  <w:vAlign w:val="center"/>
                </w:tcPr>
                <w:p w14:paraId="2B5D528C">
                  <w:pPr>
                    <w:pStyle w:val="200"/>
                    <w:spacing w:before="24" w:after="24"/>
                    <w:rPr>
                      <w:rFonts w:ascii="Times New Roman"/>
                      <w:b/>
                      <w:bCs/>
                      <w:color w:val="auto"/>
                      <w:sz w:val="18"/>
                      <w:szCs w:val="18"/>
                    </w:rPr>
                  </w:pPr>
                  <w:r>
                    <w:rPr>
                      <w:rFonts w:ascii="Times New Roman"/>
                      <w:b/>
                      <w:bCs/>
                      <w:color w:val="auto"/>
                      <w:sz w:val="18"/>
                      <w:szCs w:val="18"/>
                    </w:rPr>
                    <w:t>项目情况</w:t>
                  </w:r>
                </w:p>
              </w:tc>
              <w:tc>
                <w:tcPr>
                  <w:tcW w:w="644" w:type="dxa"/>
                  <w:tcMar>
                    <w:left w:w="28" w:type="dxa"/>
                    <w:right w:w="28" w:type="dxa"/>
                  </w:tcMar>
                  <w:vAlign w:val="center"/>
                </w:tcPr>
                <w:p w14:paraId="43D9AAD1">
                  <w:pPr>
                    <w:pStyle w:val="200"/>
                    <w:spacing w:before="24" w:after="24"/>
                    <w:rPr>
                      <w:rFonts w:ascii="Times New Roman"/>
                      <w:b/>
                      <w:bCs/>
                      <w:color w:val="auto"/>
                      <w:sz w:val="18"/>
                      <w:szCs w:val="18"/>
                    </w:rPr>
                  </w:pPr>
                  <w:r>
                    <w:rPr>
                      <w:rFonts w:ascii="Times New Roman"/>
                      <w:b/>
                      <w:bCs/>
                      <w:color w:val="auto"/>
                      <w:sz w:val="18"/>
                      <w:szCs w:val="18"/>
                    </w:rPr>
                    <w:t>符合性</w:t>
                  </w:r>
                </w:p>
              </w:tc>
            </w:tr>
            <w:tr w14:paraId="29870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39135BCE">
                  <w:pPr>
                    <w:pStyle w:val="200"/>
                    <w:spacing w:before="24" w:after="24"/>
                    <w:rPr>
                      <w:rFonts w:ascii="Times New Roman"/>
                      <w:color w:val="auto"/>
                      <w:sz w:val="18"/>
                      <w:szCs w:val="18"/>
                    </w:rPr>
                  </w:pPr>
                  <w:r>
                    <w:rPr>
                      <w:rFonts w:ascii="Times New Roman"/>
                      <w:color w:val="auto"/>
                      <w:sz w:val="18"/>
                      <w:szCs w:val="18"/>
                    </w:rPr>
                    <w:t>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tc>
              <w:tc>
                <w:tcPr>
                  <w:tcW w:w="2847" w:type="dxa"/>
                  <w:vAlign w:val="center"/>
                </w:tcPr>
                <w:p w14:paraId="54007E66">
                  <w:pPr>
                    <w:pStyle w:val="200"/>
                    <w:spacing w:before="24" w:after="24"/>
                    <w:rPr>
                      <w:rFonts w:ascii="Times New Roman"/>
                      <w:color w:val="auto"/>
                      <w:sz w:val="18"/>
                      <w:szCs w:val="18"/>
                      <w:highlight w:val="yellow"/>
                    </w:rPr>
                  </w:pPr>
                  <w:r>
                    <w:rPr>
                      <w:rFonts w:ascii="Times New Roman"/>
                      <w:color w:val="auto"/>
                      <w:sz w:val="18"/>
                      <w:szCs w:val="18"/>
                    </w:rPr>
                    <w:t>本次环评根据环境影响评价要素导则严格核定了产排污环节、污染物种类及污染防治设施和措施、排放口数量、位置以及每个排放口的污染物种类、允许排放浓度和允许排放量、排放方式、排放去向、自行监测计划等与污染物排放相关的主要内容；污染物排放均依据国家相应标准要求进行核算。</w:t>
                  </w:r>
                </w:p>
              </w:tc>
              <w:tc>
                <w:tcPr>
                  <w:tcW w:w="644" w:type="dxa"/>
                  <w:vAlign w:val="center"/>
                </w:tcPr>
                <w:p w14:paraId="36D17B3C">
                  <w:pPr>
                    <w:pStyle w:val="200"/>
                    <w:spacing w:before="24" w:after="24"/>
                    <w:rPr>
                      <w:rFonts w:ascii="Times New Roman"/>
                      <w:color w:val="auto"/>
                      <w:sz w:val="18"/>
                      <w:szCs w:val="18"/>
                    </w:rPr>
                  </w:pPr>
                  <w:r>
                    <w:rPr>
                      <w:rFonts w:ascii="Times New Roman"/>
                      <w:color w:val="auto"/>
                      <w:sz w:val="18"/>
                      <w:szCs w:val="18"/>
                    </w:rPr>
                    <w:t>符合</w:t>
                  </w:r>
                </w:p>
              </w:tc>
            </w:tr>
            <w:tr w14:paraId="01B66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0EC90C36">
                  <w:pPr>
                    <w:rPr>
                      <w:rFonts w:ascii="Times New Roman"/>
                      <w:color w:val="auto"/>
                      <w:sz w:val="18"/>
                      <w:szCs w:val="18"/>
                    </w:rPr>
                  </w:pPr>
                  <w:r>
                    <w:rPr>
                      <w:rFonts w:hint="eastAsia"/>
                      <w:color w:val="auto"/>
                      <w:sz w:val="18"/>
                      <w:szCs w:val="18"/>
                      <w:highlight w:val="none"/>
                    </w:rPr>
                    <w:t>做好《建设项目环境影响评价分类管理名录》和《固定污染源排污许可分类管理名录》的衔接，按照建设项目对环境的影响程度、污染物产生量和排放量，实行统一分类管理。纳入排污许可管理的建设项目，可能造成重大环境影响、应当编制环境影响报告书的，原则上实行排污许可重点管理；可能造成轻度环境影响、应当编制环境影响报告表的，原则上实行排污许可简化管理。</w:t>
                  </w:r>
                </w:p>
              </w:tc>
              <w:tc>
                <w:tcPr>
                  <w:tcW w:w="2847" w:type="dxa"/>
                  <w:vAlign w:val="center"/>
                </w:tcPr>
                <w:p w14:paraId="0D795D81">
                  <w:pPr>
                    <w:rPr>
                      <w:rFonts w:ascii="Times New Roman"/>
                      <w:color w:val="auto"/>
                      <w:sz w:val="18"/>
                      <w:szCs w:val="18"/>
                    </w:rPr>
                  </w:pPr>
                  <w:r>
                    <w:rPr>
                      <w:rFonts w:hint="default"/>
                      <w:color w:val="auto"/>
                      <w:sz w:val="18"/>
                      <w:szCs w:val="18"/>
                      <w:highlight w:val="none"/>
                      <w:lang w:val="en-US" w:eastAsia="zh-CN"/>
                    </w:rPr>
                    <w:t>企业</w:t>
                  </w:r>
                  <w:r>
                    <w:rPr>
                      <w:rFonts w:hint="eastAsia"/>
                      <w:color w:val="auto"/>
                      <w:sz w:val="18"/>
                      <w:szCs w:val="18"/>
                      <w:highlight w:val="none"/>
                      <w:lang w:val="en-US" w:eastAsia="zh-CN"/>
                    </w:rPr>
                    <w:t>现有项目</w:t>
                  </w:r>
                  <w:r>
                    <w:rPr>
                      <w:rFonts w:hint="default"/>
                      <w:color w:val="auto"/>
                      <w:sz w:val="18"/>
                      <w:szCs w:val="18"/>
                      <w:highlight w:val="none"/>
                      <w:lang w:val="en-US" w:eastAsia="zh-CN"/>
                    </w:rPr>
                    <w:t>实行排污许可</w:t>
                  </w:r>
                  <w:r>
                    <w:rPr>
                      <w:rFonts w:hint="eastAsia"/>
                      <w:color w:val="auto"/>
                      <w:sz w:val="18"/>
                      <w:szCs w:val="18"/>
                      <w:highlight w:val="none"/>
                      <w:lang w:val="en-US" w:eastAsia="zh-CN"/>
                    </w:rPr>
                    <w:t>排污</w:t>
                  </w:r>
                  <w:r>
                    <w:rPr>
                      <w:rFonts w:hint="default"/>
                      <w:color w:val="auto"/>
                      <w:sz w:val="18"/>
                      <w:szCs w:val="18"/>
                      <w:highlight w:val="none"/>
                      <w:lang w:val="en-US" w:eastAsia="zh-CN"/>
                    </w:rPr>
                    <w:t>管理，</w:t>
                  </w:r>
                  <w:r>
                    <w:rPr>
                      <w:rFonts w:hint="eastAsia"/>
                      <w:color w:val="auto"/>
                      <w:sz w:val="18"/>
                      <w:szCs w:val="18"/>
                      <w:highlight w:val="none"/>
                      <w:lang w:val="en-US" w:eastAsia="zh-CN"/>
                    </w:rPr>
                    <w:t>本项目</w:t>
                  </w:r>
                  <w:r>
                    <w:rPr>
                      <w:rFonts w:hint="eastAsia"/>
                      <w:color w:val="auto"/>
                      <w:sz w:val="18"/>
                      <w:szCs w:val="18"/>
                      <w:highlight w:val="none"/>
                      <w:lang w:eastAsia="zh-CN"/>
                    </w:rPr>
                    <w:t>属于</w:t>
                  </w:r>
                  <w:r>
                    <w:rPr>
                      <w:rFonts w:hint="eastAsia"/>
                      <w:color w:val="auto"/>
                      <w:sz w:val="18"/>
                      <w:szCs w:val="18"/>
                      <w:highlight w:val="none"/>
                      <w:lang w:val="en-US" w:eastAsia="zh-CN"/>
                    </w:rPr>
                    <w:t>C3985电子专用材料制造，属于排污登记管理</w:t>
                  </w:r>
                  <w:r>
                    <w:rPr>
                      <w:rFonts w:hint="default"/>
                      <w:color w:val="auto"/>
                      <w:sz w:val="18"/>
                      <w:szCs w:val="18"/>
                      <w:highlight w:val="none"/>
                      <w:lang w:val="en-US"/>
                    </w:rPr>
                    <w:t>。</w:t>
                  </w:r>
                </w:p>
              </w:tc>
              <w:tc>
                <w:tcPr>
                  <w:tcW w:w="644" w:type="dxa"/>
                  <w:vAlign w:val="center"/>
                </w:tcPr>
                <w:p w14:paraId="301059D7">
                  <w:pPr>
                    <w:pStyle w:val="200"/>
                    <w:spacing w:before="24" w:after="24"/>
                    <w:rPr>
                      <w:rFonts w:ascii="Times New Roman"/>
                      <w:color w:val="auto"/>
                      <w:sz w:val="18"/>
                      <w:szCs w:val="18"/>
                    </w:rPr>
                  </w:pPr>
                  <w:r>
                    <w:rPr>
                      <w:rFonts w:ascii="Times New Roman"/>
                      <w:color w:val="auto"/>
                      <w:sz w:val="18"/>
                      <w:szCs w:val="18"/>
                    </w:rPr>
                    <w:t>符合</w:t>
                  </w:r>
                </w:p>
              </w:tc>
            </w:tr>
          </w:tbl>
          <w:p w14:paraId="612907D3">
            <w:pPr>
              <w:adjustRightInd w:val="0"/>
              <w:snapToGrid w:val="0"/>
              <w:ind w:firstLine="420" w:firstLineChars="200"/>
              <w:jc w:val="left"/>
              <w:rPr>
                <w:b/>
                <w:bCs/>
                <w:color w:val="auto"/>
                <w:highlight w:val="none"/>
              </w:rPr>
            </w:pPr>
            <w:r>
              <w:rPr>
                <w:rFonts w:hint="eastAsia" w:ascii="Times New Roman" w:hAnsi="Times New Roman" w:eastAsia="宋体" w:cs="Times New Roman"/>
                <w:bCs/>
                <w:color w:val="auto"/>
                <w:lang w:eastAsia="zh-CN"/>
              </w:rPr>
              <w:t>（</w:t>
            </w:r>
            <w:r>
              <w:rPr>
                <w:rFonts w:hint="eastAsia" w:ascii="Times New Roman" w:hAnsi="Times New Roman" w:eastAsia="宋体" w:cs="Times New Roman"/>
                <w:bCs/>
                <w:color w:val="auto"/>
                <w:lang w:val="en-US" w:eastAsia="zh-CN"/>
              </w:rPr>
              <w:t>2</w:t>
            </w:r>
            <w:r>
              <w:rPr>
                <w:rFonts w:hint="eastAsia" w:ascii="Times New Roman" w:hAnsi="Times New Roman" w:eastAsia="宋体" w:cs="Times New Roman"/>
                <w:bCs/>
                <w:color w:val="auto"/>
                <w:lang w:eastAsia="zh-CN"/>
              </w:rPr>
              <w:t>）</w:t>
            </w:r>
            <w:r>
              <w:rPr>
                <w:rFonts w:hint="eastAsia" w:ascii="Times New Roman" w:hAnsi="Times New Roman" w:eastAsia="宋体" w:cs="Times New Roman"/>
                <w:bCs/>
                <w:color w:val="auto"/>
              </w:rPr>
              <w:t>与《山东省环境保护条例》（2018.11.30修订）的符合性分析</w:t>
            </w:r>
          </w:p>
          <w:p w14:paraId="105D77FD">
            <w:pPr>
              <w:adjustRightInd w:val="0"/>
              <w:snapToGrid w:val="0"/>
              <w:spacing w:line="360" w:lineRule="auto"/>
              <w:jc w:val="center"/>
              <w:rPr>
                <w:rFonts w:hint="eastAsia" w:ascii="Times New Roman" w:hAnsi="Times New Roman" w:eastAsia="宋体" w:cs="Times New Roman"/>
                <w:b/>
                <w:color w:val="auto"/>
              </w:rPr>
            </w:pPr>
            <w:r>
              <w:rPr>
                <w:rFonts w:hint="eastAsia" w:ascii="Times New Roman" w:hAnsi="Times New Roman" w:eastAsia="宋体" w:cs="Times New Roman"/>
                <w:b/>
                <w:color w:val="auto"/>
              </w:rPr>
              <w:t>表1-</w:t>
            </w:r>
            <w:r>
              <w:rPr>
                <w:rFonts w:hint="eastAsia" w:cs="Times New Roman"/>
                <w:b/>
                <w:color w:val="auto"/>
                <w:lang w:val="en-US" w:eastAsia="zh-CN"/>
              </w:rPr>
              <w:t>5</w:t>
            </w:r>
            <w:r>
              <w:rPr>
                <w:rFonts w:hint="eastAsia" w:ascii="Times New Roman" w:hAnsi="Times New Roman" w:eastAsia="宋体" w:cs="Times New Roman"/>
                <w:b/>
                <w:color w:val="auto"/>
              </w:rPr>
              <w:t xml:space="preserve"> 符合性分析一览表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8"/>
              <w:gridCol w:w="3813"/>
              <w:gridCol w:w="1815"/>
              <w:gridCol w:w="822"/>
            </w:tblGrid>
            <w:tr w14:paraId="63F75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5" w:type="dxa"/>
                  <w:noWrap w:val="0"/>
                  <w:vAlign w:val="center"/>
                </w:tcPr>
                <w:p w14:paraId="03BA6831">
                  <w:pPr>
                    <w:jc w:val="center"/>
                    <w:rPr>
                      <w:rFonts w:hint="eastAsia" w:ascii="宋体" w:hAnsi="宋体" w:cs="宋体"/>
                      <w:b/>
                      <w:bCs/>
                      <w:color w:val="auto"/>
                      <w:sz w:val="18"/>
                      <w:szCs w:val="18"/>
                      <w:highlight w:val="none"/>
                    </w:rPr>
                  </w:pPr>
                  <w:r>
                    <w:rPr>
                      <w:rFonts w:hint="eastAsia" w:ascii="宋体" w:hAnsi="宋体" w:cs="宋体"/>
                      <w:b/>
                      <w:bCs/>
                      <w:color w:val="auto"/>
                      <w:sz w:val="18"/>
                      <w:szCs w:val="18"/>
                      <w:highlight w:val="none"/>
                    </w:rPr>
                    <w:t>分类</w:t>
                  </w:r>
                </w:p>
              </w:tc>
              <w:tc>
                <w:tcPr>
                  <w:tcW w:w="4378" w:type="dxa"/>
                  <w:noWrap w:val="0"/>
                  <w:vAlign w:val="center"/>
                </w:tcPr>
                <w:p w14:paraId="286F56B2">
                  <w:pPr>
                    <w:jc w:val="center"/>
                    <w:rPr>
                      <w:rFonts w:hint="eastAsia" w:ascii="宋体" w:hAnsi="宋体" w:cs="宋体"/>
                      <w:b/>
                      <w:bCs/>
                      <w:color w:val="auto"/>
                      <w:sz w:val="18"/>
                      <w:szCs w:val="18"/>
                      <w:highlight w:val="none"/>
                    </w:rPr>
                  </w:pPr>
                  <w:r>
                    <w:rPr>
                      <w:rFonts w:hint="eastAsia" w:ascii="宋体" w:hAnsi="宋体" w:cs="宋体"/>
                      <w:b/>
                      <w:bCs/>
                      <w:color w:val="auto"/>
                      <w:sz w:val="18"/>
                      <w:szCs w:val="18"/>
                      <w:highlight w:val="none"/>
                    </w:rPr>
                    <w:t>文件要求</w:t>
                  </w:r>
                </w:p>
              </w:tc>
              <w:tc>
                <w:tcPr>
                  <w:tcW w:w="2031" w:type="dxa"/>
                  <w:shd w:val="clear" w:color="auto" w:fill="auto"/>
                  <w:noWrap w:val="0"/>
                  <w:vAlign w:val="center"/>
                </w:tcPr>
                <w:p w14:paraId="771905B4">
                  <w:pPr>
                    <w:pStyle w:val="200"/>
                    <w:spacing w:before="24" w:after="24"/>
                    <w:rPr>
                      <w:rFonts w:hint="eastAsia" w:ascii="Times New Roman" w:hAnsi="Times New Roman" w:eastAsia="宋体" w:cs="Times New Roman"/>
                      <w:b/>
                      <w:bCs/>
                      <w:color w:val="auto"/>
                      <w:kern w:val="0"/>
                      <w:sz w:val="18"/>
                      <w:szCs w:val="18"/>
                      <w:lang w:val="en-US" w:eastAsia="zh-CN" w:bidi="ar-SA"/>
                    </w:rPr>
                  </w:pPr>
                  <w:r>
                    <w:rPr>
                      <w:rFonts w:ascii="Times New Roman"/>
                      <w:b/>
                      <w:bCs/>
                      <w:color w:val="auto"/>
                      <w:sz w:val="18"/>
                      <w:szCs w:val="18"/>
                    </w:rPr>
                    <w:t>项目情况</w:t>
                  </w:r>
                </w:p>
              </w:tc>
              <w:tc>
                <w:tcPr>
                  <w:tcW w:w="895" w:type="dxa"/>
                  <w:shd w:val="clear" w:color="auto" w:fill="auto"/>
                  <w:noWrap w:val="0"/>
                  <w:vAlign w:val="center"/>
                </w:tcPr>
                <w:p w14:paraId="7A9E975C">
                  <w:pPr>
                    <w:pStyle w:val="200"/>
                    <w:spacing w:before="24" w:after="24"/>
                    <w:rPr>
                      <w:rFonts w:hint="eastAsia" w:ascii="Times New Roman" w:hAnsi="Times New Roman" w:eastAsia="宋体" w:cs="Times New Roman"/>
                      <w:b/>
                      <w:bCs/>
                      <w:color w:val="auto"/>
                      <w:kern w:val="0"/>
                      <w:sz w:val="18"/>
                      <w:szCs w:val="18"/>
                      <w:lang w:val="en-US" w:eastAsia="zh-CN" w:bidi="ar-SA"/>
                    </w:rPr>
                  </w:pPr>
                  <w:r>
                    <w:rPr>
                      <w:rFonts w:ascii="Times New Roman"/>
                      <w:b/>
                      <w:bCs/>
                      <w:color w:val="auto"/>
                      <w:sz w:val="18"/>
                      <w:szCs w:val="18"/>
                    </w:rPr>
                    <w:t>符合性</w:t>
                  </w:r>
                </w:p>
              </w:tc>
            </w:tr>
            <w:tr w14:paraId="13E07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845" w:type="dxa"/>
                  <w:vMerge w:val="restart"/>
                  <w:noWrap w:val="0"/>
                  <w:vAlign w:val="center"/>
                </w:tcPr>
                <w:p w14:paraId="5A6EC43A">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防治污染和其他公害</w:t>
                  </w:r>
                </w:p>
              </w:tc>
              <w:tc>
                <w:tcPr>
                  <w:tcW w:w="4378" w:type="dxa"/>
                  <w:noWrap w:val="0"/>
                  <w:vAlign w:val="center"/>
                </w:tcPr>
                <w:p w14:paraId="33F0DFCC">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县级以上人民政府应当根据产业结构调整和产业布局优化的要求，引导工业企业入驻工业园区；新建有污染物排放的工业项目，除在安全生产等方面有特殊要求的以外，应当进入工业园区或者</w:t>
                  </w:r>
                  <w:r>
                    <w:rPr>
                      <w:rFonts w:hint="eastAsia" w:ascii="宋体" w:hAnsi="宋体" w:cs="宋体"/>
                      <w:color w:val="auto"/>
                      <w:sz w:val="18"/>
                      <w:szCs w:val="18"/>
                      <w:highlight w:val="none"/>
                      <w:lang w:eastAsia="zh-CN"/>
                    </w:rPr>
                    <w:t>工业聚集区</w:t>
                  </w:r>
                  <w:r>
                    <w:rPr>
                      <w:rFonts w:hint="eastAsia" w:ascii="宋体" w:hAnsi="宋体" w:cs="宋体"/>
                      <w:color w:val="auto"/>
                      <w:sz w:val="18"/>
                      <w:szCs w:val="18"/>
                      <w:highlight w:val="none"/>
                    </w:rPr>
                    <w:t>。</w:t>
                  </w:r>
                </w:p>
              </w:tc>
              <w:tc>
                <w:tcPr>
                  <w:tcW w:w="2031" w:type="dxa"/>
                  <w:noWrap w:val="0"/>
                  <w:vAlign w:val="center"/>
                </w:tcPr>
                <w:p w14:paraId="611C25B9">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本项目位于淄博经济开发区</w:t>
                  </w:r>
                  <w:r>
                    <w:rPr>
                      <w:rFonts w:hint="eastAsia" w:ascii="宋体" w:hAnsi="宋体" w:cs="宋体"/>
                      <w:color w:val="auto"/>
                      <w:sz w:val="18"/>
                      <w:szCs w:val="18"/>
                      <w:highlight w:val="none"/>
                      <w:lang w:val="en-US" w:eastAsia="zh-CN"/>
                    </w:rPr>
                    <w:t>济淄科创大走廊傅家产业园</w:t>
                  </w:r>
                  <w:r>
                    <w:rPr>
                      <w:rFonts w:hint="eastAsia" w:ascii="宋体" w:hAnsi="宋体" w:cs="宋体"/>
                      <w:color w:val="auto"/>
                      <w:sz w:val="18"/>
                      <w:szCs w:val="18"/>
                      <w:highlight w:val="none"/>
                    </w:rPr>
                    <w:t>，选址符合文件要求。</w:t>
                  </w:r>
                </w:p>
              </w:tc>
              <w:tc>
                <w:tcPr>
                  <w:tcW w:w="895" w:type="dxa"/>
                  <w:noWrap w:val="0"/>
                  <w:vAlign w:val="center"/>
                </w:tcPr>
                <w:p w14:paraId="271DDED4">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符合</w:t>
                  </w:r>
                </w:p>
              </w:tc>
            </w:tr>
            <w:tr w14:paraId="15B74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5" w:type="dxa"/>
                  <w:vMerge w:val="continue"/>
                  <w:noWrap w:val="0"/>
                  <w:vAlign w:val="center"/>
                </w:tcPr>
                <w:p w14:paraId="524AD25C">
                  <w:pPr>
                    <w:jc w:val="center"/>
                    <w:rPr>
                      <w:rFonts w:hint="eastAsia" w:ascii="宋体" w:hAnsi="宋体" w:cs="宋体"/>
                      <w:color w:val="auto"/>
                      <w:sz w:val="18"/>
                      <w:szCs w:val="18"/>
                      <w:highlight w:val="none"/>
                    </w:rPr>
                  </w:pPr>
                </w:p>
              </w:tc>
              <w:tc>
                <w:tcPr>
                  <w:tcW w:w="4378" w:type="dxa"/>
                  <w:noWrap w:val="0"/>
                  <w:vAlign w:val="center"/>
                </w:tcPr>
                <w:p w14:paraId="397190CE">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排污单位应当采取措施，防治在生产建设或者其他活动中产生的废气、废水、废渣、医疗废物、颗粒物、恶臭气体、放射性物质以及噪声、振动、光辐射、电磁辐射等对环境的污染和危害，其污染排放不得超过排放标准和重点污染物排放总量控制指标。</w:t>
                  </w:r>
                </w:p>
              </w:tc>
              <w:tc>
                <w:tcPr>
                  <w:tcW w:w="2031" w:type="dxa"/>
                  <w:noWrap w:val="0"/>
                  <w:vAlign w:val="center"/>
                </w:tcPr>
                <w:p w14:paraId="521C3706">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本项目污染物排放经环保设施处理后可满足要求；正式投产</w:t>
                  </w:r>
                  <w:r>
                    <w:rPr>
                      <w:rFonts w:hint="eastAsia" w:ascii="宋体" w:hAnsi="宋体" w:cs="宋体"/>
                      <w:color w:val="auto"/>
                      <w:sz w:val="18"/>
                      <w:szCs w:val="18"/>
                      <w:highlight w:val="none"/>
                      <w:lang w:val="en-US" w:eastAsia="zh-CN"/>
                    </w:rPr>
                    <w:t>后严格落实主要污染物总量控制</w:t>
                  </w:r>
                </w:p>
              </w:tc>
              <w:tc>
                <w:tcPr>
                  <w:tcW w:w="895" w:type="dxa"/>
                  <w:noWrap w:val="0"/>
                  <w:vAlign w:val="center"/>
                </w:tcPr>
                <w:p w14:paraId="0DC3433A">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符合</w:t>
                  </w:r>
                </w:p>
              </w:tc>
            </w:tr>
            <w:tr w14:paraId="7C421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5" w:type="dxa"/>
                  <w:vMerge w:val="continue"/>
                  <w:noWrap w:val="0"/>
                  <w:vAlign w:val="center"/>
                </w:tcPr>
                <w:p w14:paraId="3040DD5C">
                  <w:pPr>
                    <w:jc w:val="center"/>
                    <w:rPr>
                      <w:rFonts w:hint="eastAsia" w:ascii="宋体" w:hAnsi="宋体" w:cs="宋体"/>
                      <w:color w:val="auto"/>
                      <w:sz w:val="18"/>
                      <w:szCs w:val="18"/>
                      <w:highlight w:val="none"/>
                    </w:rPr>
                  </w:pPr>
                </w:p>
              </w:tc>
              <w:tc>
                <w:tcPr>
                  <w:tcW w:w="4378" w:type="dxa"/>
                  <w:noWrap w:val="0"/>
                  <w:vAlign w:val="center"/>
                </w:tcPr>
                <w:p w14:paraId="2BD0142B">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重点排污单位应当按照规定安装污染物排放自动监测设备，并保障其正常运行，不得擅自拆除、停用、改变或者损毁。自动监测设备应当与生态环境主管部门的监控设备联网。重点排污单位由设区的市生态环境主管部门确定，并向社会公布。</w:t>
                  </w:r>
                </w:p>
              </w:tc>
              <w:tc>
                <w:tcPr>
                  <w:tcW w:w="2031" w:type="dxa"/>
                  <w:noWrap w:val="0"/>
                  <w:vAlign w:val="center"/>
                </w:tcPr>
                <w:p w14:paraId="0D6BD5E0">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企业不属于重点排污单位</w:t>
                  </w:r>
                </w:p>
              </w:tc>
              <w:tc>
                <w:tcPr>
                  <w:tcW w:w="895" w:type="dxa"/>
                  <w:noWrap w:val="0"/>
                  <w:vAlign w:val="center"/>
                </w:tcPr>
                <w:p w14:paraId="44E3C030">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符合</w:t>
                  </w:r>
                </w:p>
              </w:tc>
            </w:tr>
            <w:tr w14:paraId="55C51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5" w:type="dxa"/>
                  <w:vMerge w:val="continue"/>
                  <w:noWrap w:val="0"/>
                  <w:vAlign w:val="center"/>
                </w:tcPr>
                <w:p w14:paraId="467D05C1">
                  <w:pPr>
                    <w:jc w:val="center"/>
                    <w:rPr>
                      <w:rFonts w:hint="eastAsia" w:ascii="宋体" w:hAnsi="宋体" w:cs="宋体"/>
                      <w:color w:val="auto"/>
                      <w:sz w:val="18"/>
                      <w:szCs w:val="18"/>
                      <w:highlight w:val="none"/>
                    </w:rPr>
                  </w:pPr>
                </w:p>
              </w:tc>
              <w:tc>
                <w:tcPr>
                  <w:tcW w:w="4378" w:type="dxa"/>
                  <w:noWrap w:val="0"/>
                  <w:vAlign w:val="center"/>
                </w:tcPr>
                <w:p w14:paraId="2A7E6EFE">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各级人民政府及其有关部门应当加强重金属污染防治，确定重点防控的重金属污染地区、行业和企业，加强对涉铅、镉、汞、铬和类金属砷等加工企业的环境监管，推进涉重金属企业的技术改造和集中治理，实现重金属深度处理和循环利用，减少污染排放。禁止在重点防控区域内新建、改建、扩建增加重金属污染物排放总量的建设项目。</w:t>
                  </w:r>
                </w:p>
              </w:tc>
              <w:tc>
                <w:tcPr>
                  <w:tcW w:w="2031" w:type="dxa"/>
                  <w:noWrap w:val="0"/>
                  <w:vAlign w:val="center"/>
                </w:tcPr>
                <w:p w14:paraId="57A5C26B">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本项目不涉及重金属产生及排放</w:t>
                  </w:r>
                </w:p>
              </w:tc>
              <w:tc>
                <w:tcPr>
                  <w:tcW w:w="895" w:type="dxa"/>
                  <w:noWrap w:val="0"/>
                  <w:vAlign w:val="center"/>
                </w:tcPr>
                <w:p w14:paraId="54C91167">
                  <w:pPr>
                    <w:jc w:val="center"/>
                    <w:rPr>
                      <w:rFonts w:hint="eastAsia" w:ascii="宋体" w:hAnsi="宋体" w:cs="宋体"/>
                      <w:color w:val="auto"/>
                      <w:sz w:val="18"/>
                      <w:szCs w:val="18"/>
                      <w:highlight w:val="none"/>
                    </w:rPr>
                  </w:pPr>
                  <w:r>
                    <w:rPr>
                      <w:rFonts w:hint="eastAsia" w:ascii="宋体" w:hAnsi="宋体" w:cs="宋体"/>
                      <w:color w:val="auto"/>
                      <w:sz w:val="18"/>
                      <w:szCs w:val="18"/>
                      <w:highlight w:val="none"/>
                    </w:rPr>
                    <w:t>符合</w:t>
                  </w:r>
                </w:p>
              </w:tc>
            </w:tr>
          </w:tbl>
          <w:p w14:paraId="72C352D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eastAsia="宋体" w:cs="Times New Roman"/>
                <w:bCs/>
                <w:color w:val="auto"/>
                <w:lang w:eastAsia="zh-CN"/>
              </w:rPr>
            </w:pPr>
            <w:r>
              <w:rPr>
                <w:rFonts w:hint="eastAsia" w:ascii="Times New Roman" w:hAnsi="Times New Roman" w:eastAsia="宋体" w:cs="Times New Roman"/>
                <w:bCs/>
                <w:color w:val="auto"/>
                <w:lang w:eastAsia="zh-CN"/>
              </w:rPr>
              <w:t>（</w:t>
            </w:r>
            <w:r>
              <w:rPr>
                <w:rFonts w:hint="eastAsia" w:ascii="Times New Roman" w:hAnsi="Times New Roman" w:eastAsia="宋体" w:cs="Times New Roman"/>
                <w:bCs/>
                <w:color w:val="auto"/>
                <w:lang w:val="en-US" w:eastAsia="zh-CN"/>
              </w:rPr>
              <w:t>3</w:t>
            </w:r>
            <w:r>
              <w:rPr>
                <w:rFonts w:hint="eastAsia" w:ascii="Times New Roman" w:hAnsi="Times New Roman" w:eastAsia="宋体" w:cs="Times New Roman"/>
                <w:bCs/>
                <w:color w:val="auto"/>
                <w:lang w:eastAsia="zh-CN"/>
              </w:rPr>
              <w:t>）与《山东省大气污染防治条例》的相关符合性分析</w:t>
            </w:r>
          </w:p>
          <w:p w14:paraId="1759D85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eastAsia="宋体" w:cs="Times New Roman"/>
                <w:bCs/>
                <w:color w:val="auto"/>
                <w:highlight w:val="none"/>
              </w:rPr>
            </w:pPr>
            <w:r>
              <w:rPr>
                <w:rFonts w:hint="eastAsia" w:ascii="Times New Roman" w:hAnsi="Times New Roman" w:eastAsia="宋体" w:cs="Times New Roman"/>
                <w:bCs/>
                <w:color w:val="auto"/>
                <w:lang w:eastAsia="zh-CN"/>
              </w:rPr>
              <w:t>该项目与《山东省大气污染防治条例》的符合性见下表</w:t>
            </w:r>
            <w:r>
              <w:rPr>
                <w:rFonts w:hint="eastAsia" w:cs="Times New Roman"/>
                <w:bCs/>
                <w:color w:val="auto"/>
                <w:lang w:eastAsia="zh-CN"/>
              </w:rPr>
              <w:t>。</w:t>
            </w:r>
          </w:p>
          <w:p w14:paraId="6D3D56A8">
            <w:pPr>
              <w:adjustRightInd w:val="0"/>
              <w:snapToGrid w:val="0"/>
              <w:spacing w:line="360" w:lineRule="auto"/>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表1-</w:t>
            </w:r>
            <w:r>
              <w:rPr>
                <w:rFonts w:hint="eastAsia" w:cs="Times New Roman"/>
                <w:b/>
                <w:color w:val="auto"/>
                <w:highlight w:val="none"/>
                <w:lang w:val="en-US" w:eastAsia="zh-CN"/>
              </w:rPr>
              <w:t>6</w:t>
            </w:r>
            <w:r>
              <w:rPr>
                <w:rFonts w:hint="default" w:ascii="Times New Roman" w:hAnsi="Times New Roman" w:eastAsia="宋体" w:cs="Times New Roman"/>
                <w:b/>
                <w:color w:val="auto"/>
                <w:highlight w:val="none"/>
              </w:rPr>
              <w:t xml:space="preserve"> 项目与</w:t>
            </w:r>
            <w:r>
              <w:rPr>
                <w:rFonts w:hint="eastAsia" w:cs="Times New Roman"/>
                <w:b/>
                <w:color w:val="auto"/>
                <w:highlight w:val="none"/>
                <w:lang w:eastAsia="zh-CN"/>
              </w:rPr>
              <w:t>《山东省大气污染防治条例》</w:t>
            </w:r>
            <w:r>
              <w:rPr>
                <w:rFonts w:hint="default" w:ascii="Times New Roman" w:hAnsi="Times New Roman" w:eastAsia="宋体" w:cs="Times New Roman"/>
                <w:b/>
                <w:color w:val="auto"/>
                <w:highlight w:val="none"/>
              </w:rPr>
              <w:t>符合情况分析</w:t>
            </w:r>
          </w:p>
          <w:tbl>
            <w:tblPr>
              <w:tblStyle w:val="83"/>
              <w:tblW w:w="499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28" w:type="dxa"/>
                <w:bottom w:w="0" w:type="dxa"/>
                <w:right w:w="28" w:type="dxa"/>
              </w:tblCellMar>
            </w:tblPr>
            <w:tblGrid>
              <w:gridCol w:w="543"/>
              <w:gridCol w:w="3836"/>
              <w:gridCol w:w="2847"/>
            </w:tblGrid>
            <w:tr w14:paraId="2F4BF8F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55" w:hRule="exact"/>
                <w:jc w:val="center"/>
              </w:trPr>
              <w:tc>
                <w:tcPr>
                  <w:tcW w:w="543" w:type="dxa"/>
                  <w:tcBorders>
                    <w:top w:val="single" w:color="auto" w:sz="2" w:space="0"/>
                    <w:left w:val="single" w:color="auto" w:sz="2" w:space="0"/>
                    <w:bottom w:val="single" w:color="auto" w:sz="2" w:space="0"/>
                    <w:right w:val="single" w:color="auto" w:sz="2" w:space="0"/>
                  </w:tcBorders>
                  <w:vAlign w:val="center"/>
                </w:tcPr>
                <w:p w14:paraId="144FDCD4">
                  <w:pPr>
                    <w:pStyle w:val="200"/>
                    <w:spacing w:beforeLines="0" w:afterLines="0" w:line="240" w:lineRule="auto"/>
                    <w:rPr>
                      <w:rFonts w:hint="default" w:ascii="Times New Roman" w:hAnsi="Times New Roman" w:cs="Times New Roman" w:eastAsiaTheme="minorEastAsia"/>
                      <w:b/>
                      <w:bCs/>
                      <w:color w:val="auto"/>
                      <w:sz w:val="18"/>
                      <w:szCs w:val="16"/>
                    </w:rPr>
                  </w:pPr>
                  <w:r>
                    <w:rPr>
                      <w:rFonts w:hint="default" w:ascii="Times New Roman" w:hAnsi="Times New Roman" w:cs="Times New Roman" w:eastAsiaTheme="minorEastAsia"/>
                      <w:b/>
                      <w:bCs/>
                      <w:color w:val="auto"/>
                      <w:sz w:val="18"/>
                      <w:szCs w:val="16"/>
                    </w:rPr>
                    <w:t>序号</w:t>
                  </w:r>
                </w:p>
              </w:tc>
              <w:tc>
                <w:tcPr>
                  <w:tcW w:w="3837" w:type="dxa"/>
                  <w:tcBorders>
                    <w:top w:val="single" w:color="auto" w:sz="2" w:space="0"/>
                    <w:left w:val="single" w:color="auto" w:sz="2" w:space="0"/>
                    <w:bottom w:val="single" w:color="auto" w:sz="2" w:space="0"/>
                    <w:right w:val="single" w:color="auto" w:sz="2" w:space="0"/>
                  </w:tcBorders>
                  <w:vAlign w:val="center"/>
                </w:tcPr>
                <w:p w14:paraId="6BF4B4C8">
                  <w:pPr>
                    <w:pStyle w:val="200"/>
                    <w:spacing w:beforeLines="0" w:afterLines="0" w:line="240" w:lineRule="auto"/>
                    <w:rPr>
                      <w:rFonts w:hint="default" w:ascii="Times New Roman" w:hAnsi="Times New Roman" w:cs="Times New Roman" w:eastAsiaTheme="minorEastAsia"/>
                      <w:b/>
                      <w:bCs/>
                      <w:color w:val="auto"/>
                      <w:sz w:val="18"/>
                      <w:szCs w:val="16"/>
                    </w:rPr>
                  </w:pPr>
                  <w:r>
                    <w:rPr>
                      <w:rFonts w:hint="default" w:ascii="Times New Roman" w:hAnsi="Times New Roman" w:cs="Times New Roman" w:eastAsiaTheme="minorEastAsia"/>
                      <w:b/>
                      <w:bCs/>
                      <w:color w:val="auto"/>
                      <w:sz w:val="18"/>
                      <w:szCs w:val="16"/>
                    </w:rPr>
                    <w:t xml:space="preserve">规划要求 </w:t>
                  </w:r>
                </w:p>
              </w:tc>
              <w:tc>
                <w:tcPr>
                  <w:tcW w:w="2847" w:type="dxa"/>
                  <w:tcBorders>
                    <w:top w:val="single" w:color="auto" w:sz="2" w:space="0"/>
                    <w:left w:val="single" w:color="auto" w:sz="2" w:space="0"/>
                    <w:bottom w:val="single" w:color="auto" w:sz="2" w:space="0"/>
                    <w:right w:val="single" w:color="auto" w:sz="2" w:space="0"/>
                  </w:tcBorders>
                  <w:vAlign w:val="center"/>
                </w:tcPr>
                <w:p w14:paraId="0355056D">
                  <w:pPr>
                    <w:pStyle w:val="200"/>
                    <w:spacing w:beforeLines="0" w:afterLines="0" w:line="240" w:lineRule="auto"/>
                    <w:rPr>
                      <w:rFonts w:hint="default" w:ascii="Times New Roman" w:hAnsi="Times New Roman" w:cs="Times New Roman" w:eastAsiaTheme="minorEastAsia"/>
                      <w:b/>
                      <w:bCs/>
                      <w:color w:val="auto"/>
                      <w:sz w:val="18"/>
                      <w:szCs w:val="16"/>
                    </w:rPr>
                  </w:pPr>
                  <w:r>
                    <w:rPr>
                      <w:rFonts w:hint="default" w:ascii="Times New Roman" w:hAnsi="Times New Roman" w:cs="Times New Roman" w:eastAsiaTheme="minorEastAsia"/>
                      <w:b/>
                      <w:bCs/>
                      <w:color w:val="auto"/>
                      <w:sz w:val="18"/>
                      <w:szCs w:val="16"/>
                    </w:rPr>
                    <w:t>项目符合性</w:t>
                  </w:r>
                </w:p>
              </w:tc>
            </w:tr>
            <w:tr w14:paraId="3194ECA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365" w:hRule="atLeast"/>
                <w:jc w:val="center"/>
              </w:trPr>
              <w:tc>
                <w:tcPr>
                  <w:tcW w:w="543" w:type="dxa"/>
                  <w:tcBorders>
                    <w:top w:val="single" w:color="auto" w:sz="2" w:space="0"/>
                    <w:left w:val="single" w:color="auto" w:sz="2" w:space="0"/>
                    <w:bottom w:val="single" w:color="auto" w:sz="2" w:space="0"/>
                    <w:right w:val="single" w:color="auto" w:sz="2" w:space="0"/>
                  </w:tcBorders>
                  <w:vAlign w:val="center"/>
                </w:tcPr>
                <w:p w14:paraId="51A3A501">
                  <w:pPr>
                    <w:pStyle w:val="200"/>
                    <w:spacing w:beforeLines="0" w:afterLines="0" w:line="240" w:lineRule="auto"/>
                    <w:rPr>
                      <w:rFonts w:hint="default" w:ascii="Times New Roman" w:hAnsi="Times New Roman" w:cs="Times New Roman" w:eastAsiaTheme="minorEastAsia"/>
                      <w:color w:val="auto"/>
                      <w:sz w:val="18"/>
                      <w:szCs w:val="16"/>
                      <w:lang w:eastAsia="zh-CN"/>
                    </w:rPr>
                  </w:pPr>
                  <w:r>
                    <w:rPr>
                      <w:rFonts w:hint="default" w:ascii="Times New Roman" w:hAnsi="Times New Roman" w:cs="Times New Roman" w:eastAsiaTheme="minorEastAsia"/>
                      <w:color w:val="auto"/>
                      <w:sz w:val="18"/>
                      <w:szCs w:val="16"/>
                      <w:lang w:val="en-US" w:eastAsia="zh-CN"/>
                    </w:rPr>
                    <w:t>1</w:t>
                  </w:r>
                </w:p>
              </w:tc>
              <w:tc>
                <w:tcPr>
                  <w:tcW w:w="3837" w:type="dxa"/>
                  <w:tcBorders>
                    <w:top w:val="single" w:color="auto" w:sz="2" w:space="0"/>
                    <w:left w:val="single" w:color="auto" w:sz="2" w:space="0"/>
                    <w:bottom w:val="single" w:color="auto" w:sz="2" w:space="0"/>
                    <w:right w:val="single" w:color="auto" w:sz="2" w:space="0"/>
                  </w:tcBorders>
                  <w:vAlign w:val="center"/>
                </w:tcPr>
                <w:p w14:paraId="6B559C9F">
                  <w:pPr>
                    <w:pStyle w:val="200"/>
                    <w:spacing w:beforeLines="0" w:afterLines="0" w:line="240" w:lineRule="auto"/>
                    <w:jc w:val="both"/>
                    <w:rPr>
                      <w:rFonts w:hint="default" w:ascii="Times New Roman" w:hAnsi="Times New Roman" w:cs="Times New Roman" w:eastAsiaTheme="minorEastAsia"/>
                      <w:color w:val="auto"/>
                      <w:sz w:val="18"/>
                      <w:szCs w:val="16"/>
                    </w:rPr>
                  </w:pPr>
                  <w:r>
                    <w:rPr>
                      <w:rFonts w:hint="default" w:ascii="Times New Roman" w:hAnsi="Times New Roman" w:cs="Times New Roman" w:eastAsiaTheme="minorEastAsia"/>
                      <w:color w:val="auto"/>
                      <w:sz w:val="18"/>
                      <w:szCs w:val="16"/>
                    </w:rPr>
                    <w:t>县级以上人民政府应当合理确定产业布局和发展规模，制定产业投资项目负面清单，严格控制新建、扩建钢铁、石化、化工、有色金属冶炼、水泥、平板玻璃、建筑陶瓷等工业项目，鼓励、支持现有的工业企业进行技术升级改造。在城市建成区及其周边的重污染企业，应当逐步进行搬迁改造或者转型退出。</w:t>
                  </w:r>
                </w:p>
              </w:tc>
              <w:tc>
                <w:tcPr>
                  <w:tcW w:w="2847" w:type="dxa"/>
                  <w:tcBorders>
                    <w:top w:val="single" w:color="auto" w:sz="2" w:space="0"/>
                    <w:left w:val="single" w:color="auto" w:sz="2" w:space="0"/>
                    <w:bottom w:val="single" w:color="auto" w:sz="2" w:space="0"/>
                    <w:right w:val="single" w:color="auto" w:sz="2" w:space="0"/>
                  </w:tcBorders>
                  <w:vAlign w:val="center"/>
                </w:tcPr>
                <w:p w14:paraId="4F1D2154">
                  <w:pPr>
                    <w:pStyle w:val="200"/>
                    <w:spacing w:beforeLines="0" w:afterLines="0" w:line="240" w:lineRule="auto"/>
                    <w:jc w:val="both"/>
                    <w:rPr>
                      <w:rFonts w:hint="default" w:ascii="Times New Roman" w:hAnsi="Times New Roman" w:cs="Times New Roman" w:eastAsiaTheme="minorEastAsia"/>
                      <w:color w:val="auto"/>
                      <w:sz w:val="18"/>
                      <w:szCs w:val="16"/>
                    </w:rPr>
                  </w:pPr>
                  <w:r>
                    <w:rPr>
                      <w:rFonts w:hint="default" w:ascii="Times New Roman" w:hAnsi="Times New Roman" w:cs="Times New Roman" w:eastAsiaTheme="minorEastAsia"/>
                      <w:color w:val="auto"/>
                      <w:sz w:val="18"/>
                      <w:szCs w:val="16"/>
                    </w:rPr>
                    <w:t>本项目属于</w:t>
                  </w:r>
                  <w:r>
                    <w:rPr>
                      <w:rFonts w:hint="default" w:ascii="Times New Roman" w:hAnsi="Times New Roman" w:cs="Times New Roman" w:eastAsiaTheme="minorEastAsia"/>
                      <w:color w:val="auto"/>
                      <w:sz w:val="18"/>
                      <w:szCs w:val="16"/>
                      <w:lang w:val="en-US" w:eastAsia="zh-CN"/>
                    </w:rPr>
                    <w:t>C3985电子专用材料制造</w:t>
                  </w:r>
                  <w:r>
                    <w:rPr>
                      <w:rFonts w:hint="default" w:ascii="Times New Roman" w:hAnsi="Times New Roman" w:cs="Times New Roman" w:eastAsiaTheme="minorEastAsia"/>
                      <w:color w:val="auto"/>
                      <w:sz w:val="18"/>
                      <w:szCs w:val="16"/>
                    </w:rPr>
                    <w:t>，不属于上述“两高”行业。本项目不属于重污染企业。</w:t>
                  </w:r>
                </w:p>
              </w:tc>
            </w:tr>
            <w:tr w14:paraId="1D768FC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108" w:hRule="atLeast"/>
                <w:jc w:val="center"/>
              </w:trPr>
              <w:tc>
                <w:tcPr>
                  <w:tcW w:w="543" w:type="dxa"/>
                  <w:tcBorders>
                    <w:top w:val="single" w:color="auto" w:sz="2" w:space="0"/>
                    <w:left w:val="single" w:color="auto" w:sz="2" w:space="0"/>
                    <w:bottom w:val="single" w:color="auto" w:sz="2" w:space="0"/>
                    <w:right w:val="single" w:color="auto" w:sz="2" w:space="0"/>
                  </w:tcBorders>
                  <w:vAlign w:val="center"/>
                </w:tcPr>
                <w:p w14:paraId="03145B71">
                  <w:pPr>
                    <w:pStyle w:val="200"/>
                    <w:spacing w:beforeLines="0" w:afterLines="0" w:line="240" w:lineRule="auto"/>
                    <w:rPr>
                      <w:rFonts w:hint="default" w:ascii="Times New Roman" w:hAnsi="Times New Roman" w:cs="Times New Roman" w:eastAsiaTheme="minorEastAsia"/>
                      <w:color w:val="auto"/>
                      <w:sz w:val="18"/>
                      <w:szCs w:val="16"/>
                      <w:lang w:eastAsia="zh-CN"/>
                    </w:rPr>
                  </w:pPr>
                  <w:r>
                    <w:rPr>
                      <w:rFonts w:hint="default" w:ascii="Times New Roman" w:hAnsi="Times New Roman" w:cs="Times New Roman" w:eastAsiaTheme="minorEastAsia"/>
                      <w:color w:val="auto"/>
                      <w:sz w:val="18"/>
                      <w:szCs w:val="16"/>
                      <w:lang w:val="en-US" w:eastAsia="zh-CN"/>
                    </w:rPr>
                    <w:t>2</w:t>
                  </w:r>
                </w:p>
              </w:tc>
              <w:tc>
                <w:tcPr>
                  <w:tcW w:w="3837" w:type="dxa"/>
                  <w:tcBorders>
                    <w:top w:val="single" w:color="auto" w:sz="2" w:space="0"/>
                    <w:left w:val="single" w:color="auto" w:sz="2" w:space="0"/>
                    <w:bottom w:val="single" w:color="auto" w:sz="2" w:space="0"/>
                    <w:right w:val="single" w:color="auto" w:sz="2" w:space="0"/>
                  </w:tcBorders>
                  <w:vAlign w:val="center"/>
                </w:tcPr>
                <w:p w14:paraId="3C2ED213">
                  <w:pPr>
                    <w:pStyle w:val="200"/>
                    <w:spacing w:beforeLines="0" w:afterLines="0" w:line="240" w:lineRule="auto"/>
                    <w:jc w:val="both"/>
                    <w:rPr>
                      <w:rFonts w:hint="default" w:ascii="Times New Roman" w:hAnsi="Times New Roman" w:cs="Times New Roman" w:eastAsiaTheme="minorEastAsia"/>
                      <w:color w:val="auto"/>
                      <w:sz w:val="18"/>
                      <w:szCs w:val="16"/>
                    </w:rPr>
                  </w:pPr>
                  <w:r>
                    <w:rPr>
                      <w:rFonts w:hint="default" w:ascii="Times New Roman" w:hAnsi="Times New Roman" w:cs="Times New Roman" w:eastAsiaTheme="minorEastAsia"/>
                      <w:color w:val="auto"/>
                      <w:sz w:val="18"/>
                      <w:szCs w:val="16"/>
                    </w:rPr>
                    <w:t>对不经过排气筒集中排放的大气污染物，排污单位应当采取密闭、封闭、集中收集、吸附、分解等处理措施，严格控制生产过程以及内部物料堆存、传输、装卸等环节产生的颗粒物和气态污染物的排放。</w:t>
                  </w:r>
                </w:p>
              </w:tc>
              <w:tc>
                <w:tcPr>
                  <w:tcW w:w="2847" w:type="dxa"/>
                  <w:tcBorders>
                    <w:top w:val="single" w:color="auto" w:sz="2" w:space="0"/>
                    <w:left w:val="single" w:color="auto" w:sz="2" w:space="0"/>
                    <w:bottom w:val="single" w:color="auto" w:sz="2" w:space="0"/>
                    <w:right w:val="single" w:color="auto" w:sz="2" w:space="0"/>
                  </w:tcBorders>
                  <w:vAlign w:val="center"/>
                </w:tcPr>
                <w:p w14:paraId="3CE9ACB6">
                  <w:pPr>
                    <w:pStyle w:val="200"/>
                    <w:spacing w:beforeLines="0" w:afterLines="0" w:line="240" w:lineRule="auto"/>
                    <w:jc w:val="both"/>
                    <w:rPr>
                      <w:rFonts w:hint="default" w:ascii="Times New Roman" w:hAnsi="Times New Roman" w:cs="Times New Roman"/>
                      <w:color w:val="auto"/>
                      <w:sz w:val="22"/>
                      <w:szCs w:val="22"/>
                    </w:rPr>
                  </w:pPr>
                  <w:r>
                    <w:rPr>
                      <w:rFonts w:hint="default" w:ascii="Times New Roman" w:hAnsi="Times New Roman" w:cs="Times New Roman" w:eastAsiaTheme="minorEastAsia"/>
                      <w:color w:val="auto"/>
                      <w:sz w:val="18"/>
                      <w:szCs w:val="16"/>
                      <w:lang w:eastAsia="zh-CN"/>
                    </w:rPr>
                    <w:t>本项目</w:t>
                  </w:r>
                  <w:r>
                    <w:rPr>
                      <w:rFonts w:hint="default" w:ascii="Times New Roman" w:hAnsi="Times New Roman" w:cs="Times New Roman" w:eastAsiaTheme="minorEastAsia"/>
                      <w:color w:val="auto"/>
                      <w:sz w:val="18"/>
                      <w:szCs w:val="16"/>
                    </w:rPr>
                    <w:t>产尘环节尽可能进行密闭，不能封闭的采取局部收集罩的方式对废气进行收集。</w:t>
                  </w:r>
                </w:p>
              </w:tc>
            </w:tr>
            <w:tr w14:paraId="55A5F5D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838" w:hRule="atLeast"/>
                <w:jc w:val="center"/>
              </w:trPr>
              <w:tc>
                <w:tcPr>
                  <w:tcW w:w="543" w:type="dxa"/>
                  <w:tcBorders>
                    <w:top w:val="single" w:color="auto" w:sz="2" w:space="0"/>
                    <w:left w:val="single" w:color="auto" w:sz="2" w:space="0"/>
                    <w:bottom w:val="single" w:color="auto" w:sz="2" w:space="0"/>
                    <w:right w:val="single" w:color="auto" w:sz="2" w:space="0"/>
                  </w:tcBorders>
                  <w:vAlign w:val="center"/>
                </w:tcPr>
                <w:p w14:paraId="012FC8CC">
                  <w:pPr>
                    <w:pStyle w:val="200"/>
                    <w:spacing w:beforeLines="0" w:afterLines="0" w:line="240" w:lineRule="auto"/>
                    <w:rPr>
                      <w:rFonts w:hint="default" w:ascii="Times New Roman" w:hAnsi="Times New Roman" w:cs="Times New Roman" w:eastAsiaTheme="minorEastAsia"/>
                      <w:color w:val="auto"/>
                      <w:sz w:val="18"/>
                      <w:szCs w:val="16"/>
                      <w:lang w:eastAsia="zh-CN"/>
                    </w:rPr>
                  </w:pPr>
                  <w:r>
                    <w:rPr>
                      <w:rFonts w:hint="default" w:ascii="Times New Roman" w:hAnsi="Times New Roman" w:cs="Times New Roman" w:eastAsiaTheme="minorEastAsia"/>
                      <w:color w:val="auto"/>
                      <w:sz w:val="18"/>
                      <w:szCs w:val="16"/>
                      <w:lang w:val="en-US" w:eastAsia="zh-CN"/>
                    </w:rPr>
                    <w:t>3</w:t>
                  </w:r>
                </w:p>
              </w:tc>
              <w:tc>
                <w:tcPr>
                  <w:tcW w:w="3837" w:type="dxa"/>
                  <w:tcBorders>
                    <w:top w:val="single" w:color="auto" w:sz="2" w:space="0"/>
                    <w:left w:val="single" w:color="auto" w:sz="2" w:space="0"/>
                    <w:bottom w:val="single" w:color="auto" w:sz="2" w:space="0"/>
                    <w:right w:val="single" w:color="auto" w:sz="2" w:space="0"/>
                  </w:tcBorders>
                  <w:vAlign w:val="center"/>
                </w:tcPr>
                <w:p w14:paraId="334C21A7">
                  <w:pPr>
                    <w:pStyle w:val="200"/>
                    <w:spacing w:beforeLines="0" w:afterLines="0" w:line="240" w:lineRule="auto"/>
                    <w:jc w:val="both"/>
                    <w:rPr>
                      <w:rFonts w:hint="default" w:ascii="Times New Roman" w:hAnsi="Times New Roman" w:cs="Times New Roman" w:eastAsiaTheme="minorEastAsia"/>
                      <w:color w:val="auto"/>
                      <w:sz w:val="18"/>
                      <w:szCs w:val="16"/>
                    </w:rPr>
                  </w:pPr>
                  <w:r>
                    <w:rPr>
                      <w:rFonts w:hint="default" w:ascii="Times New Roman" w:hAnsi="Times New Roman" w:cs="Times New Roman" w:eastAsiaTheme="minorEastAsia"/>
                      <w:color w:val="auto"/>
                      <w:sz w:val="18"/>
                      <w:szCs w:val="16"/>
                    </w:rPr>
                    <w:t>石化、重点有机化工等工业企业应当建立泄漏检测与修复体系，对管道、设备等进行日常检修、维护，及时收集处理泄漏物料。</w:t>
                  </w:r>
                </w:p>
              </w:tc>
              <w:tc>
                <w:tcPr>
                  <w:tcW w:w="2847" w:type="dxa"/>
                  <w:tcBorders>
                    <w:top w:val="single" w:color="auto" w:sz="2" w:space="0"/>
                    <w:left w:val="single" w:color="auto" w:sz="2" w:space="0"/>
                    <w:bottom w:val="single" w:color="auto" w:sz="2" w:space="0"/>
                    <w:right w:val="single" w:color="auto" w:sz="2" w:space="0"/>
                  </w:tcBorders>
                  <w:vAlign w:val="center"/>
                </w:tcPr>
                <w:p w14:paraId="6D2C7747">
                  <w:pPr>
                    <w:pStyle w:val="200"/>
                    <w:spacing w:beforeLines="0" w:afterLines="0" w:line="240" w:lineRule="auto"/>
                    <w:jc w:val="both"/>
                    <w:rPr>
                      <w:rFonts w:hint="default" w:ascii="Times New Roman" w:hAnsi="Times New Roman" w:cs="Times New Roman" w:eastAsiaTheme="minorEastAsia"/>
                      <w:color w:val="auto"/>
                      <w:sz w:val="18"/>
                      <w:szCs w:val="16"/>
                    </w:rPr>
                  </w:pPr>
                  <w:r>
                    <w:rPr>
                      <w:rFonts w:hint="default" w:ascii="Times New Roman" w:hAnsi="Times New Roman" w:cs="Times New Roman" w:eastAsiaTheme="minorEastAsia"/>
                      <w:color w:val="auto"/>
                      <w:sz w:val="18"/>
                      <w:szCs w:val="16"/>
                    </w:rPr>
                    <w:t>企业不属于石化、重点有机化工等工业企业。</w:t>
                  </w:r>
                </w:p>
              </w:tc>
            </w:tr>
            <w:tr w14:paraId="080E51C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634" w:hRule="atLeast"/>
                <w:jc w:val="center"/>
              </w:trPr>
              <w:tc>
                <w:tcPr>
                  <w:tcW w:w="543" w:type="dxa"/>
                  <w:tcBorders>
                    <w:top w:val="single" w:color="auto" w:sz="2" w:space="0"/>
                    <w:left w:val="single" w:color="auto" w:sz="2" w:space="0"/>
                    <w:bottom w:val="single" w:color="auto" w:sz="2" w:space="0"/>
                    <w:right w:val="single" w:color="auto" w:sz="2" w:space="0"/>
                  </w:tcBorders>
                  <w:vAlign w:val="center"/>
                </w:tcPr>
                <w:p w14:paraId="5E19C8D3">
                  <w:pPr>
                    <w:pStyle w:val="200"/>
                    <w:spacing w:beforeLines="0" w:afterLines="0" w:line="240" w:lineRule="auto"/>
                    <w:rPr>
                      <w:rFonts w:hint="default" w:ascii="Times New Roman" w:hAnsi="Times New Roman" w:cs="Times New Roman" w:eastAsiaTheme="minorEastAsia"/>
                      <w:color w:val="auto"/>
                      <w:sz w:val="18"/>
                      <w:szCs w:val="16"/>
                      <w:lang w:eastAsia="zh-CN"/>
                    </w:rPr>
                  </w:pPr>
                  <w:r>
                    <w:rPr>
                      <w:rFonts w:hint="default" w:ascii="Times New Roman" w:hAnsi="Times New Roman" w:cs="Times New Roman" w:eastAsiaTheme="minorEastAsia"/>
                      <w:color w:val="auto"/>
                      <w:sz w:val="18"/>
                      <w:szCs w:val="16"/>
                      <w:lang w:val="en-US" w:eastAsia="zh-CN"/>
                    </w:rPr>
                    <w:t>4</w:t>
                  </w:r>
                </w:p>
              </w:tc>
              <w:tc>
                <w:tcPr>
                  <w:tcW w:w="3837" w:type="dxa"/>
                  <w:tcBorders>
                    <w:top w:val="single" w:color="auto" w:sz="2" w:space="0"/>
                    <w:left w:val="single" w:color="auto" w:sz="2" w:space="0"/>
                    <w:bottom w:val="single" w:color="auto" w:sz="2" w:space="0"/>
                    <w:right w:val="single" w:color="auto" w:sz="2" w:space="0"/>
                  </w:tcBorders>
                  <w:vAlign w:val="center"/>
                </w:tcPr>
                <w:p w14:paraId="18BA3C2C">
                  <w:pPr>
                    <w:pStyle w:val="200"/>
                    <w:spacing w:beforeLines="0" w:afterLines="0" w:line="240" w:lineRule="auto"/>
                    <w:jc w:val="both"/>
                    <w:rPr>
                      <w:rFonts w:hint="default" w:ascii="Times New Roman" w:hAnsi="Times New Roman" w:cs="Times New Roman" w:eastAsiaTheme="minorEastAsia"/>
                      <w:color w:val="auto"/>
                      <w:sz w:val="18"/>
                      <w:szCs w:val="16"/>
                    </w:rPr>
                  </w:pPr>
                  <w:r>
                    <w:rPr>
                      <w:rFonts w:hint="default" w:ascii="Times New Roman" w:hAnsi="Times New Roman" w:cs="Times New Roman" w:eastAsiaTheme="minorEastAsia"/>
                      <w:color w:val="auto"/>
                      <w:sz w:val="18"/>
                      <w:szCs w:val="16"/>
                    </w:rPr>
                    <w:t>生产、销售、使用含挥发性有机物的原材料和产品的，其挥发性有机物含量应当符合质量标准或者要求。省人民政府质量技术监督部门应当会同环境保护等部门，定期制定、调整低挥发性有机物含量产品目录和高挥发性有机物含量产品目录并向社会公布。列入高挥发性有机物含量产品目录的产品，应当在其包装或者说明中予以标注。</w:t>
                  </w:r>
                </w:p>
              </w:tc>
              <w:tc>
                <w:tcPr>
                  <w:tcW w:w="2847" w:type="dxa"/>
                  <w:tcBorders>
                    <w:top w:val="single" w:color="auto" w:sz="2" w:space="0"/>
                    <w:left w:val="single" w:color="auto" w:sz="2" w:space="0"/>
                    <w:bottom w:val="single" w:color="auto" w:sz="2" w:space="0"/>
                    <w:right w:val="single" w:color="auto" w:sz="2" w:space="0"/>
                  </w:tcBorders>
                  <w:vAlign w:val="center"/>
                </w:tcPr>
                <w:p w14:paraId="33856960">
                  <w:pPr>
                    <w:pStyle w:val="200"/>
                    <w:spacing w:beforeLines="0" w:afterLines="0" w:line="240" w:lineRule="auto"/>
                    <w:jc w:val="both"/>
                    <w:rPr>
                      <w:rFonts w:hint="default" w:ascii="Times New Roman" w:hAnsi="Times New Roman" w:cs="Times New Roman" w:eastAsiaTheme="minorEastAsia"/>
                      <w:color w:val="auto"/>
                      <w:sz w:val="18"/>
                      <w:szCs w:val="16"/>
                    </w:rPr>
                  </w:pPr>
                  <w:r>
                    <w:rPr>
                      <w:rFonts w:hint="default" w:ascii="Times New Roman" w:hAnsi="Times New Roman" w:cs="Times New Roman" w:eastAsiaTheme="minorEastAsia"/>
                      <w:color w:val="auto"/>
                      <w:sz w:val="18"/>
                      <w:szCs w:val="16"/>
                    </w:rPr>
                    <w:t>本项目</w:t>
                  </w:r>
                  <w:r>
                    <w:rPr>
                      <w:rFonts w:hint="default" w:ascii="Times New Roman" w:hAnsi="Times New Roman" w:cs="Times New Roman" w:eastAsiaTheme="minorEastAsia"/>
                      <w:color w:val="auto"/>
                      <w:sz w:val="18"/>
                      <w:szCs w:val="16"/>
                      <w:lang w:val="en-US" w:eastAsia="zh-CN"/>
                    </w:rPr>
                    <w:t>不</w:t>
                  </w:r>
                  <w:r>
                    <w:rPr>
                      <w:rFonts w:hint="default" w:ascii="Times New Roman" w:hAnsi="Times New Roman" w:cs="Times New Roman" w:eastAsiaTheme="minorEastAsia"/>
                      <w:color w:val="auto"/>
                      <w:sz w:val="18"/>
                      <w:szCs w:val="16"/>
                    </w:rPr>
                    <w:t>涉及挥发性有机物。</w:t>
                  </w:r>
                </w:p>
              </w:tc>
            </w:tr>
          </w:tbl>
          <w:p w14:paraId="650CA78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综上，本项目建设符合</w:t>
            </w:r>
            <w:r>
              <w:rPr>
                <w:rFonts w:hint="default" w:ascii="Times New Roman" w:hAnsi="Times New Roman" w:cs="Times New Roman"/>
                <w:color w:val="auto"/>
                <w:sz w:val="21"/>
                <w:szCs w:val="21"/>
                <w:highlight w:val="none"/>
                <w:lang w:eastAsia="zh-CN"/>
              </w:rPr>
              <w:t>《山东省大气污染防治条例》</w:t>
            </w:r>
            <w:r>
              <w:rPr>
                <w:rFonts w:hint="default" w:ascii="Times New Roman" w:hAnsi="Times New Roman" w:cs="Times New Roman"/>
                <w:color w:val="auto"/>
                <w:sz w:val="21"/>
                <w:szCs w:val="21"/>
                <w:highlight w:val="none"/>
              </w:rPr>
              <w:t>要求。</w:t>
            </w:r>
          </w:p>
          <w:p w14:paraId="2935E96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lang w:eastAsia="zh-CN"/>
              </w:rPr>
              <w:t>（</w:t>
            </w:r>
            <w:r>
              <w:rPr>
                <w:rFonts w:hint="default" w:ascii="Times New Roman" w:hAnsi="Times New Roman" w:eastAsia="宋体" w:cs="Times New Roman"/>
                <w:bCs/>
                <w:color w:val="auto"/>
                <w:highlight w:val="none"/>
                <w:lang w:val="en-US" w:eastAsia="zh-CN"/>
              </w:rPr>
              <w:t>4</w:t>
            </w:r>
            <w:r>
              <w:rPr>
                <w:rFonts w:hint="default" w:ascii="Times New Roman" w:hAnsi="Times New Roman" w:eastAsia="宋体" w:cs="Times New Roman"/>
                <w:bCs/>
                <w:color w:val="auto"/>
                <w:highlight w:val="none"/>
                <w:lang w:eastAsia="zh-CN"/>
              </w:rPr>
              <w:t>）</w:t>
            </w:r>
            <w:r>
              <w:rPr>
                <w:rFonts w:hint="default" w:ascii="Times New Roman" w:hAnsi="Times New Roman" w:eastAsia="宋体" w:cs="Times New Roman"/>
                <w:bCs/>
                <w:color w:val="auto"/>
                <w:highlight w:val="none"/>
              </w:rPr>
              <w:t>与《山东省“十四五”生态环境保护规划》符合性分析</w:t>
            </w:r>
          </w:p>
          <w:p w14:paraId="16898AD5">
            <w:pPr>
              <w:adjustRightInd w:val="0"/>
              <w:snapToGrid w:val="0"/>
              <w:spacing w:line="360" w:lineRule="auto"/>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表1-</w:t>
            </w:r>
            <w:r>
              <w:rPr>
                <w:rFonts w:hint="eastAsia" w:cs="Times New Roman"/>
                <w:b/>
                <w:color w:val="auto"/>
                <w:highlight w:val="none"/>
                <w:lang w:val="en-US" w:eastAsia="zh-CN"/>
              </w:rPr>
              <w:t>7</w:t>
            </w:r>
            <w:r>
              <w:rPr>
                <w:rFonts w:hint="default" w:ascii="Times New Roman" w:hAnsi="Times New Roman" w:eastAsia="宋体" w:cs="Times New Roman"/>
                <w:b/>
                <w:color w:val="auto"/>
                <w:highlight w:val="none"/>
              </w:rPr>
              <w:t xml:space="preserve">  符合性分析一览表</w:t>
            </w:r>
          </w:p>
          <w:tbl>
            <w:tblPr>
              <w:tblStyle w:val="83"/>
              <w:tblW w:w="4997" w:type="pct"/>
              <w:tblInd w:w="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538"/>
              <w:gridCol w:w="1739"/>
              <w:gridCol w:w="955"/>
            </w:tblGrid>
            <w:tr w14:paraId="5CF1E9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97" w:hRule="atLeast"/>
              </w:trPr>
              <w:tc>
                <w:tcPr>
                  <w:tcW w:w="5214" w:type="dxa"/>
                  <w:noWrap w:val="0"/>
                  <w:vAlign w:val="center"/>
                </w:tcPr>
                <w:p w14:paraId="176DBAE4">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文件要求</w:t>
                  </w:r>
                </w:p>
              </w:tc>
              <w:tc>
                <w:tcPr>
                  <w:tcW w:w="1890" w:type="dxa"/>
                  <w:noWrap w:val="0"/>
                  <w:vAlign w:val="center"/>
                </w:tcPr>
                <w:p w14:paraId="6FF9B8A3">
                  <w:pPr>
                    <w:tabs>
                      <w:tab w:val="left" w:pos="6615"/>
                    </w:tabs>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项目情况</w:t>
                  </w:r>
                </w:p>
              </w:tc>
              <w:tc>
                <w:tcPr>
                  <w:tcW w:w="1050" w:type="dxa"/>
                  <w:noWrap w:val="0"/>
                  <w:vAlign w:val="center"/>
                </w:tcPr>
                <w:p w14:paraId="4F4C654B">
                  <w:pPr>
                    <w:tabs>
                      <w:tab w:val="left" w:pos="6615"/>
                    </w:tabs>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符合性</w:t>
                  </w:r>
                </w:p>
              </w:tc>
            </w:tr>
            <w:tr w14:paraId="394B653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9" w:hRule="atLeast"/>
              </w:trPr>
              <w:tc>
                <w:tcPr>
                  <w:tcW w:w="5214" w:type="dxa"/>
                  <w:noWrap w:val="0"/>
                  <w:vAlign w:val="center"/>
                </w:tcPr>
                <w:p w14:paraId="1CD031C7">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坚决淘汰落后动能。严格落实《产业结构调整指导目录》加快推动“淘汰类”生产工艺和产品退出。精准聚焦钢铁、地炼、焦化、煤电、水泥、轮胎、煤炭、化工等8个重点行业，加快淘汰低效落后动能。进一步健全并严格落实环保、安全、技术、能耗、效益标准，各市制定具体措施，重点围绕再生橡胶、废旧塑料再生、砖瓦、石灰、石膏等行业，分类组织实施转移、压减、整合、关停任务，推动低效落后产能退出。</w:t>
                  </w:r>
                </w:p>
              </w:tc>
              <w:tc>
                <w:tcPr>
                  <w:tcW w:w="1890" w:type="dxa"/>
                  <w:noWrap w:val="0"/>
                  <w:vAlign w:val="center"/>
                </w:tcPr>
                <w:p w14:paraId="101E78B0">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本项目不属于《产业结构调整指导目录</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2024年本</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》中的“淘汰类”，不属于8个重点行业；符合。</w:t>
                  </w:r>
                </w:p>
              </w:tc>
              <w:tc>
                <w:tcPr>
                  <w:tcW w:w="1050" w:type="dxa"/>
                  <w:noWrap w:val="0"/>
                  <w:vAlign w:val="center"/>
                </w:tcPr>
                <w:p w14:paraId="50BE2EC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w:t>
                  </w:r>
                </w:p>
              </w:tc>
            </w:tr>
            <w:tr w14:paraId="418D2DA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9" w:hRule="atLeast"/>
              </w:trPr>
              <w:tc>
                <w:tcPr>
                  <w:tcW w:w="5214" w:type="dxa"/>
                  <w:noWrap w:val="0"/>
                  <w:vAlign w:val="center"/>
                </w:tcPr>
                <w:p w14:paraId="4BF9C2F9">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着力提高工业园区绿色化水平。提高铸造、有色、化工、砖瓦、玻璃、耐火材料、陶瓷、制革、印染等行业的园区集聚水平，深入推进园区循环化改造。</w:t>
                  </w:r>
                </w:p>
              </w:tc>
              <w:tc>
                <w:tcPr>
                  <w:tcW w:w="1890" w:type="dxa"/>
                  <w:noWrap w:val="0"/>
                  <w:vAlign w:val="center"/>
                </w:tcPr>
                <w:p w14:paraId="1C4C11A5">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w:t>
                  </w:r>
                  <w:r>
                    <w:rPr>
                      <w:rFonts w:hint="eastAsia"/>
                      <w:color w:val="auto"/>
                      <w:sz w:val="18"/>
                      <w:szCs w:val="18"/>
                      <w:highlight w:val="none"/>
                      <w:lang w:eastAsia="zh-CN"/>
                    </w:rPr>
                    <w:t>属于</w:t>
                  </w:r>
                  <w:r>
                    <w:rPr>
                      <w:rFonts w:hint="eastAsia"/>
                      <w:color w:val="auto"/>
                      <w:sz w:val="18"/>
                      <w:szCs w:val="18"/>
                      <w:highlight w:val="none"/>
                      <w:lang w:val="en-US" w:eastAsia="zh-CN"/>
                    </w:rPr>
                    <w:t>C3985电子专用材料制造，</w:t>
                  </w:r>
                  <w:r>
                    <w:rPr>
                      <w:rFonts w:hint="default" w:ascii="Times New Roman" w:hAnsi="Times New Roman" w:cs="Times New Roman"/>
                      <w:color w:val="auto"/>
                      <w:sz w:val="18"/>
                      <w:szCs w:val="18"/>
                      <w:highlight w:val="none"/>
                    </w:rPr>
                    <w:t>不属于所列行业</w:t>
                  </w:r>
                </w:p>
              </w:tc>
              <w:tc>
                <w:tcPr>
                  <w:tcW w:w="1050" w:type="dxa"/>
                  <w:noWrap w:val="0"/>
                  <w:vAlign w:val="center"/>
                </w:tcPr>
                <w:p w14:paraId="387465D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w:t>
                  </w:r>
                </w:p>
              </w:tc>
            </w:tr>
            <w:tr w14:paraId="46AE7A9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459" w:hRule="atLeast"/>
              </w:trPr>
              <w:tc>
                <w:tcPr>
                  <w:tcW w:w="5214" w:type="dxa"/>
                  <w:noWrap w:val="0"/>
                  <w:vAlign w:val="center"/>
                </w:tcPr>
                <w:p w14:paraId="59B69294">
                  <w:pPr>
                    <w:adjustRightInd w:val="0"/>
                    <w:snapToGrid w:val="0"/>
                    <w:jc w:val="left"/>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优化能源供给结构。积极推进能源生产和消费革命，加快构建清洁低碳安全高效能源体系，推进能源低碳化转型。严控化石能源消费总量，推动煤炭等化石能源清洁高效利用。实施可再生能源替代行动，加快推进风电、光伏、生物质等可再生能源发展。</w:t>
                  </w:r>
                </w:p>
              </w:tc>
              <w:tc>
                <w:tcPr>
                  <w:tcW w:w="1890" w:type="dxa"/>
                  <w:noWrap w:val="0"/>
                  <w:vAlign w:val="center"/>
                </w:tcPr>
                <w:p w14:paraId="23F37ED3">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本项目使用的</w:t>
                  </w:r>
                  <w:r>
                    <w:rPr>
                      <w:rFonts w:hint="eastAsia" w:cs="Times New Roman"/>
                      <w:bCs/>
                      <w:color w:val="auto"/>
                      <w:sz w:val="18"/>
                      <w:szCs w:val="18"/>
                      <w:highlight w:val="none"/>
                      <w:lang w:val="en-US" w:eastAsia="zh-CN"/>
                    </w:rPr>
                    <w:t>清洁</w:t>
                  </w:r>
                  <w:r>
                    <w:rPr>
                      <w:rFonts w:hint="default" w:ascii="Times New Roman" w:hAnsi="Times New Roman" w:cs="Times New Roman"/>
                      <w:bCs/>
                      <w:color w:val="auto"/>
                      <w:sz w:val="18"/>
                      <w:szCs w:val="18"/>
                      <w:highlight w:val="none"/>
                    </w:rPr>
                    <w:t>能源为电</w:t>
                  </w:r>
                  <w:r>
                    <w:rPr>
                      <w:rFonts w:hint="eastAsia" w:cs="Times New Roman"/>
                      <w:bCs/>
                      <w:color w:val="auto"/>
                      <w:sz w:val="18"/>
                      <w:szCs w:val="18"/>
                      <w:highlight w:val="none"/>
                      <w:lang w:eastAsia="zh-CN"/>
                    </w:rPr>
                    <w:t>、</w:t>
                  </w:r>
                  <w:r>
                    <w:rPr>
                      <w:rFonts w:hint="eastAsia" w:cs="Times New Roman"/>
                      <w:bCs/>
                      <w:color w:val="auto"/>
                      <w:sz w:val="18"/>
                      <w:szCs w:val="18"/>
                      <w:highlight w:val="none"/>
                      <w:lang w:val="en-US" w:eastAsia="zh-CN"/>
                    </w:rPr>
                    <w:t>天然气</w:t>
                  </w:r>
                  <w:r>
                    <w:rPr>
                      <w:rFonts w:hint="default" w:ascii="Times New Roman" w:hAnsi="Times New Roman" w:cs="Times New Roman"/>
                      <w:bCs/>
                      <w:color w:val="auto"/>
                      <w:sz w:val="18"/>
                      <w:szCs w:val="18"/>
                      <w:highlight w:val="none"/>
                    </w:rPr>
                    <w:t>。</w:t>
                  </w:r>
                </w:p>
              </w:tc>
              <w:tc>
                <w:tcPr>
                  <w:tcW w:w="1050" w:type="dxa"/>
                  <w:noWrap w:val="0"/>
                  <w:vAlign w:val="center"/>
                </w:tcPr>
                <w:p w14:paraId="0973A0BE">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color w:val="auto"/>
                      <w:sz w:val="18"/>
                      <w:szCs w:val="18"/>
                      <w:highlight w:val="none"/>
                    </w:rPr>
                    <w:t>符合</w:t>
                  </w:r>
                </w:p>
              </w:tc>
            </w:tr>
          </w:tbl>
          <w:p w14:paraId="62860A4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综上，本项目建设符合《山东省“十四五”生态环境保护规划》要求。</w:t>
            </w:r>
          </w:p>
          <w:p w14:paraId="19DC704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lang w:val="en-US" w:eastAsia="zh-CN"/>
              </w:rPr>
              <w:t>（5）</w:t>
            </w:r>
            <w:r>
              <w:rPr>
                <w:rFonts w:hint="default" w:ascii="Times New Roman" w:hAnsi="Times New Roman" w:eastAsia="宋体" w:cs="Times New Roman"/>
                <w:bCs/>
                <w:color w:val="auto"/>
                <w:highlight w:val="none"/>
              </w:rPr>
              <w:t>与《山东省空气质量持续改善暨第三轮 “四减四增”行动实施方案》</w:t>
            </w:r>
            <w:r>
              <w:rPr>
                <w:rFonts w:hint="default" w:ascii="Times New Roman" w:hAnsi="Times New Roman" w:eastAsia="宋体" w:cs="Times New Roman"/>
                <w:bCs/>
                <w:color w:val="auto"/>
                <w:highlight w:val="none"/>
                <w:lang w:eastAsia="zh-CN"/>
              </w:rPr>
              <w:t>（</w:t>
            </w:r>
            <w:r>
              <w:rPr>
                <w:rFonts w:hint="default" w:ascii="Times New Roman" w:hAnsi="Times New Roman" w:eastAsia="宋体" w:cs="Times New Roman"/>
                <w:bCs/>
                <w:color w:val="auto"/>
                <w:highlight w:val="none"/>
              </w:rPr>
              <w:t>山东省人民政府关于印发《山东省空气质量持续改善暨第三轮 “四减四增”行动实施方案》的通知鲁政字〔2024〕102号</w:t>
            </w:r>
            <w:r>
              <w:rPr>
                <w:rFonts w:hint="default" w:ascii="Times New Roman" w:hAnsi="Times New Roman" w:eastAsia="宋体" w:cs="Times New Roman"/>
                <w:bCs/>
                <w:color w:val="auto"/>
                <w:highlight w:val="none"/>
                <w:lang w:eastAsia="zh-CN"/>
              </w:rPr>
              <w:t>）</w:t>
            </w:r>
            <w:r>
              <w:rPr>
                <w:rFonts w:hint="default" w:ascii="Times New Roman" w:hAnsi="Times New Roman" w:eastAsia="宋体" w:cs="Times New Roman"/>
                <w:bCs/>
                <w:color w:val="auto"/>
                <w:highlight w:val="none"/>
              </w:rPr>
              <w:t>符合性分析</w:t>
            </w:r>
          </w:p>
          <w:p w14:paraId="35902664">
            <w:pPr>
              <w:adjustRightInd w:val="0"/>
              <w:snapToGrid w:val="0"/>
              <w:spacing w:line="360" w:lineRule="auto"/>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表1-</w:t>
            </w:r>
            <w:r>
              <w:rPr>
                <w:rFonts w:hint="eastAsia" w:cs="Times New Roman"/>
                <w:b/>
                <w:color w:val="auto"/>
                <w:highlight w:val="none"/>
                <w:lang w:val="en-US" w:eastAsia="zh-CN"/>
              </w:rPr>
              <w:t>8</w:t>
            </w:r>
            <w:r>
              <w:rPr>
                <w:rFonts w:hint="default" w:ascii="Times New Roman" w:hAnsi="Times New Roman" w:eastAsia="宋体" w:cs="Times New Roman"/>
                <w:b/>
                <w:color w:val="auto"/>
                <w:highlight w:val="none"/>
              </w:rPr>
              <w:t>符合性分析一览表</w:t>
            </w:r>
          </w:p>
          <w:tbl>
            <w:tblPr>
              <w:tblStyle w:val="83"/>
              <w:tblW w:w="498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51" w:type="dxa"/>
                <w:bottom w:w="0" w:type="dxa"/>
                <w:right w:w="51" w:type="dxa"/>
              </w:tblCellMar>
            </w:tblPr>
            <w:tblGrid>
              <w:gridCol w:w="4550"/>
              <w:gridCol w:w="1742"/>
              <w:gridCol w:w="917"/>
            </w:tblGrid>
            <w:tr w14:paraId="4A4CD1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0" w:hRule="atLeast"/>
                <w:jc w:val="center"/>
              </w:trPr>
              <w:tc>
                <w:tcPr>
                  <w:tcW w:w="5185" w:type="dxa"/>
                  <w:noWrap w:val="0"/>
                  <w:vAlign w:val="center"/>
                </w:tcPr>
                <w:p w14:paraId="6931C519">
                  <w:pPr>
                    <w:tabs>
                      <w:tab w:val="left" w:pos="6615"/>
                    </w:tabs>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条例要求</w:t>
                  </w:r>
                </w:p>
              </w:tc>
              <w:tc>
                <w:tcPr>
                  <w:tcW w:w="1914" w:type="dxa"/>
                  <w:noWrap w:val="0"/>
                  <w:vAlign w:val="center"/>
                </w:tcPr>
                <w:p w14:paraId="4490A5BF">
                  <w:pPr>
                    <w:tabs>
                      <w:tab w:val="left" w:pos="6615"/>
                    </w:tabs>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项目情况</w:t>
                  </w:r>
                </w:p>
              </w:tc>
              <w:tc>
                <w:tcPr>
                  <w:tcW w:w="1029" w:type="dxa"/>
                  <w:noWrap w:val="0"/>
                  <w:vAlign w:val="center"/>
                </w:tcPr>
                <w:p w14:paraId="0D925651">
                  <w:pPr>
                    <w:tabs>
                      <w:tab w:val="left" w:pos="6615"/>
                    </w:tabs>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符合性</w:t>
                  </w:r>
                </w:p>
              </w:tc>
            </w:tr>
            <w:tr w14:paraId="098CFB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0" w:hRule="atLeast"/>
                <w:jc w:val="center"/>
              </w:trPr>
              <w:tc>
                <w:tcPr>
                  <w:tcW w:w="5185" w:type="dxa"/>
                  <w:noWrap w:val="0"/>
                  <w:vAlign w:val="center"/>
                </w:tcPr>
                <w:p w14:paraId="7D13C275">
                  <w:pP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严格环境准入。坚决遏制高耗能、高排放、低水平项目盲目上马，新、改、扩建项目严格落实国家和省产业规划、产业政策、生态环境分区管控方案、规划环评、项目环评、规划水土保持审查、节能审查、产能置换、重点污染物总量控制、污染物排放区域削减、碳排放达峰目标等相关要求，原则上采用清洁运输方式。涉及产能置换的项目，被置换产能及其配套设施关停后，新建项目方可投产。（省生态环境厅、省发展改革委、省工业和信息化厅、省能源局、省水利厅按职责分工负责）严格落实国家粗钢产量调控目标。推行钢铁、焦化、烧结一体化布局，有序引导高炉—转炉长流程炼钢转型为电炉短流程炼钢，到2025年，电炉钢占比达到7%左右。（省工业和信息化厅牵头）多措并举治理环保领域低价低质中标乱象，营造公平竞争环境，推动产业健康有序发展。（省生态环境厅牵头）</w:t>
                  </w:r>
                </w:p>
              </w:tc>
              <w:tc>
                <w:tcPr>
                  <w:tcW w:w="1914" w:type="dxa"/>
                  <w:noWrap w:val="0"/>
                  <w:vAlign w:val="center"/>
                </w:tcPr>
                <w:p w14:paraId="0CDD2833">
                  <w:pP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本项目属于</w:t>
                  </w:r>
                  <w:r>
                    <w:rPr>
                      <w:rFonts w:hint="eastAsia" w:cs="Times New Roman"/>
                      <w:color w:val="auto"/>
                      <w:sz w:val="18"/>
                      <w:szCs w:val="18"/>
                      <w:highlight w:val="none"/>
                      <w:lang w:val="en-US" w:eastAsia="zh-CN"/>
                    </w:rPr>
                    <w:t>技改</w:t>
                  </w:r>
                  <w:r>
                    <w:rPr>
                      <w:rFonts w:hint="default" w:ascii="Times New Roman" w:hAnsi="Times New Roman" w:eastAsia="宋体" w:cs="Times New Roman"/>
                      <w:color w:val="auto"/>
                      <w:sz w:val="18"/>
                      <w:szCs w:val="18"/>
                      <w:highlight w:val="none"/>
                      <w:lang w:val="en-US" w:eastAsia="zh-CN"/>
                    </w:rPr>
                    <w:t>项目，且不属于环境准入负面清单项目。</w:t>
                  </w:r>
                </w:p>
              </w:tc>
              <w:tc>
                <w:tcPr>
                  <w:tcW w:w="1029" w:type="dxa"/>
                  <w:noWrap w:val="0"/>
                  <w:vAlign w:val="center"/>
                </w:tcPr>
                <w:p w14:paraId="4004D87B">
                  <w:pPr>
                    <w:tabs>
                      <w:tab w:val="left" w:pos="6615"/>
                    </w:tabs>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w:t>
                  </w:r>
                </w:p>
              </w:tc>
            </w:tr>
            <w:tr w14:paraId="2015EA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0" w:hRule="atLeast"/>
                <w:jc w:val="center"/>
              </w:trPr>
              <w:tc>
                <w:tcPr>
                  <w:tcW w:w="5185" w:type="dxa"/>
                  <w:noWrap w:val="0"/>
                  <w:vAlign w:val="center"/>
                </w:tcPr>
                <w:p w14:paraId="6B7D9023">
                  <w:pP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优化调整重点行业结构。重点区域进一步提高落后产能能耗、环保、质量、安全、技术等要求，逐步退出限制类涉气行业工艺和装备；逐步淘汰步进式烧结机和球团竖炉以及半封闭式硅锰合金、镍铁、高碳铬铁、高碳锰铁电炉。（省发展改革委、省工业和信息化厅、省生态环境厅、省应急厅按职责分工负责，省市场监管局配合）引导钢铁、水泥、焦化、电解铝等产业有序调整优化。到2025年，2500吨/日水泥熟料生产线（特种水泥熟料和化工配套水泥熟料生产线除外）全部整合退出。2024年年底前，济宁、滨州、菏泽3市完成焦化退出装置关停；2025年6月底前，济南、枣庄、潍坊、泰安、日照、德州6市完成焦化退出装置关停，全省焦化装置产能压减至3300万吨左右。（省工业和信息化厅牵头）</w:t>
                  </w:r>
                </w:p>
              </w:tc>
              <w:tc>
                <w:tcPr>
                  <w:tcW w:w="1914" w:type="dxa"/>
                  <w:noWrap w:val="0"/>
                  <w:vAlign w:val="center"/>
                </w:tcPr>
                <w:p w14:paraId="268B82D6">
                  <w:pP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本项目不属于落后产能项目，不属于</w:t>
                  </w:r>
                  <w:r>
                    <w:rPr>
                      <w:rFonts w:hint="default" w:ascii="Times New Roman" w:hAnsi="Times New Roman" w:eastAsia="宋体" w:cs="Times New Roman"/>
                      <w:color w:val="auto"/>
                      <w:sz w:val="18"/>
                      <w:szCs w:val="18"/>
                      <w:highlight w:val="none"/>
                    </w:rPr>
                    <w:t>钢铁、水泥、焦化、电解铝等产业</w:t>
                  </w:r>
                  <w:r>
                    <w:rPr>
                      <w:rFonts w:hint="default" w:ascii="Times New Roman" w:hAnsi="Times New Roman" w:eastAsia="宋体" w:cs="Times New Roman"/>
                      <w:color w:val="auto"/>
                      <w:sz w:val="18"/>
                      <w:szCs w:val="18"/>
                      <w:highlight w:val="none"/>
                      <w:lang w:eastAsia="zh-CN"/>
                    </w:rPr>
                    <w:t>。</w:t>
                  </w:r>
                </w:p>
              </w:tc>
              <w:tc>
                <w:tcPr>
                  <w:tcW w:w="1029" w:type="dxa"/>
                  <w:noWrap w:val="0"/>
                  <w:vAlign w:val="center"/>
                </w:tcPr>
                <w:p w14:paraId="7B183C33">
                  <w:pPr>
                    <w:tabs>
                      <w:tab w:val="left" w:pos="6615"/>
                    </w:tabs>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w:t>
                  </w:r>
                </w:p>
              </w:tc>
            </w:tr>
            <w:tr w14:paraId="117C84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0" w:hRule="atLeast"/>
                <w:jc w:val="center"/>
              </w:trPr>
              <w:tc>
                <w:tcPr>
                  <w:tcW w:w="5185" w:type="dxa"/>
                  <w:tcBorders>
                    <w:bottom w:val="single" w:color="auto" w:sz="4" w:space="0"/>
                  </w:tcBorders>
                  <w:noWrap w:val="0"/>
                  <w:vAlign w:val="center"/>
                </w:tcPr>
                <w:p w14:paraId="340E9134">
                  <w:pP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优化含VOCs原辅材料和产品结构。严格控制生产和使用高VOCs含量涂料、油墨、胶粘剂、清洗剂等建设项目，提高低（无）VOCs含量产品比重。实施源头替代工程，加大工业涂装、包装印刷和电子行业低（无）VOCs含量原辅材料替代力度。指导企业积极申报VOCs末端治理豁免。（省生态环境厅牵头）在生产、销售、进口、使用等环节严格执行VOCs含量限值标准。（省市场监管局、青岛海关、济南海关牵头，省生态环境厅配合）</w:t>
                  </w:r>
                </w:p>
              </w:tc>
              <w:tc>
                <w:tcPr>
                  <w:tcW w:w="1914" w:type="dxa"/>
                  <w:tcBorders>
                    <w:bottom w:val="single" w:color="auto" w:sz="4" w:space="0"/>
                  </w:tcBorders>
                  <w:noWrap w:val="0"/>
                  <w:vAlign w:val="center"/>
                </w:tcPr>
                <w:p w14:paraId="43F8787F">
                  <w:pPr>
                    <w:tabs>
                      <w:tab w:val="left" w:pos="6615"/>
                    </w:tabs>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本项目原辅料及生产工艺均不涉及</w:t>
                  </w:r>
                  <w:r>
                    <w:rPr>
                      <w:rFonts w:hint="default" w:ascii="Times New Roman" w:hAnsi="Times New Roman" w:eastAsia="宋体" w:cs="Times New Roman"/>
                      <w:color w:val="auto"/>
                      <w:sz w:val="18"/>
                      <w:szCs w:val="18"/>
                      <w:highlight w:val="none"/>
                    </w:rPr>
                    <w:t>VOCs</w:t>
                  </w:r>
                  <w:r>
                    <w:rPr>
                      <w:rFonts w:hint="default" w:ascii="Times New Roman" w:hAnsi="Times New Roman" w:eastAsia="宋体" w:cs="Times New Roman"/>
                      <w:color w:val="auto"/>
                      <w:sz w:val="18"/>
                      <w:szCs w:val="18"/>
                      <w:highlight w:val="none"/>
                      <w:lang w:eastAsia="zh-CN"/>
                    </w:rPr>
                    <w:t>。</w:t>
                  </w:r>
                </w:p>
                <w:p w14:paraId="56729598">
                  <w:pPr>
                    <w:tabs>
                      <w:tab w:val="left" w:pos="6615"/>
                    </w:tabs>
                    <w:jc w:val="center"/>
                    <w:rPr>
                      <w:rFonts w:hint="default" w:ascii="Times New Roman" w:hAnsi="Times New Roman" w:eastAsia="宋体" w:cs="Times New Roman"/>
                      <w:color w:val="auto"/>
                      <w:sz w:val="18"/>
                      <w:szCs w:val="18"/>
                      <w:highlight w:val="none"/>
                      <w:lang w:val="en-US" w:eastAsia="zh-CN"/>
                    </w:rPr>
                  </w:pPr>
                </w:p>
              </w:tc>
              <w:tc>
                <w:tcPr>
                  <w:tcW w:w="1029" w:type="dxa"/>
                  <w:tcBorders>
                    <w:bottom w:val="single" w:color="auto" w:sz="4" w:space="0"/>
                  </w:tcBorders>
                  <w:noWrap w:val="0"/>
                  <w:vAlign w:val="center"/>
                </w:tcPr>
                <w:p w14:paraId="31CA08C5">
                  <w:pPr>
                    <w:tabs>
                      <w:tab w:val="left" w:pos="6615"/>
                    </w:tabs>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w:t>
                  </w:r>
                </w:p>
              </w:tc>
            </w:tr>
            <w:tr w14:paraId="1985D4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0" w:hRule="atLeast"/>
                <w:jc w:val="center"/>
              </w:trPr>
              <w:tc>
                <w:tcPr>
                  <w:tcW w:w="5185" w:type="dxa"/>
                  <w:tcBorders>
                    <w:top w:val="single" w:color="auto" w:sz="4" w:space="0"/>
                    <w:bottom w:val="single" w:color="auto" w:sz="4" w:space="0"/>
                  </w:tcBorders>
                  <w:noWrap w:val="0"/>
                  <w:vAlign w:val="center"/>
                </w:tcPr>
                <w:p w14:paraId="7B711F35">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强化VOCs全流程、全环节综合治理。以石油炼制、石油化工、有机化工等行业以及储油库、港口码头为重点，开展VOCs液体储罐专项治理。做好石化、化工行业集中的工业园区泄漏检测与修复（LDAR）信息管理平台日常运维监管。（省生态环境厅牵头）</w:t>
                  </w:r>
                </w:p>
              </w:tc>
              <w:tc>
                <w:tcPr>
                  <w:tcW w:w="1914" w:type="dxa"/>
                  <w:tcBorders>
                    <w:top w:val="single" w:color="auto" w:sz="4" w:space="0"/>
                  </w:tcBorders>
                  <w:noWrap w:val="0"/>
                  <w:vAlign w:val="center"/>
                </w:tcPr>
                <w:p w14:paraId="2E01CE9A">
                  <w:pPr>
                    <w:tabs>
                      <w:tab w:val="left" w:pos="6615"/>
                    </w:tabs>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本项目原辅料及生产工艺均不涉及</w:t>
                  </w:r>
                  <w:r>
                    <w:rPr>
                      <w:rFonts w:ascii="Times New Roman" w:hAnsi="Times New Roman" w:eastAsia="宋体" w:cs="Times New Roman"/>
                      <w:color w:val="auto"/>
                      <w:sz w:val="18"/>
                      <w:szCs w:val="18"/>
                      <w:highlight w:val="none"/>
                    </w:rPr>
                    <w:t>VOCs</w:t>
                  </w:r>
                  <w:r>
                    <w:rPr>
                      <w:rFonts w:hint="eastAsia" w:ascii="Times New Roman" w:hAnsi="Times New Roman" w:eastAsia="宋体" w:cs="Times New Roman"/>
                      <w:color w:val="auto"/>
                      <w:sz w:val="18"/>
                      <w:szCs w:val="18"/>
                      <w:highlight w:val="none"/>
                      <w:lang w:eastAsia="zh-CN"/>
                    </w:rPr>
                    <w:t>。</w:t>
                  </w:r>
                </w:p>
              </w:tc>
              <w:tc>
                <w:tcPr>
                  <w:tcW w:w="1029" w:type="dxa"/>
                  <w:tcBorders>
                    <w:top w:val="single" w:color="auto" w:sz="4" w:space="0"/>
                  </w:tcBorders>
                  <w:noWrap w:val="0"/>
                  <w:vAlign w:val="center"/>
                </w:tcPr>
                <w:p w14:paraId="66AC38E0">
                  <w:pPr>
                    <w:tabs>
                      <w:tab w:val="left" w:pos="6615"/>
                    </w:tabs>
                    <w:jc w:val="center"/>
                    <w:rPr>
                      <w:color w:val="auto"/>
                      <w:sz w:val="18"/>
                      <w:szCs w:val="18"/>
                      <w:highlight w:val="none"/>
                    </w:rPr>
                  </w:pPr>
                  <w:r>
                    <w:rPr>
                      <w:color w:val="auto"/>
                      <w:sz w:val="18"/>
                      <w:szCs w:val="18"/>
                      <w:highlight w:val="none"/>
                    </w:rPr>
                    <w:t>符合</w:t>
                  </w:r>
                </w:p>
              </w:tc>
            </w:tr>
          </w:tbl>
          <w:p w14:paraId="4C906494">
            <w:pPr>
              <w:tabs>
                <w:tab w:val="left" w:pos="5427"/>
              </w:tabs>
              <w:spacing w:line="360" w:lineRule="auto"/>
              <w:ind w:firstLine="420" w:firstLineChars="200"/>
              <w:rPr>
                <w:bCs/>
                <w:color w:val="auto"/>
                <w:highlight w:val="none"/>
              </w:rPr>
            </w:pPr>
            <w:r>
              <w:rPr>
                <w:bCs/>
                <w:color w:val="auto"/>
                <w:highlight w:val="none"/>
              </w:rPr>
              <w:t>（</w:t>
            </w:r>
            <w:r>
              <w:rPr>
                <w:rFonts w:hint="eastAsia"/>
                <w:bCs/>
                <w:color w:val="auto"/>
                <w:highlight w:val="none"/>
                <w:lang w:val="en-US" w:eastAsia="zh-CN"/>
              </w:rPr>
              <w:t>6</w:t>
            </w:r>
            <w:r>
              <w:rPr>
                <w:bCs/>
                <w:color w:val="auto"/>
                <w:highlight w:val="none"/>
              </w:rPr>
              <w:t>）《山东省工业企业无组织排放分行业管控指导意见》鲁环发[2020]30 号的符合性分析</w:t>
            </w:r>
          </w:p>
          <w:p w14:paraId="327E3E34">
            <w:pPr>
              <w:tabs>
                <w:tab w:val="left" w:pos="5427"/>
              </w:tabs>
              <w:spacing w:line="360" w:lineRule="auto"/>
              <w:ind w:firstLine="420" w:firstLineChars="200"/>
              <w:rPr>
                <w:bCs/>
                <w:color w:val="auto"/>
                <w:highlight w:val="none"/>
              </w:rPr>
            </w:pPr>
            <w:r>
              <w:rPr>
                <w:bCs/>
                <w:color w:val="auto"/>
                <w:highlight w:val="none"/>
              </w:rPr>
              <w:t>本项目与鲁环发[2020]30 号的符合性分析见下表。</w:t>
            </w:r>
          </w:p>
          <w:p w14:paraId="25DFEDDA">
            <w:pPr>
              <w:pStyle w:val="10"/>
              <w:spacing w:line="360" w:lineRule="auto"/>
              <w:ind w:firstLine="422"/>
              <w:jc w:val="center"/>
              <w:rPr>
                <w:color w:val="auto"/>
                <w:highlight w:val="none"/>
                <w:lang w:eastAsia="zh"/>
              </w:rPr>
            </w:pPr>
            <w:r>
              <w:rPr>
                <w:b/>
                <w:color w:val="auto"/>
                <w:highlight w:val="none"/>
              </w:rPr>
              <w:t>表1-</w:t>
            </w:r>
            <w:r>
              <w:rPr>
                <w:rFonts w:hint="eastAsia"/>
                <w:b/>
                <w:color w:val="auto"/>
                <w:highlight w:val="none"/>
                <w:lang w:val="en-US" w:eastAsia="zh-CN"/>
              </w:rPr>
              <w:t>9</w:t>
            </w:r>
            <w:r>
              <w:rPr>
                <w:b/>
                <w:color w:val="auto"/>
                <w:highlight w:val="none"/>
              </w:rPr>
              <w:t>项目与鲁环发[2020]30 号符合情况分析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6"/>
              <w:gridCol w:w="4148"/>
              <w:gridCol w:w="1705"/>
              <w:gridCol w:w="932"/>
            </w:tblGrid>
            <w:tr w14:paraId="1634D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Align w:val="center"/>
                </w:tcPr>
                <w:p w14:paraId="404F3088">
                  <w:pPr>
                    <w:pStyle w:val="1314"/>
                    <w:ind w:right="24"/>
                    <w:jc w:val="center"/>
                    <w:textAlignment w:val="baseline"/>
                    <w:rPr>
                      <w:rFonts w:ascii="Times New Roman" w:hAnsi="Times New Roman" w:cs="Times New Roman"/>
                      <w:b/>
                      <w:bCs/>
                      <w:color w:val="auto"/>
                      <w:sz w:val="18"/>
                      <w:szCs w:val="21"/>
                      <w:highlight w:val="none"/>
                    </w:rPr>
                  </w:pPr>
                  <w:r>
                    <w:rPr>
                      <w:rFonts w:ascii="Times New Roman" w:hAnsi="Times New Roman" w:cs="Times New Roman"/>
                      <w:b/>
                      <w:bCs/>
                      <w:color w:val="auto"/>
                      <w:sz w:val="18"/>
                      <w:szCs w:val="21"/>
                      <w:highlight w:val="none"/>
                    </w:rPr>
                    <w:t>分类</w:t>
                  </w:r>
                </w:p>
              </w:tc>
              <w:tc>
                <w:tcPr>
                  <w:tcW w:w="4696" w:type="dxa"/>
                  <w:vAlign w:val="center"/>
                </w:tcPr>
                <w:p w14:paraId="192EE3EB">
                  <w:pPr>
                    <w:pStyle w:val="1314"/>
                    <w:ind w:left="19"/>
                    <w:jc w:val="center"/>
                    <w:textAlignment w:val="baseline"/>
                    <w:rPr>
                      <w:rFonts w:ascii="Times New Roman" w:hAnsi="Times New Roman" w:cs="Times New Roman"/>
                      <w:b/>
                      <w:bCs/>
                      <w:color w:val="auto"/>
                      <w:sz w:val="18"/>
                      <w:szCs w:val="21"/>
                      <w:highlight w:val="none"/>
                    </w:rPr>
                  </w:pPr>
                  <w:r>
                    <w:rPr>
                      <w:rFonts w:ascii="Times New Roman" w:hAnsi="Times New Roman" w:cs="Times New Roman"/>
                      <w:b/>
                      <w:bCs/>
                      <w:color w:val="auto"/>
                      <w:sz w:val="18"/>
                      <w:szCs w:val="21"/>
                      <w:highlight w:val="none"/>
                    </w:rPr>
                    <w:t>文件要求</w:t>
                  </w:r>
                </w:p>
              </w:tc>
              <w:tc>
                <w:tcPr>
                  <w:tcW w:w="1920" w:type="dxa"/>
                  <w:vAlign w:val="center"/>
                </w:tcPr>
                <w:p w14:paraId="50744459">
                  <w:pPr>
                    <w:pStyle w:val="1314"/>
                    <w:ind w:left="19"/>
                    <w:jc w:val="center"/>
                    <w:textAlignment w:val="baseline"/>
                    <w:rPr>
                      <w:rFonts w:ascii="Times New Roman" w:hAnsi="Times New Roman" w:cs="Times New Roman"/>
                      <w:b/>
                      <w:bCs/>
                      <w:color w:val="auto"/>
                      <w:sz w:val="18"/>
                      <w:szCs w:val="21"/>
                      <w:highlight w:val="none"/>
                    </w:rPr>
                  </w:pPr>
                  <w:r>
                    <w:rPr>
                      <w:rFonts w:ascii="Times New Roman" w:hAnsi="Times New Roman" w:cs="Times New Roman"/>
                      <w:b/>
                      <w:bCs/>
                      <w:color w:val="auto"/>
                      <w:sz w:val="18"/>
                      <w:szCs w:val="21"/>
                      <w:highlight w:val="none"/>
                    </w:rPr>
                    <w:t>本项目情况</w:t>
                  </w:r>
                </w:p>
              </w:tc>
              <w:tc>
                <w:tcPr>
                  <w:tcW w:w="1050" w:type="dxa"/>
                  <w:vAlign w:val="center"/>
                </w:tcPr>
                <w:p w14:paraId="4487861E">
                  <w:pPr>
                    <w:pStyle w:val="1314"/>
                    <w:ind w:left="48"/>
                    <w:jc w:val="center"/>
                    <w:textAlignment w:val="baseline"/>
                    <w:rPr>
                      <w:rFonts w:ascii="Times New Roman" w:hAnsi="Times New Roman" w:cs="Times New Roman"/>
                      <w:b/>
                      <w:bCs/>
                      <w:color w:val="auto"/>
                      <w:sz w:val="18"/>
                      <w:szCs w:val="21"/>
                      <w:highlight w:val="none"/>
                    </w:rPr>
                  </w:pPr>
                  <w:r>
                    <w:rPr>
                      <w:rFonts w:ascii="Times New Roman" w:hAnsi="Times New Roman" w:cs="Times New Roman"/>
                      <w:b/>
                      <w:bCs/>
                      <w:color w:val="auto"/>
                      <w:sz w:val="18"/>
                      <w:szCs w:val="21"/>
                      <w:highlight w:val="none"/>
                    </w:rPr>
                    <w:t>符合性</w:t>
                  </w:r>
                </w:p>
              </w:tc>
            </w:tr>
            <w:tr w14:paraId="70F44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restart"/>
                  <w:vAlign w:val="center"/>
                </w:tcPr>
                <w:p w14:paraId="358A261E">
                  <w:pPr>
                    <w:pStyle w:val="1314"/>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管控要求</w:t>
                  </w:r>
                </w:p>
              </w:tc>
              <w:tc>
                <w:tcPr>
                  <w:tcW w:w="4696" w:type="dxa"/>
                  <w:vAlign w:val="center"/>
                </w:tcPr>
                <w:p w14:paraId="6A00A939">
                  <w:pPr>
                    <w:pStyle w:val="1314"/>
                    <w:ind w:left="76"/>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1、加强物料运输、装卸环节管控。煤粉、粉煤灰、石灰、除尘灰、脱硫灰、原料药等粉状物料采用管状带式输送机、气力输送、真空罐车、密闭车厢等密闭方式运输；砂石、矿石、煤、铁精矿、脱硫石膏等块状、粒状或粘湿物料采用皮带通廊、封闭车厢等封闭方式运输或苫盖严密，防止沿途抛洒和飞扬。料场或厂区出入口配备车辆清洗装置或采取其他控制措施，确保出场车辆清洁、运输不起尘。厂区道路硬化，平整无破损、无积尘，厂区无裸露空地，闲置裸露空地及时绿化或硬化，厂区道路定期洒水清扫。块状、粒状或粘湿物料直接卸落至储存料场，装卸过程配备有效抑尘、集尘除尘设施，粉状物料装卸口配备密封防尘装置且不得直接卸落到地面。挥发性有机液体装车采用顶部浸没式或底部装载，严禁喷溅，运输相关产品的车辆具备油气回收接口。</w:t>
                  </w:r>
                </w:p>
              </w:tc>
              <w:tc>
                <w:tcPr>
                  <w:tcW w:w="1920" w:type="dxa"/>
                  <w:vAlign w:val="center"/>
                </w:tcPr>
                <w:p w14:paraId="3FF99700">
                  <w:pPr>
                    <w:pStyle w:val="1314"/>
                    <w:ind w:left="72" w:leftChars="0"/>
                    <w:jc w:val="center"/>
                    <w:textAlignment w:val="baseline"/>
                    <w:rPr>
                      <w:rFonts w:ascii="Times New Roman" w:hAnsi="Times New Roman" w:cs="Times New Roman"/>
                      <w:color w:val="auto"/>
                      <w:sz w:val="18"/>
                      <w:szCs w:val="21"/>
                      <w:lang w:val="en-US"/>
                    </w:rPr>
                  </w:pPr>
                  <w:r>
                    <w:rPr>
                      <w:rFonts w:hint="eastAsia" w:ascii="Times New Roman" w:cs="Times New Roman"/>
                      <w:color w:val="auto"/>
                      <w:sz w:val="18"/>
                      <w:szCs w:val="18"/>
                      <w:lang w:val="en-US" w:eastAsia="zh-CN"/>
                    </w:rPr>
                    <w:t>本项目原料均为袋装，密闭储存在车间原料区内，进料、筛分、上料、混料、装料、包装工序设置集气罩，经布袋除尘器处理后有组织排放</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21"/>
                      <w:highlight w:val="none"/>
                      <w:lang w:val="en-US" w:eastAsia="zh-CN"/>
                    </w:rPr>
                    <w:t>不涉及</w:t>
                  </w:r>
                  <w:r>
                    <w:rPr>
                      <w:rFonts w:hint="default" w:ascii="Times New Roman" w:hAnsi="Times New Roman" w:cs="Times New Roman"/>
                      <w:color w:val="auto"/>
                      <w:sz w:val="18"/>
                      <w:szCs w:val="18"/>
                    </w:rPr>
                    <w:t>挥发性有机液体</w:t>
                  </w:r>
                  <w:r>
                    <w:rPr>
                      <w:rFonts w:hint="default" w:ascii="Times New Roman" w:hAnsi="Times New Roman" w:cs="Times New Roman"/>
                      <w:color w:val="auto"/>
                      <w:sz w:val="18"/>
                      <w:szCs w:val="18"/>
                      <w:lang w:eastAsia="zh-CN"/>
                    </w:rPr>
                    <w:t>。</w:t>
                  </w:r>
                </w:p>
              </w:tc>
              <w:tc>
                <w:tcPr>
                  <w:tcW w:w="1050" w:type="dxa"/>
                  <w:vAlign w:val="center"/>
                </w:tcPr>
                <w:p w14:paraId="15369686">
                  <w:pPr>
                    <w:pStyle w:val="1314"/>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符合</w:t>
                  </w:r>
                </w:p>
              </w:tc>
            </w:tr>
            <w:tr w14:paraId="67319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7B6BA5F8">
                  <w:pPr>
                    <w:pStyle w:val="1314"/>
                    <w:jc w:val="center"/>
                    <w:textAlignment w:val="baseline"/>
                    <w:rPr>
                      <w:rFonts w:ascii="Times New Roman" w:hAnsi="Times New Roman" w:cs="Times New Roman"/>
                      <w:color w:val="auto"/>
                      <w:sz w:val="18"/>
                      <w:szCs w:val="21"/>
                    </w:rPr>
                  </w:pPr>
                </w:p>
              </w:tc>
              <w:tc>
                <w:tcPr>
                  <w:tcW w:w="4696" w:type="dxa"/>
                  <w:vAlign w:val="center"/>
                </w:tcPr>
                <w:p w14:paraId="398AF0E2">
                  <w:pPr>
                    <w:pStyle w:val="1314"/>
                    <w:ind w:left="76"/>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18"/>
                    </w:rPr>
                    <w:t>2、加强物料储存、输送环节管控。煤粉、粉煤灰、石灰、除尘灰、脱硫灰、原料药等粉状物料采用料仓、储罐、容器、包装袋等方式密闭储存，料仓、储罐配置高效除尘设施；采用管状带式输送机、气力输送、真空罐车、密闭车辆等方式输送。砂石、矿石、煤、铁精矿、脱硫石膏等块状、粒状或粘湿物料采用密闭料仓、封闭料棚或建设防风抑尘网等方式进行规范储存，封闭料棚和露天料场内设有喷淋装置，喷淋范围覆盖整个料堆。所储存物料对含水率有严格要求或遇水发生变化的，在料场内安装有效集尘除尘设施。封闭料棚进出口安装封闭性良好且便于开关的卷帘门、推拉门或自动感应门等，无车辆通过时将门关闭。防风抑尘网高度高于料场堆存高度，并对堆存物料进行严密苫盖。块状、粒状或粘湿物料上料口设置在封闭料棚内，采用管状带式输送机、皮带通廊、封闭车辆等方式输送。物料上料、输送、转接、出料和扒渣等过程中的产尘点采取有效抑尘、集尘除尘措施。含挥发性有机物（VOCs）物料储存于密闭容器、包装袋，高效密封储罐，封闭式储库、料仓等；封闭式储库、料仓设置VOCs有效收集治理设施。含VOCs物料输送，采用密闭管道或密闭容器、罐车等。</w:t>
                  </w:r>
                </w:p>
              </w:tc>
              <w:tc>
                <w:tcPr>
                  <w:tcW w:w="1920" w:type="dxa"/>
                  <w:vAlign w:val="center"/>
                </w:tcPr>
                <w:p w14:paraId="44EE1129">
                  <w:pPr>
                    <w:pStyle w:val="1314"/>
                    <w:ind w:left="72" w:leftChars="0"/>
                    <w:jc w:val="center"/>
                    <w:textAlignment w:val="baseline"/>
                    <w:rPr>
                      <w:rFonts w:hint="eastAsia" w:ascii="Times New Roman" w:hAnsi="Times New Roman" w:eastAsia="宋体" w:cs="Times New Roman"/>
                      <w:color w:val="auto"/>
                      <w:sz w:val="18"/>
                      <w:szCs w:val="21"/>
                      <w:lang w:val="en-US" w:eastAsia="zh-CN"/>
                    </w:rPr>
                  </w:pPr>
                  <w:r>
                    <w:rPr>
                      <w:rFonts w:hint="eastAsia" w:ascii="Times New Roman" w:cs="Times New Roman"/>
                      <w:color w:val="auto"/>
                      <w:sz w:val="18"/>
                      <w:szCs w:val="18"/>
                      <w:lang w:val="en-US" w:eastAsia="zh-CN"/>
                    </w:rPr>
                    <w:t>本项目原料均为袋装，密闭储存在车间原料区内，进料、筛分、上料、混料、装料、包装工序设置集气罩，经布袋除尘器处理后有组织排放</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21"/>
                      <w:highlight w:val="none"/>
                      <w:lang w:val="en-US" w:eastAsia="zh-CN"/>
                    </w:rPr>
                    <w:t>不涉及</w:t>
                  </w:r>
                  <w:r>
                    <w:rPr>
                      <w:rFonts w:hint="default" w:ascii="Times New Roman" w:hAnsi="Times New Roman" w:cs="Times New Roman"/>
                      <w:color w:val="auto"/>
                      <w:sz w:val="18"/>
                      <w:szCs w:val="18"/>
                    </w:rPr>
                    <w:t>挥发性有机液体</w:t>
                  </w:r>
                  <w:r>
                    <w:rPr>
                      <w:rFonts w:hint="default" w:ascii="Times New Roman" w:hAnsi="Times New Roman" w:cs="Times New Roman"/>
                      <w:color w:val="auto"/>
                      <w:sz w:val="18"/>
                      <w:szCs w:val="21"/>
                      <w:highlight w:val="none"/>
                      <w:lang w:val="en-US" w:eastAsia="zh-CN"/>
                    </w:rPr>
                    <w:t>。</w:t>
                  </w:r>
                </w:p>
              </w:tc>
              <w:tc>
                <w:tcPr>
                  <w:tcW w:w="1050" w:type="dxa"/>
                  <w:vAlign w:val="center"/>
                </w:tcPr>
                <w:p w14:paraId="429D6642">
                  <w:pPr>
                    <w:pStyle w:val="1314"/>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符合</w:t>
                  </w:r>
                </w:p>
              </w:tc>
            </w:tr>
            <w:tr w14:paraId="785D5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5269B774">
                  <w:pPr>
                    <w:pStyle w:val="1314"/>
                    <w:jc w:val="center"/>
                    <w:textAlignment w:val="baseline"/>
                    <w:rPr>
                      <w:rFonts w:ascii="Times New Roman" w:hAnsi="Times New Roman" w:cs="Times New Roman"/>
                      <w:color w:val="auto"/>
                      <w:sz w:val="18"/>
                      <w:szCs w:val="21"/>
                    </w:rPr>
                  </w:pPr>
                </w:p>
              </w:tc>
              <w:tc>
                <w:tcPr>
                  <w:tcW w:w="4696" w:type="dxa"/>
                  <w:vAlign w:val="center"/>
                </w:tcPr>
                <w:p w14:paraId="2574C3B1">
                  <w:pPr>
                    <w:pStyle w:val="1314"/>
                    <w:ind w:left="76"/>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18"/>
                    </w:rPr>
                    <w:t>3、加强生产环节管控。通过提高工艺自动化和设备密闭化水平，减少生产过程中的无组织排放。生产过程中的产尘点和VOCs产生点密闭、封闭或采取有效收集处理措施。生产设备和废气收集处理设施同步运行，废气收集处理设施发生故障或检修时，停止运行对应的生产设备，待检修完毕后投入使用。生产设备不能停止或不能及时停止运行的，设置废气应急处理设施或采取其他替代措施。生产车间地面及生产设备表面保持清洁，除电子、电气原件外，不得采用压缩空气吹扫等易产生扬尘的清理措施。厂内污水收集、输送、处理，污泥产生、暂存、处置，危险废物暂存等产生VOCs或恶臭气体的区域加罩或加盖封闭并进行收集处理。涉VOCs化（试）验室实验平台设置负压集气系统，对化（试）验室中产生的废气进行集中收集治理。</w:t>
                  </w:r>
                </w:p>
              </w:tc>
              <w:tc>
                <w:tcPr>
                  <w:tcW w:w="1920" w:type="dxa"/>
                  <w:vAlign w:val="center"/>
                </w:tcPr>
                <w:p w14:paraId="0E560C9C">
                  <w:pPr>
                    <w:pStyle w:val="1314"/>
                    <w:ind w:left="72"/>
                    <w:jc w:val="center"/>
                    <w:textAlignment w:val="baseline"/>
                    <w:rPr>
                      <w:rFonts w:hint="eastAsia" w:ascii="Times New Roman" w:hAnsi="Times New Roman" w:eastAsia="宋体" w:cs="Times New Roman"/>
                      <w:color w:val="auto"/>
                      <w:sz w:val="18"/>
                      <w:szCs w:val="21"/>
                      <w:lang w:val="en-US" w:eastAsia="zh-CN"/>
                    </w:rPr>
                  </w:pPr>
                  <w:r>
                    <w:rPr>
                      <w:rFonts w:ascii="Times New Roman" w:hAnsi="Times New Roman" w:cs="Times New Roman"/>
                      <w:color w:val="auto"/>
                      <w:sz w:val="18"/>
                      <w:szCs w:val="18"/>
                    </w:rPr>
                    <w:t>物料</w:t>
                  </w:r>
                  <w:r>
                    <w:rPr>
                      <w:rFonts w:hint="eastAsia" w:ascii="Times New Roman" w:cs="Times New Roman"/>
                      <w:color w:val="auto"/>
                      <w:sz w:val="18"/>
                      <w:szCs w:val="18"/>
                      <w:lang w:val="en-US" w:eastAsia="zh-CN"/>
                    </w:rPr>
                    <w:t>上料、筛分、混料、装料、包装等</w:t>
                  </w:r>
                  <w:r>
                    <w:rPr>
                      <w:rFonts w:ascii="Times New Roman" w:hAnsi="Times New Roman" w:cs="Times New Roman"/>
                      <w:color w:val="auto"/>
                      <w:sz w:val="18"/>
                      <w:szCs w:val="18"/>
                    </w:rPr>
                    <w:t>过程中的产尘点</w:t>
                  </w:r>
                  <w:r>
                    <w:rPr>
                      <w:rFonts w:hint="eastAsia" w:ascii="Times New Roman" w:hAnsi="Times New Roman" w:cs="Times New Roman"/>
                      <w:color w:val="auto"/>
                      <w:sz w:val="18"/>
                      <w:szCs w:val="18"/>
                      <w:lang w:eastAsia="zh-CN"/>
                    </w:rPr>
                    <w:t>均设置集气罩，经布袋除尘器处理后有组织排放</w:t>
                  </w:r>
                  <w:r>
                    <w:rPr>
                      <w:rFonts w:ascii="Times New Roman" w:hAnsi="Times New Roman" w:cs="Times New Roman"/>
                      <w:color w:val="auto"/>
                      <w:sz w:val="18"/>
                      <w:szCs w:val="18"/>
                    </w:rPr>
                    <w:t>。</w:t>
                  </w:r>
                </w:p>
              </w:tc>
              <w:tc>
                <w:tcPr>
                  <w:tcW w:w="1050" w:type="dxa"/>
                  <w:vAlign w:val="center"/>
                </w:tcPr>
                <w:p w14:paraId="6130387A">
                  <w:pPr>
                    <w:pStyle w:val="1314"/>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符合</w:t>
                  </w:r>
                </w:p>
              </w:tc>
            </w:tr>
            <w:tr w14:paraId="394AD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73E5DBBF">
                  <w:pPr>
                    <w:pStyle w:val="1314"/>
                    <w:jc w:val="center"/>
                    <w:textAlignment w:val="baseline"/>
                    <w:rPr>
                      <w:rFonts w:ascii="Times New Roman" w:hAnsi="Times New Roman" w:cs="Times New Roman"/>
                      <w:color w:val="auto"/>
                      <w:sz w:val="18"/>
                      <w:szCs w:val="21"/>
                    </w:rPr>
                  </w:pPr>
                </w:p>
              </w:tc>
              <w:tc>
                <w:tcPr>
                  <w:tcW w:w="4696" w:type="dxa"/>
                  <w:vAlign w:val="center"/>
                </w:tcPr>
                <w:p w14:paraId="2EA179FC">
                  <w:pPr>
                    <w:pStyle w:val="1314"/>
                    <w:ind w:left="76"/>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18"/>
                    </w:rPr>
                    <w:t>4、加强精细化管控。针对各无组织排放环节，制定“一厂一策”深度治理方案。制定无组织排放治理设施操作规程，并建立管理台账，记录操作人员操作内容、运行、维护、检修和含VOCs物料使用回收等情况，记录保存期限不得少于三年。鼓励安装视频、空气微站等监控设施和综合监控信息平台，用于企业日常自我监督，逐步实现无组织排放向精细化和可量化管理方式转变。</w:t>
                  </w:r>
                </w:p>
              </w:tc>
              <w:tc>
                <w:tcPr>
                  <w:tcW w:w="1920" w:type="dxa"/>
                  <w:vAlign w:val="center"/>
                </w:tcPr>
                <w:p w14:paraId="1771671F">
                  <w:pPr>
                    <w:pStyle w:val="1314"/>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项目建成后届时按照要求编制治理方案，建立管理台账等信息</w:t>
                  </w:r>
                </w:p>
              </w:tc>
              <w:tc>
                <w:tcPr>
                  <w:tcW w:w="1050" w:type="dxa"/>
                  <w:vAlign w:val="center"/>
                </w:tcPr>
                <w:p w14:paraId="1AC71441">
                  <w:pPr>
                    <w:pStyle w:val="1314"/>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符合</w:t>
                  </w:r>
                </w:p>
              </w:tc>
            </w:tr>
          </w:tbl>
          <w:p w14:paraId="441972E7">
            <w:pPr>
              <w:adjustRightInd w:val="0"/>
              <w:snapToGrid w:val="0"/>
              <w:spacing w:line="360" w:lineRule="auto"/>
              <w:ind w:firstLine="420" w:firstLineChars="200"/>
              <w:rPr>
                <w:color w:val="auto"/>
              </w:rPr>
            </w:pPr>
            <w:r>
              <w:rPr>
                <w:color w:val="auto"/>
              </w:rPr>
              <w:t>（</w:t>
            </w:r>
            <w:r>
              <w:rPr>
                <w:rFonts w:hint="eastAsia"/>
                <w:color w:val="auto"/>
                <w:lang w:val="en-US" w:eastAsia="zh-CN"/>
              </w:rPr>
              <w:t>7</w:t>
            </w:r>
            <w:r>
              <w:rPr>
                <w:color w:val="auto"/>
              </w:rPr>
              <w:t>）与《山东省“两高”项目管理目录》（202</w:t>
            </w:r>
            <w:r>
              <w:rPr>
                <w:rFonts w:hint="eastAsia"/>
                <w:color w:val="auto"/>
                <w:lang w:val="en-US" w:eastAsia="zh-CN"/>
              </w:rPr>
              <w:t>5</w:t>
            </w:r>
            <w:r>
              <w:rPr>
                <w:color w:val="auto"/>
              </w:rPr>
              <w:t>年版）的符合性</w:t>
            </w:r>
          </w:p>
          <w:p w14:paraId="2DAB2D4A">
            <w:pPr>
              <w:adjustRightInd w:val="0"/>
              <w:snapToGrid w:val="0"/>
              <w:spacing w:line="360" w:lineRule="auto"/>
              <w:ind w:firstLine="420" w:firstLineChars="200"/>
              <w:rPr>
                <w:color w:val="auto"/>
              </w:rPr>
            </w:pPr>
            <w:r>
              <w:rPr>
                <w:bCs/>
                <w:color w:val="auto"/>
              </w:rPr>
              <w:t>本项目属于</w:t>
            </w:r>
            <w:r>
              <w:rPr>
                <w:rFonts w:hint="eastAsia"/>
                <w:color w:val="auto"/>
                <w:lang w:eastAsia="zh-CN"/>
              </w:rPr>
              <w:t>C3985电子专用材料制造</w:t>
            </w:r>
            <w:r>
              <w:rPr>
                <w:bCs/>
                <w:color w:val="auto"/>
              </w:rPr>
              <w:t>，不属于</w:t>
            </w:r>
            <w:r>
              <w:rPr>
                <w:color w:val="auto"/>
              </w:rPr>
              <w:t>《山东省“两高”项目管理目录》（202</w:t>
            </w:r>
            <w:r>
              <w:rPr>
                <w:rFonts w:hint="eastAsia"/>
                <w:color w:val="auto"/>
                <w:lang w:val="en-US" w:eastAsia="zh-CN"/>
              </w:rPr>
              <w:t>5</w:t>
            </w:r>
            <w:r>
              <w:rPr>
                <w:color w:val="auto"/>
              </w:rPr>
              <w:t>年版）</w:t>
            </w:r>
            <w:r>
              <w:rPr>
                <w:rFonts w:hint="eastAsia"/>
                <w:color w:val="auto"/>
                <w:lang w:val="en-US" w:eastAsia="zh-CN"/>
              </w:rPr>
              <w:t>中的</w:t>
            </w:r>
            <w:r>
              <w:rPr>
                <w:bCs/>
                <w:color w:val="auto"/>
              </w:rPr>
              <w:t>“两高”行业</w:t>
            </w:r>
            <w:r>
              <w:rPr>
                <w:color w:val="auto"/>
              </w:rPr>
              <w:t>，项目建设符合要求。</w:t>
            </w:r>
          </w:p>
          <w:p w14:paraId="7BE18357">
            <w:pPr>
              <w:adjustRightInd w:val="0"/>
              <w:snapToGrid w:val="0"/>
              <w:spacing w:line="360" w:lineRule="auto"/>
              <w:ind w:firstLine="420" w:firstLineChars="200"/>
              <w:rPr>
                <w:color w:val="auto"/>
              </w:rPr>
            </w:pPr>
            <w:r>
              <w:rPr>
                <w:color w:val="auto"/>
              </w:rPr>
              <w:t>（</w:t>
            </w:r>
            <w:r>
              <w:rPr>
                <w:rFonts w:hint="eastAsia"/>
                <w:color w:val="auto"/>
                <w:lang w:val="en-US" w:eastAsia="zh-CN"/>
              </w:rPr>
              <w:t>8</w:t>
            </w:r>
            <w:r>
              <w:rPr>
                <w:color w:val="auto"/>
              </w:rPr>
              <w:t>）与《关于严格项目审批工作坚决防止新上“散乱污”项目的通知》（鲁环字[2021]58号）的符合性分析。</w:t>
            </w:r>
          </w:p>
          <w:p w14:paraId="5939C4D3">
            <w:pPr>
              <w:adjustRightInd w:val="0"/>
              <w:snapToGrid w:val="0"/>
              <w:spacing w:line="360" w:lineRule="auto"/>
              <w:jc w:val="center"/>
              <w:rPr>
                <w:b/>
                <w:color w:val="auto"/>
              </w:rPr>
            </w:pPr>
            <w:r>
              <w:rPr>
                <w:b/>
                <w:color w:val="auto"/>
              </w:rPr>
              <w:t>表1-</w:t>
            </w:r>
            <w:r>
              <w:rPr>
                <w:rFonts w:hint="eastAsia"/>
                <w:b/>
                <w:color w:val="auto"/>
                <w:lang w:val="en-US" w:eastAsia="zh-CN"/>
              </w:rPr>
              <w:t>10</w:t>
            </w:r>
            <w:r>
              <w:rPr>
                <w:b/>
                <w:color w:val="auto"/>
              </w:rPr>
              <w:t>项目与《关于严格项目审批工作坚决防止新上“散乱污”项目的通知》（鲁环字[2021]58号）的符合性分析</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3951"/>
              <w:gridCol w:w="1696"/>
              <w:gridCol w:w="932"/>
            </w:tblGrid>
            <w:tr w14:paraId="05F5A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pct"/>
                  <w:vAlign w:val="center"/>
                </w:tcPr>
                <w:p w14:paraId="3C0EA4D4">
                  <w:pPr>
                    <w:jc w:val="center"/>
                    <w:rPr>
                      <w:b/>
                      <w:bCs/>
                      <w:color w:val="auto"/>
                      <w:sz w:val="18"/>
                      <w:szCs w:val="18"/>
                    </w:rPr>
                  </w:pPr>
                  <w:r>
                    <w:rPr>
                      <w:b/>
                      <w:bCs/>
                      <w:color w:val="auto"/>
                      <w:sz w:val="18"/>
                      <w:szCs w:val="18"/>
                    </w:rPr>
                    <w:t>序号</w:t>
                  </w:r>
                </w:p>
              </w:tc>
              <w:tc>
                <w:tcPr>
                  <w:tcW w:w="2731" w:type="pct"/>
                  <w:vAlign w:val="center"/>
                </w:tcPr>
                <w:p w14:paraId="54275A16">
                  <w:pPr>
                    <w:jc w:val="center"/>
                    <w:rPr>
                      <w:b/>
                      <w:bCs/>
                      <w:color w:val="auto"/>
                      <w:sz w:val="18"/>
                      <w:szCs w:val="18"/>
                    </w:rPr>
                  </w:pPr>
                  <w:r>
                    <w:rPr>
                      <w:b/>
                      <w:bCs/>
                      <w:color w:val="auto"/>
                      <w:sz w:val="18"/>
                      <w:szCs w:val="18"/>
                    </w:rPr>
                    <w:t>关于严格项目审批工作坚决防止新上“散乱污”项目的通知（鲁环字[2021]58号）</w:t>
                  </w:r>
                </w:p>
              </w:tc>
              <w:tc>
                <w:tcPr>
                  <w:tcW w:w="1172" w:type="pct"/>
                  <w:vAlign w:val="center"/>
                </w:tcPr>
                <w:p w14:paraId="049B5FE6">
                  <w:pPr>
                    <w:jc w:val="center"/>
                    <w:rPr>
                      <w:b/>
                      <w:bCs/>
                      <w:color w:val="auto"/>
                      <w:sz w:val="18"/>
                      <w:szCs w:val="18"/>
                    </w:rPr>
                  </w:pPr>
                  <w:r>
                    <w:rPr>
                      <w:b/>
                      <w:bCs/>
                      <w:color w:val="auto"/>
                      <w:sz w:val="18"/>
                      <w:szCs w:val="18"/>
                    </w:rPr>
                    <w:t>项目符合情况</w:t>
                  </w:r>
                </w:p>
              </w:tc>
              <w:tc>
                <w:tcPr>
                  <w:tcW w:w="644" w:type="pct"/>
                  <w:vAlign w:val="center"/>
                </w:tcPr>
                <w:p w14:paraId="6E79B3AB">
                  <w:pPr>
                    <w:jc w:val="center"/>
                    <w:rPr>
                      <w:b/>
                      <w:bCs/>
                      <w:color w:val="auto"/>
                      <w:sz w:val="18"/>
                      <w:szCs w:val="18"/>
                    </w:rPr>
                  </w:pPr>
                  <w:r>
                    <w:rPr>
                      <w:b/>
                      <w:bCs/>
                      <w:color w:val="auto"/>
                      <w:sz w:val="18"/>
                      <w:szCs w:val="18"/>
                    </w:rPr>
                    <w:t>符合情况</w:t>
                  </w:r>
                </w:p>
              </w:tc>
            </w:tr>
            <w:tr w14:paraId="75785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pct"/>
                  <w:vAlign w:val="center"/>
                </w:tcPr>
                <w:p w14:paraId="5C5E6429">
                  <w:pPr>
                    <w:snapToGrid w:val="0"/>
                    <w:jc w:val="center"/>
                    <w:rPr>
                      <w:color w:val="auto"/>
                      <w:sz w:val="18"/>
                      <w:szCs w:val="18"/>
                    </w:rPr>
                  </w:pPr>
                  <w:r>
                    <w:rPr>
                      <w:color w:val="auto"/>
                      <w:sz w:val="18"/>
                      <w:szCs w:val="18"/>
                    </w:rPr>
                    <w:t>一</w:t>
                  </w:r>
                </w:p>
              </w:tc>
              <w:tc>
                <w:tcPr>
                  <w:tcW w:w="2731" w:type="pct"/>
                  <w:vAlign w:val="center"/>
                </w:tcPr>
                <w:p w14:paraId="27F9E528">
                  <w:pPr>
                    <w:snapToGrid w:val="0"/>
                    <w:jc w:val="center"/>
                    <w:rPr>
                      <w:color w:val="auto"/>
                      <w:sz w:val="18"/>
                      <w:szCs w:val="18"/>
                    </w:rPr>
                  </w:pPr>
                  <w:r>
                    <w:rPr>
                      <w:rFonts w:hint="eastAsia"/>
                      <w:color w:val="auto"/>
                      <w:sz w:val="18"/>
                      <w:szCs w:val="18"/>
                    </w:rPr>
                    <w:t>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2019年本）》（如有更新，以更新后文件为准），对鼓励类项目，按照有关规定审批、核准或备案；对限制类项目，禁止新建，现有生产能力允许在一定期限内改造升级；对淘汰类项目，市场主体不得进入，行政机关不予审批</w:t>
                  </w:r>
                  <w:r>
                    <w:rPr>
                      <w:color w:val="auto"/>
                      <w:sz w:val="18"/>
                      <w:szCs w:val="18"/>
                    </w:rPr>
                    <w:t>。</w:t>
                  </w:r>
                </w:p>
              </w:tc>
              <w:tc>
                <w:tcPr>
                  <w:tcW w:w="1172" w:type="pct"/>
                  <w:vAlign w:val="center"/>
                </w:tcPr>
                <w:p w14:paraId="4D06AEE4">
                  <w:pPr>
                    <w:snapToGrid w:val="0"/>
                    <w:jc w:val="center"/>
                    <w:rPr>
                      <w:color w:val="auto"/>
                      <w:sz w:val="18"/>
                      <w:szCs w:val="18"/>
                    </w:rPr>
                  </w:pPr>
                  <w:r>
                    <w:rPr>
                      <w:color w:val="auto"/>
                      <w:sz w:val="18"/>
                      <w:szCs w:val="18"/>
                    </w:rPr>
                    <w:t>项目工艺、设备不属于国家公布的淘汰工艺和落后设备；项目不属于耗能高、污染大、生产粗放、不符合国家产业政策的项目；经查询</w:t>
                  </w:r>
                  <w:r>
                    <w:rPr>
                      <w:rFonts w:hint="eastAsia"/>
                      <w:color w:val="auto"/>
                      <w:sz w:val="18"/>
                      <w:szCs w:val="18"/>
                      <w:lang w:eastAsia="zh-CN"/>
                    </w:rPr>
                    <w:t>《产业结构调整指导目录（2024年本）》</w:t>
                  </w:r>
                  <w:r>
                    <w:rPr>
                      <w:color w:val="auto"/>
                      <w:sz w:val="18"/>
                      <w:szCs w:val="18"/>
                    </w:rPr>
                    <w:t>，项目为允许类项目。</w:t>
                  </w:r>
                </w:p>
              </w:tc>
              <w:tc>
                <w:tcPr>
                  <w:tcW w:w="644" w:type="pct"/>
                  <w:vAlign w:val="center"/>
                </w:tcPr>
                <w:p w14:paraId="53B96FB1">
                  <w:pPr>
                    <w:snapToGrid w:val="0"/>
                    <w:jc w:val="center"/>
                    <w:rPr>
                      <w:color w:val="auto"/>
                      <w:sz w:val="18"/>
                      <w:szCs w:val="18"/>
                    </w:rPr>
                  </w:pPr>
                  <w:r>
                    <w:rPr>
                      <w:color w:val="auto"/>
                      <w:sz w:val="18"/>
                      <w:szCs w:val="18"/>
                    </w:rPr>
                    <w:t>符合</w:t>
                  </w:r>
                </w:p>
              </w:tc>
            </w:tr>
            <w:tr w14:paraId="45B8B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pct"/>
                  <w:vAlign w:val="center"/>
                </w:tcPr>
                <w:p w14:paraId="727799E9">
                  <w:pPr>
                    <w:snapToGrid w:val="0"/>
                    <w:jc w:val="center"/>
                    <w:rPr>
                      <w:color w:val="auto"/>
                      <w:sz w:val="18"/>
                      <w:szCs w:val="18"/>
                    </w:rPr>
                  </w:pPr>
                  <w:r>
                    <w:rPr>
                      <w:color w:val="auto"/>
                      <w:sz w:val="18"/>
                      <w:szCs w:val="18"/>
                    </w:rPr>
                    <w:t>二</w:t>
                  </w:r>
                </w:p>
              </w:tc>
              <w:tc>
                <w:tcPr>
                  <w:tcW w:w="2731" w:type="pct"/>
                  <w:vAlign w:val="center"/>
                </w:tcPr>
                <w:p w14:paraId="30E0A48B">
                  <w:pPr>
                    <w:snapToGrid w:val="0"/>
                    <w:jc w:val="center"/>
                    <w:rPr>
                      <w:color w:val="auto"/>
                      <w:sz w:val="18"/>
                      <w:szCs w:val="18"/>
                    </w:rPr>
                  </w:pPr>
                  <w:r>
                    <w:rPr>
                      <w:rFonts w:hint="eastAsia"/>
                      <w:color w:val="auto"/>
                      <w:sz w:val="18"/>
                      <w:szCs w:val="18"/>
                    </w:rPr>
                    <w:t>强化规划刚性约束。新上项目必须符合国土空间规划、产业发展规划等要求，积极引导产业园区外“散乱污”整治搬迁改造企业进入产业园区或</w:t>
                  </w:r>
                  <w:r>
                    <w:rPr>
                      <w:rFonts w:hint="eastAsia"/>
                      <w:color w:val="auto"/>
                      <w:sz w:val="18"/>
                      <w:szCs w:val="18"/>
                      <w:lang w:eastAsia="zh-CN"/>
                    </w:rPr>
                    <w:t>工业聚集区</w:t>
                  </w:r>
                  <w:r>
                    <w:rPr>
                      <w:rFonts w:hint="eastAsia"/>
                      <w:color w:val="auto"/>
                      <w:sz w:val="18"/>
                      <w:szCs w:val="18"/>
                    </w:rPr>
                    <w:t>，并鼓励租赁标准厂房。按照“布局集中、用地集约、产业集聚、空间优化”的原则，高标准制定产业发展规划，明确主导产业、布局和产业发展方向，引导企业规范化、规模化、集约化发展</w:t>
                  </w:r>
                  <w:r>
                    <w:rPr>
                      <w:color w:val="auto"/>
                      <w:sz w:val="18"/>
                      <w:szCs w:val="18"/>
                    </w:rPr>
                    <w:t>。</w:t>
                  </w:r>
                </w:p>
              </w:tc>
              <w:tc>
                <w:tcPr>
                  <w:tcW w:w="1172" w:type="pct"/>
                  <w:vAlign w:val="center"/>
                </w:tcPr>
                <w:p w14:paraId="70F83660">
                  <w:pPr>
                    <w:snapToGrid w:val="0"/>
                    <w:jc w:val="center"/>
                    <w:rPr>
                      <w:color w:val="auto"/>
                      <w:sz w:val="18"/>
                      <w:szCs w:val="18"/>
                    </w:rPr>
                  </w:pPr>
                  <w:r>
                    <w:rPr>
                      <w:rFonts w:hint="eastAsia" w:ascii="宋体" w:hAnsi="宋体" w:cs="宋体"/>
                      <w:color w:val="auto"/>
                      <w:sz w:val="18"/>
                      <w:szCs w:val="18"/>
                      <w:highlight w:val="none"/>
                    </w:rPr>
                    <w:t>本项目位于淄博经济开发区济淄科创大走廊傅家产业园，</w:t>
                  </w:r>
                  <w:r>
                    <w:rPr>
                      <w:color w:val="auto"/>
                      <w:sz w:val="18"/>
                      <w:szCs w:val="18"/>
                    </w:rPr>
                    <w:t>该项目符合城镇总体规划。</w:t>
                  </w:r>
                </w:p>
              </w:tc>
              <w:tc>
                <w:tcPr>
                  <w:tcW w:w="644" w:type="pct"/>
                  <w:vAlign w:val="center"/>
                </w:tcPr>
                <w:p w14:paraId="664E0E14">
                  <w:pPr>
                    <w:snapToGrid w:val="0"/>
                    <w:jc w:val="center"/>
                    <w:rPr>
                      <w:color w:val="auto"/>
                      <w:sz w:val="18"/>
                      <w:szCs w:val="18"/>
                    </w:rPr>
                  </w:pPr>
                  <w:r>
                    <w:rPr>
                      <w:color w:val="auto"/>
                      <w:sz w:val="18"/>
                      <w:szCs w:val="18"/>
                    </w:rPr>
                    <w:t>符合</w:t>
                  </w:r>
                </w:p>
              </w:tc>
            </w:tr>
            <w:tr w14:paraId="5199D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pct"/>
                  <w:vAlign w:val="center"/>
                </w:tcPr>
                <w:p w14:paraId="5904239C">
                  <w:pPr>
                    <w:snapToGrid w:val="0"/>
                    <w:jc w:val="center"/>
                    <w:rPr>
                      <w:color w:val="auto"/>
                      <w:sz w:val="18"/>
                      <w:szCs w:val="18"/>
                    </w:rPr>
                  </w:pPr>
                  <w:r>
                    <w:rPr>
                      <w:color w:val="auto"/>
                      <w:sz w:val="18"/>
                      <w:szCs w:val="18"/>
                    </w:rPr>
                    <w:t>三</w:t>
                  </w:r>
                </w:p>
              </w:tc>
              <w:tc>
                <w:tcPr>
                  <w:tcW w:w="2731" w:type="pct"/>
                  <w:vAlign w:val="center"/>
                </w:tcPr>
                <w:p w14:paraId="479A02FC">
                  <w:pPr>
                    <w:snapToGrid w:val="0"/>
                    <w:jc w:val="center"/>
                    <w:rPr>
                      <w:color w:val="auto"/>
                      <w:sz w:val="18"/>
                      <w:szCs w:val="18"/>
                    </w:rPr>
                  </w:pPr>
                  <w:r>
                    <w:rPr>
                      <w:rFonts w:hint="eastAsia"/>
                      <w:color w:val="auto"/>
                      <w:sz w:val="18"/>
                      <w:szCs w:val="18"/>
                    </w:rPr>
                    <w:t>科学把好项目选址关。新建有污染物排放的工业项目，除在安全生产等方面有特殊要求的以外，应当进入工业园区或</w:t>
                  </w:r>
                  <w:r>
                    <w:rPr>
                      <w:rFonts w:hint="eastAsia"/>
                      <w:color w:val="auto"/>
                      <w:sz w:val="18"/>
                      <w:szCs w:val="18"/>
                      <w:lang w:eastAsia="zh-CN"/>
                    </w:rPr>
                    <w:t>工业聚集区</w:t>
                  </w:r>
                  <w:r>
                    <w:rPr>
                      <w:rFonts w:hint="eastAsia"/>
                      <w:color w:val="auto"/>
                      <w:sz w:val="18"/>
                      <w:szCs w:val="18"/>
                    </w:rPr>
                    <w:t>。各市要本着节约利用土地的原则，充分考虑项目周边环境、资金投入、推进速度等关键要素，合理选址，科学布局，切实做到符合用地政策，确保规划建设的项目有利于长远发展</w:t>
                  </w:r>
                  <w:r>
                    <w:rPr>
                      <w:color w:val="auto"/>
                      <w:sz w:val="18"/>
                      <w:szCs w:val="18"/>
                    </w:rPr>
                    <w:t>。</w:t>
                  </w:r>
                </w:p>
              </w:tc>
              <w:tc>
                <w:tcPr>
                  <w:tcW w:w="1172" w:type="pct"/>
                  <w:vAlign w:val="center"/>
                </w:tcPr>
                <w:p w14:paraId="0F6C470C">
                  <w:pPr>
                    <w:snapToGrid w:val="0"/>
                    <w:jc w:val="center"/>
                    <w:rPr>
                      <w:color w:val="auto"/>
                      <w:sz w:val="18"/>
                      <w:szCs w:val="18"/>
                    </w:rPr>
                  </w:pPr>
                  <w:r>
                    <w:rPr>
                      <w:rFonts w:hint="eastAsia" w:ascii="宋体" w:hAnsi="宋体" w:cs="宋体"/>
                      <w:color w:val="auto"/>
                      <w:sz w:val="18"/>
                      <w:szCs w:val="18"/>
                      <w:highlight w:val="none"/>
                    </w:rPr>
                    <w:t>本项目位于淄博经济开发区</w:t>
                  </w:r>
                  <w:r>
                    <w:rPr>
                      <w:rFonts w:hint="eastAsia" w:ascii="宋体" w:hAnsi="宋体" w:cs="宋体"/>
                      <w:color w:val="auto"/>
                      <w:sz w:val="18"/>
                      <w:szCs w:val="18"/>
                      <w:highlight w:val="none"/>
                      <w:lang w:val="en-US" w:eastAsia="zh-CN"/>
                    </w:rPr>
                    <w:t>济淄科创大走廊傅家产业园</w:t>
                  </w:r>
                  <w:r>
                    <w:rPr>
                      <w:rFonts w:hint="eastAsia" w:ascii="宋体" w:hAnsi="宋体" w:cs="宋体"/>
                      <w:color w:val="auto"/>
                      <w:sz w:val="18"/>
                      <w:szCs w:val="18"/>
                      <w:highlight w:val="none"/>
                    </w:rPr>
                    <w:t>，</w:t>
                  </w:r>
                  <w:r>
                    <w:rPr>
                      <w:color w:val="auto"/>
                      <w:sz w:val="18"/>
                      <w:szCs w:val="18"/>
                    </w:rPr>
                    <w:t>符合城镇总体规划。</w:t>
                  </w:r>
                </w:p>
              </w:tc>
              <w:tc>
                <w:tcPr>
                  <w:tcW w:w="644" w:type="pct"/>
                  <w:vAlign w:val="center"/>
                </w:tcPr>
                <w:p w14:paraId="5BA387EA">
                  <w:pPr>
                    <w:snapToGrid w:val="0"/>
                    <w:jc w:val="center"/>
                    <w:rPr>
                      <w:color w:val="auto"/>
                      <w:sz w:val="18"/>
                      <w:szCs w:val="18"/>
                    </w:rPr>
                  </w:pPr>
                  <w:r>
                    <w:rPr>
                      <w:color w:val="auto"/>
                      <w:sz w:val="18"/>
                      <w:szCs w:val="18"/>
                    </w:rPr>
                    <w:t>符合</w:t>
                  </w:r>
                </w:p>
              </w:tc>
            </w:tr>
            <w:tr w14:paraId="67422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pct"/>
                  <w:vAlign w:val="center"/>
                </w:tcPr>
                <w:p w14:paraId="11CA7746">
                  <w:pPr>
                    <w:snapToGrid w:val="0"/>
                    <w:jc w:val="center"/>
                    <w:rPr>
                      <w:color w:val="auto"/>
                      <w:sz w:val="18"/>
                      <w:szCs w:val="18"/>
                    </w:rPr>
                  </w:pPr>
                  <w:r>
                    <w:rPr>
                      <w:color w:val="auto"/>
                      <w:sz w:val="18"/>
                      <w:szCs w:val="18"/>
                    </w:rPr>
                    <w:t>四</w:t>
                  </w:r>
                </w:p>
              </w:tc>
              <w:tc>
                <w:tcPr>
                  <w:tcW w:w="2731" w:type="pct"/>
                  <w:vAlign w:val="center"/>
                </w:tcPr>
                <w:p w14:paraId="41B304EE">
                  <w:pPr>
                    <w:snapToGrid w:val="0"/>
                    <w:jc w:val="center"/>
                    <w:rPr>
                      <w:color w:val="auto"/>
                      <w:sz w:val="18"/>
                      <w:szCs w:val="18"/>
                      <w:highlight w:val="none"/>
                    </w:rPr>
                  </w:pPr>
                  <w:r>
                    <w:rPr>
                      <w:rFonts w:hint="eastAsia"/>
                      <w:color w:val="auto"/>
                      <w:sz w:val="18"/>
                      <w:szCs w:val="18"/>
                      <w:highlight w:val="none"/>
                    </w:rPr>
                    <w:t>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r>
                    <w:rPr>
                      <w:color w:val="auto"/>
                      <w:sz w:val="18"/>
                      <w:szCs w:val="18"/>
                      <w:highlight w:val="none"/>
                    </w:rPr>
                    <w:t>。</w:t>
                  </w:r>
                </w:p>
              </w:tc>
              <w:tc>
                <w:tcPr>
                  <w:tcW w:w="1172" w:type="pct"/>
                  <w:vAlign w:val="center"/>
                </w:tcPr>
                <w:p w14:paraId="7FEC04C8">
                  <w:pPr>
                    <w:snapToGrid w:val="0"/>
                    <w:jc w:val="center"/>
                    <w:rPr>
                      <w:color w:val="auto"/>
                      <w:sz w:val="18"/>
                      <w:szCs w:val="18"/>
                      <w:highlight w:val="none"/>
                    </w:rPr>
                  </w:pPr>
                  <w:r>
                    <w:rPr>
                      <w:rFonts w:hint="eastAsia"/>
                      <w:color w:val="auto"/>
                      <w:sz w:val="18"/>
                      <w:szCs w:val="18"/>
                      <w:highlight w:val="none"/>
                      <w:lang w:val="en-US" w:eastAsia="zh-CN"/>
                    </w:rPr>
                    <w:t>根据</w:t>
                  </w:r>
                  <w:r>
                    <w:rPr>
                      <w:rFonts w:hint="default"/>
                      <w:color w:val="auto"/>
                      <w:sz w:val="18"/>
                      <w:szCs w:val="18"/>
                      <w:highlight w:val="none"/>
                      <w:lang w:val="en-US" w:eastAsia="zh-CN"/>
                    </w:rPr>
                    <w:t>淄博市国土空间总体规划（</w:t>
                  </w:r>
                  <w:r>
                    <w:rPr>
                      <w:rFonts w:hint="eastAsia"/>
                      <w:color w:val="auto"/>
                      <w:sz w:val="18"/>
                      <w:szCs w:val="18"/>
                      <w:highlight w:val="none"/>
                      <w:lang w:val="en-US" w:eastAsia="zh-CN"/>
                    </w:rPr>
                    <w:t>2024-</w:t>
                  </w:r>
                  <w:r>
                    <w:rPr>
                      <w:rFonts w:hint="default"/>
                      <w:color w:val="auto"/>
                      <w:sz w:val="18"/>
                      <w:szCs w:val="18"/>
                      <w:highlight w:val="none"/>
                      <w:lang w:val="en-US" w:eastAsia="zh-CN"/>
                    </w:rPr>
                    <w:t>2035年）-市域国土空间控制线规划图可知，项目不在生态红线范围内</w:t>
                  </w:r>
                  <w:r>
                    <w:rPr>
                      <w:rFonts w:hint="eastAsia"/>
                      <w:color w:val="auto"/>
                      <w:sz w:val="18"/>
                      <w:szCs w:val="18"/>
                      <w:highlight w:val="none"/>
                      <w:lang w:val="en-US" w:eastAsia="zh-CN"/>
                    </w:rPr>
                    <w:t>，符合淄博市生态环境分区管控要求；项目建成后严格落实主要污染物总量控制</w:t>
                  </w:r>
                  <w:r>
                    <w:rPr>
                      <w:color w:val="auto"/>
                      <w:sz w:val="18"/>
                      <w:szCs w:val="18"/>
                      <w:highlight w:val="none"/>
                    </w:rPr>
                    <w:t>。</w:t>
                  </w:r>
                </w:p>
              </w:tc>
              <w:tc>
                <w:tcPr>
                  <w:tcW w:w="644" w:type="pct"/>
                  <w:vAlign w:val="center"/>
                </w:tcPr>
                <w:p w14:paraId="71FBA98B">
                  <w:pPr>
                    <w:snapToGrid w:val="0"/>
                    <w:jc w:val="center"/>
                    <w:rPr>
                      <w:color w:val="auto"/>
                      <w:sz w:val="18"/>
                      <w:szCs w:val="18"/>
                    </w:rPr>
                  </w:pPr>
                  <w:r>
                    <w:rPr>
                      <w:color w:val="auto"/>
                      <w:sz w:val="18"/>
                      <w:szCs w:val="18"/>
                    </w:rPr>
                    <w:t>符合</w:t>
                  </w:r>
                </w:p>
              </w:tc>
            </w:tr>
            <w:tr w14:paraId="745AB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pct"/>
                  <w:vAlign w:val="center"/>
                </w:tcPr>
                <w:p w14:paraId="2530093E">
                  <w:pPr>
                    <w:snapToGrid w:val="0"/>
                    <w:jc w:val="center"/>
                    <w:rPr>
                      <w:color w:val="auto"/>
                      <w:sz w:val="18"/>
                      <w:szCs w:val="18"/>
                    </w:rPr>
                  </w:pPr>
                  <w:r>
                    <w:rPr>
                      <w:color w:val="auto"/>
                      <w:sz w:val="18"/>
                      <w:szCs w:val="18"/>
                    </w:rPr>
                    <w:t>五</w:t>
                  </w:r>
                </w:p>
              </w:tc>
              <w:tc>
                <w:tcPr>
                  <w:tcW w:w="2731" w:type="pct"/>
                  <w:vAlign w:val="center"/>
                </w:tcPr>
                <w:p w14:paraId="348F65EC">
                  <w:pPr>
                    <w:snapToGrid w:val="0"/>
                    <w:jc w:val="center"/>
                    <w:rPr>
                      <w:color w:val="auto"/>
                      <w:sz w:val="18"/>
                      <w:szCs w:val="18"/>
                    </w:rPr>
                  </w:pPr>
                  <w:r>
                    <w:rPr>
                      <w:rFonts w:hint="eastAsia"/>
                      <w:color w:val="auto"/>
                      <w:sz w:val="18"/>
                      <w:szCs w:val="18"/>
                    </w:rPr>
                    <w:t>强化日常监管执法。持续加大对违反产业政策、规划、准入规定等违法违规建设行为的查处力度，坚决遏制“未批先建”等违法行为。畅通群众举报投诉渠道，对“散乱污”项目做到早发现、早应对、早处置，严防死灰复燃</w:t>
                  </w:r>
                  <w:r>
                    <w:rPr>
                      <w:color w:val="auto"/>
                      <w:sz w:val="18"/>
                      <w:szCs w:val="18"/>
                    </w:rPr>
                    <w:t>。</w:t>
                  </w:r>
                </w:p>
              </w:tc>
              <w:tc>
                <w:tcPr>
                  <w:tcW w:w="1172" w:type="pct"/>
                  <w:vAlign w:val="center"/>
                </w:tcPr>
                <w:p w14:paraId="5B811AD4">
                  <w:pPr>
                    <w:snapToGrid w:val="0"/>
                    <w:jc w:val="center"/>
                    <w:rPr>
                      <w:color w:val="auto"/>
                      <w:sz w:val="18"/>
                      <w:szCs w:val="18"/>
                    </w:rPr>
                  </w:pPr>
                  <w:r>
                    <w:rPr>
                      <w:color w:val="auto"/>
                      <w:sz w:val="18"/>
                      <w:szCs w:val="18"/>
                    </w:rPr>
                    <w:t>项目不属于“未批先建”，无违法违规建设行为</w:t>
                  </w:r>
                </w:p>
              </w:tc>
              <w:tc>
                <w:tcPr>
                  <w:tcW w:w="644" w:type="pct"/>
                  <w:vAlign w:val="center"/>
                </w:tcPr>
                <w:p w14:paraId="61967417">
                  <w:pPr>
                    <w:snapToGrid w:val="0"/>
                    <w:jc w:val="center"/>
                    <w:rPr>
                      <w:color w:val="auto"/>
                      <w:sz w:val="18"/>
                      <w:szCs w:val="18"/>
                    </w:rPr>
                  </w:pPr>
                  <w:r>
                    <w:rPr>
                      <w:color w:val="auto"/>
                      <w:sz w:val="18"/>
                      <w:szCs w:val="18"/>
                    </w:rPr>
                    <w:t>符合</w:t>
                  </w:r>
                </w:p>
              </w:tc>
            </w:tr>
          </w:tbl>
          <w:p w14:paraId="785FC18F">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textAlignment w:val="auto"/>
              <w:rPr>
                <w:color w:val="auto"/>
                <w:sz w:val="21"/>
                <w:szCs w:val="21"/>
              </w:rPr>
            </w:pPr>
            <w:r>
              <w:rPr>
                <w:color w:val="auto"/>
                <w:sz w:val="21"/>
                <w:szCs w:val="21"/>
              </w:rPr>
              <w:t>由上表可见，项目的建设符合《关于严格项目审批工作坚决防止新上“散乱污”项目的通知》（鲁环字〔2021〕58号）的要求。</w:t>
            </w:r>
          </w:p>
          <w:p w14:paraId="1ACF507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rPr>
            </w:pPr>
            <w:r>
              <w:rPr>
                <w:color w:val="auto"/>
              </w:rPr>
              <w:t>（</w:t>
            </w:r>
            <w:r>
              <w:rPr>
                <w:rFonts w:hint="eastAsia"/>
                <w:color w:val="auto"/>
                <w:lang w:val="en-US" w:eastAsia="zh-CN"/>
              </w:rPr>
              <w:t>9</w:t>
            </w:r>
            <w:r>
              <w:rPr>
                <w:color w:val="auto"/>
              </w:rPr>
              <w:t>）与关于印发《全市工业企业大气污染治理品质提升实施方案》的通知（淄环委办〔2022〕10号）的符合性分析</w:t>
            </w:r>
          </w:p>
          <w:p w14:paraId="4C605EF1">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b/>
                <w:bCs/>
                <w:color w:val="auto"/>
                <w:highlight w:val="none"/>
              </w:rPr>
            </w:pPr>
            <w:r>
              <w:rPr>
                <w:b/>
                <w:bCs/>
                <w:color w:val="auto"/>
                <w:highlight w:val="none"/>
              </w:rPr>
              <w:t>表1-1</w:t>
            </w:r>
            <w:r>
              <w:rPr>
                <w:rFonts w:hint="eastAsia"/>
                <w:b/>
                <w:bCs/>
                <w:color w:val="auto"/>
                <w:highlight w:val="none"/>
                <w:lang w:val="en-US" w:eastAsia="zh-CN"/>
              </w:rPr>
              <w:t>1</w:t>
            </w:r>
            <w:r>
              <w:rPr>
                <w:b/>
                <w:bCs/>
                <w:color w:val="auto"/>
                <w:highlight w:val="none"/>
              </w:rPr>
              <w:t>项目与淄环委办〔2022〕10号的符合性分析</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45"/>
              <w:gridCol w:w="3940"/>
              <w:gridCol w:w="2360"/>
              <w:gridCol w:w="583"/>
            </w:tblGrid>
            <w:tr w14:paraId="0DDD4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964" w:type="pct"/>
                  <w:gridSpan w:val="2"/>
                  <w:vAlign w:val="center"/>
                </w:tcPr>
                <w:p w14:paraId="5E50FB8F">
                  <w:pPr>
                    <w:pStyle w:val="200"/>
                    <w:spacing w:beforeLines="0" w:afterLines="0" w:line="240" w:lineRule="atLeast"/>
                    <w:rPr>
                      <w:rFonts w:ascii="Times New Roman"/>
                      <w:b/>
                      <w:bCs/>
                      <w:color w:val="auto"/>
                      <w:sz w:val="18"/>
                      <w:szCs w:val="18"/>
                    </w:rPr>
                  </w:pPr>
                  <w:r>
                    <w:rPr>
                      <w:rFonts w:ascii="Times New Roman"/>
                      <w:b/>
                      <w:bCs/>
                      <w:color w:val="auto"/>
                      <w:sz w:val="18"/>
                      <w:szCs w:val="18"/>
                    </w:rPr>
                    <w:t>文件要求</w:t>
                  </w:r>
                </w:p>
              </w:tc>
              <w:tc>
                <w:tcPr>
                  <w:tcW w:w="1632" w:type="pct"/>
                  <w:vAlign w:val="center"/>
                </w:tcPr>
                <w:p w14:paraId="7DB8362A">
                  <w:pPr>
                    <w:pStyle w:val="200"/>
                    <w:spacing w:beforeLines="0" w:afterLines="0" w:line="240" w:lineRule="atLeast"/>
                    <w:rPr>
                      <w:rFonts w:ascii="Times New Roman"/>
                      <w:b/>
                      <w:bCs/>
                      <w:color w:val="auto"/>
                      <w:sz w:val="18"/>
                      <w:szCs w:val="18"/>
                    </w:rPr>
                  </w:pPr>
                  <w:r>
                    <w:rPr>
                      <w:rFonts w:ascii="Times New Roman"/>
                      <w:b/>
                      <w:bCs/>
                      <w:color w:val="auto"/>
                      <w:sz w:val="18"/>
                      <w:szCs w:val="18"/>
                    </w:rPr>
                    <w:t>项目情况</w:t>
                  </w:r>
                </w:p>
              </w:tc>
              <w:tc>
                <w:tcPr>
                  <w:tcW w:w="403" w:type="pct"/>
                  <w:tcMar>
                    <w:left w:w="28" w:type="dxa"/>
                    <w:right w:w="28" w:type="dxa"/>
                  </w:tcMar>
                  <w:vAlign w:val="center"/>
                </w:tcPr>
                <w:p w14:paraId="1C5D6219">
                  <w:pPr>
                    <w:pStyle w:val="200"/>
                    <w:spacing w:beforeLines="0" w:afterLines="0" w:line="240" w:lineRule="atLeast"/>
                    <w:rPr>
                      <w:rFonts w:ascii="Times New Roman"/>
                      <w:b/>
                      <w:bCs/>
                      <w:color w:val="auto"/>
                      <w:sz w:val="18"/>
                      <w:szCs w:val="18"/>
                    </w:rPr>
                  </w:pPr>
                  <w:r>
                    <w:rPr>
                      <w:rFonts w:ascii="Times New Roman"/>
                      <w:b/>
                      <w:bCs/>
                      <w:color w:val="auto"/>
                      <w:sz w:val="18"/>
                      <w:szCs w:val="18"/>
                    </w:rPr>
                    <w:t>符合性</w:t>
                  </w:r>
                </w:p>
              </w:tc>
            </w:tr>
            <w:tr w14:paraId="6AD5D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restart"/>
                  <w:vAlign w:val="center"/>
                </w:tcPr>
                <w:p w14:paraId="341087AE">
                  <w:pPr>
                    <w:pStyle w:val="200"/>
                    <w:spacing w:beforeLines="0" w:afterLines="0" w:line="240" w:lineRule="atLeast"/>
                    <w:rPr>
                      <w:rFonts w:ascii="Times New Roman"/>
                      <w:color w:val="auto"/>
                      <w:sz w:val="18"/>
                      <w:szCs w:val="18"/>
                    </w:rPr>
                  </w:pPr>
                  <w:r>
                    <w:rPr>
                      <w:rFonts w:ascii="Times New Roman"/>
                      <w:color w:val="auto"/>
                      <w:sz w:val="18"/>
                      <w:szCs w:val="18"/>
                    </w:rPr>
                    <w:t>提升颗粒物治理水平</w:t>
                  </w:r>
                </w:p>
              </w:tc>
              <w:tc>
                <w:tcPr>
                  <w:tcW w:w="2724" w:type="pct"/>
                  <w:vAlign w:val="center"/>
                </w:tcPr>
                <w:p w14:paraId="6CBD4525">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23.粉性原料、物料（含易起尘的粒状）等贮存场所要全密闭，非道路移动机械（铲车、挖掘机等）内部作业时宜安装并启用喷雾降尘装置</w:t>
                  </w:r>
                </w:p>
              </w:tc>
              <w:tc>
                <w:tcPr>
                  <w:tcW w:w="1632" w:type="pct"/>
                  <w:vAlign w:val="center"/>
                </w:tcPr>
                <w:p w14:paraId="4FAF03F6">
                  <w:pPr>
                    <w:pStyle w:val="200"/>
                    <w:spacing w:beforeLines="0" w:afterLines="0" w:line="240" w:lineRule="atLeast"/>
                    <w:jc w:val="both"/>
                    <w:rPr>
                      <w:rFonts w:hint="eastAsia" w:ascii="Times New Roman" w:eastAsia="宋体"/>
                      <w:color w:val="auto"/>
                      <w:sz w:val="18"/>
                      <w:szCs w:val="18"/>
                      <w:lang w:eastAsia="zh-CN"/>
                    </w:rPr>
                  </w:pPr>
                  <w:r>
                    <w:rPr>
                      <w:rFonts w:hint="eastAsia"/>
                      <w:color w:val="auto"/>
                      <w:sz w:val="18"/>
                      <w:szCs w:val="18"/>
                      <w:lang w:eastAsia="zh-CN"/>
                    </w:rPr>
                    <w:t>本项目</w:t>
                  </w:r>
                  <w:r>
                    <w:rPr>
                      <w:rFonts w:hint="eastAsia"/>
                      <w:color w:val="auto"/>
                      <w:sz w:val="18"/>
                      <w:szCs w:val="18"/>
                      <w:lang w:val="en-US" w:eastAsia="zh-CN"/>
                    </w:rPr>
                    <w:t>原料均为袋装，密闭储存在车间原料区内，且车间地面每天进行洒水降尘，不涉及</w:t>
                  </w:r>
                  <w:r>
                    <w:rPr>
                      <w:rFonts w:ascii="Times New Roman"/>
                      <w:color w:val="auto"/>
                      <w:sz w:val="18"/>
                      <w:szCs w:val="18"/>
                      <w:shd w:val="clear" w:color="auto" w:fill="FFFFFF"/>
                    </w:rPr>
                    <w:t>铲车、挖掘机</w:t>
                  </w:r>
                  <w:r>
                    <w:rPr>
                      <w:rFonts w:ascii="Times New Roman" w:hAnsi="Times New Roman" w:cs="Times New Roman"/>
                      <w:color w:val="auto"/>
                      <w:sz w:val="18"/>
                      <w:szCs w:val="18"/>
                    </w:rPr>
                    <w:t>。</w:t>
                  </w:r>
                </w:p>
              </w:tc>
              <w:tc>
                <w:tcPr>
                  <w:tcW w:w="403" w:type="pct"/>
                  <w:vAlign w:val="center"/>
                </w:tcPr>
                <w:p w14:paraId="6F5148E4">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56FB1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37E39E22">
                  <w:pPr>
                    <w:pStyle w:val="200"/>
                    <w:spacing w:beforeLines="0" w:afterLines="0" w:line="240" w:lineRule="atLeast"/>
                    <w:rPr>
                      <w:rFonts w:ascii="Times New Roman"/>
                      <w:color w:val="auto"/>
                      <w:sz w:val="18"/>
                      <w:szCs w:val="18"/>
                    </w:rPr>
                  </w:pPr>
                </w:p>
              </w:tc>
              <w:tc>
                <w:tcPr>
                  <w:tcW w:w="2724" w:type="pct"/>
                  <w:vAlign w:val="center"/>
                </w:tcPr>
                <w:p w14:paraId="1EFBF1E2">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24.粉状物料破碎、粉磨以及产品烘干、冷却、混料、包装等过程中产生的粉尘，要设置布袋除尘器或者其他粉尘收集处理设施进行有效收集处理。其中，要根据企业生产情况和布袋除尘器压差变化情况，合理确定反吹时间间隔与频次。</w:t>
                  </w:r>
                </w:p>
              </w:tc>
              <w:tc>
                <w:tcPr>
                  <w:tcW w:w="1632" w:type="pct"/>
                  <w:vAlign w:val="center"/>
                </w:tcPr>
                <w:p w14:paraId="6D91C8B3">
                  <w:pPr>
                    <w:pStyle w:val="200"/>
                    <w:spacing w:beforeLines="0" w:afterLines="0" w:line="240" w:lineRule="atLeast"/>
                    <w:jc w:val="both"/>
                    <w:rPr>
                      <w:rFonts w:ascii="Times New Roman"/>
                      <w:color w:val="auto"/>
                      <w:sz w:val="18"/>
                      <w:szCs w:val="18"/>
                    </w:rPr>
                  </w:pPr>
                  <w:r>
                    <w:rPr>
                      <w:color w:val="auto"/>
                      <w:sz w:val="18"/>
                      <w:szCs w:val="18"/>
                    </w:rPr>
                    <w:t>本项目</w:t>
                  </w:r>
                  <w:r>
                    <w:rPr>
                      <w:rFonts w:hint="eastAsia"/>
                      <w:color w:val="auto"/>
                      <w:sz w:val="18"/>
                      <w:szCs w:val="18"/>
                      <w:lang w:val="en-US" w:eastAsia="zh-CN"/>
                    </w:rPr>
                    <w:t>上料、筛分、混料、装料、包装</w:t>
                  </w:r>
                  <w:r>
                    <w:rPr>
                      <w:rFonts w:ascii="Times New Roman" w:hAnsi="Times New Roman" w:cs="Times New Roman"/>
                      <w:color w:val="auto"/>
                      <w:sz w:val="18"/>
                      <w:szCs w:val="18"/>
                    </w:rPr>
                    <w:t>等过程中的产尘点</w:t>
                  </w:r>
                  <w:r>
                    <w:rPr>
                      <w:rFonts w:hint="eastAsia" w:ascii="Times New Roman" w:hAnsi="Times New Roman" w:cs="Times New Roman"/>
                      <w:color w:val="auto"/>
                      <w:sz w:val="18"/>
                      <w:szCs w:val="18"/>
                      <w:lang w:eastAsia="zh-CN"/>
                    </w:rPr>
                    <w:t>均设置集气罩，经</w:t>
                  </w:r>
                  <w:r>
                    <w:rPr>
                      <w:rFonts w:hint="eastAsia" w:ascii="Times New Roman" w:cs="Times New Roman"/>
                      <w:color w:val="auto"/>
                      <w:sz w:val="18"/>
                      <w:szCs w:val="18"/>
                      <w:lang w:eastAsia="zh-CN"/>
                    </w:rPr>
                    <w:t>配套</w:t>
                  </w:r>
                  <w:r>
                    <w:rPr>
                      <w:rFonts w:hint="eastAsia" w:ascii="Times New Roman" w:hAnsi="Times New Roman" w:cs="Times New Roman"/>
                      <w:color w:val="auto"/>
                      <w:sz w:val="18"/>
                      <w:szCs w:val="18"/>
                      <w:lang w:eastAsia="zh-CN"/>
                    </w:rPr>
                    <w:t>除尘器处理后有组织排放</w:t>
                  </w:r>
                  <w:r>
                    <w:rPr>
                      <w:rFonts w:ascii="Times New Roman" w:hAnsi="Times New Roman" w:cs="Times New Roman"/>
                      <w:color w:val="auto"/>
                      <w:sz w:val="18"/>
                      <w:szCs w:val="18"/>
                    </w:rPr>
                    <w:t>。</w:t>
                  </w:r>
                </w:p>
              </w:tc>
              <w:tc>
                <w:tcPr>
                  <w:tcW w:w="403" w:type="pct"/>
                  <w:vAlign w:val="center"/>
                </w:tcPr>
                <w:p w14:paraId="52ACCDD7">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25FE7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097E89E7">
                  <w:pPr>
                    <w:pStyle w:val="200"/>
                    <w:spacing w:beforeLines="0" w:afterLines="0" w:line="240" w:lineRule="atLeast"/>
                    <w:rPr>
                      <w:rFonts w:ascii="Times New Roman"/>
                      <w:color w:val="auto"/>
                      <w:sz w:val="18"/>
                      <w:szCs w:val="18"/>
                    </w:rPr>
                  </w:pPr>
                </w:p>
              </w:tc>
              <w:tc>
                <w:tcPr>
                  <w:tcW w:w="2724" w:type="pct"/>
                  <w:vAlign w:val="center"/>
                </w:tcPr>
                <w:p w14:paraId="274FEBA4">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25.厂内道路要全部硬化，地面要硬化或者绿化，不得出现裸露地面。定期对厂内及车间内道路、地面等进行洒扫保洁，原则上每周冲洗不少于1次，每天洒扫不少于2次，地面无积尘。</w:t>
                  </w:r>
                </w:p>
              </w:tc>
              <w:tc>
                <w:tcPr>
                  <w:tcW w:w="1632" w:type="pct"/>
                  <w:vAlign w:val="center"/>
                </w:tcPr>
                <w:p w14:paraId="1B220DF4">
                  <w:pPr>
                    <w:pStyle w:val="200"/>
                    <w:spacing w:beforeLines="0" w:afterLines="0" w:line="240" w:lineRule="atLeast"/>
                    <w:jc w:val="both"/>
                    <w:rPr>
                      <w:rFonts w:hint="eastAsia" w:ascii="Times New Roman" w:eastAsia="宋体"/>
                      <w:color w:val="auto"/>
                      <w:sz w:val="18"/>
                      <w:szCs w:val="18"/>
                      <w:lang w:eastAsia="zh-CN"/>
                    </w:rPr>
                  </w:pPr>
                  <w:r>
                    <w:rPr>
                      <w:rFonts w:ascii="Times New Roman"/>
                      <w:color w:val="auto"/>
                      <w:sz w:val="18"/>
                      <w:szCs w:val="18"/>
                    </w:rPr>
                    <w:t>本项目厂区道路全部硬化，无裸露地面。本项目建成后将按照要求对厂内道路、车间地面进行冲洗，做到地面无积尘</w:t>
                  </w:r>
                  <w:r>
                    <w:rPr>
                      <w:rFonts w:hint="eastAsia" w:ascii="Times New Roman"/>
                      <w:color w:val="auto"/>
                      <w:sz w:val="18"/>
                      <w:szCs w:val="18"/>
                      <w:lang w:eastAsia="zh-CN"/>
                    </w:rPr>
                    <w:t>。</w:t>
                  </w:r>
                </w:p>
              </w:tc>
              <w:tc>
                <w:tcPr>
                  <w:tcW w:w="403" w:type="pct"/>
                  <w:vAlign w:val="center"/>
                </w:tcPr>
                <w:p w14:paraId="5DA563E2">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30AC4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restart"/>
                  <w:vAlign w:val="center"/>
                </w:tcPr>
                <w:p w14:paraId="716C3058">
                  <w:pPr>
                    <w:pStyle w:val="200"/>
                    <w:spacing w:beforeLines="0" w:afterLines="0" w:line="240" w:lineRule="atLeast"/>
                    <w:rPr>
                      <w:rFonts w:ascii="Times New Roman"/>
                      <w:color w:val="auto"/>
                      <w:sz w:val="18"/>
                      <w:szCs w:val="18"/>
                    </w:rPr>
                  </w:pPr>
                  <w:r>
                    <w:rPr>
                      <w:rFonts w:ascii="Times New Roman"/>
                      <w:color w:val="auto"/>
                      <w:sz w:val="18"/>
                      <w:szCs w:val="18"/>
                    </w:rPr>
                    <w:t>提升精细化管理水平</w:t>
                  </w:r>
                </w:p>
              </w:tc>
              <w:tc>
                <w:tcPr>
                  <w:tcW w:w="2724" w:type="pct"/>
                  <w:vAlign w:val="center"/>
                </w:tcPr>
                <w:p w14:paraId="47D46E6B">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28.企业要按照排污许可证相关要求，完整记录和保存生产设施运行、脱硫脱硝剂消费、活性炭等吸附剂更换、原辅料及能源消费、污染设施运行等台账信息，相关台账信息要与DCS记录一致。DCS记录应定期备份，保存时间不少于书面台账。</w:t>
                  </w:r>
                </w:p>
              </w:tc>
              <w:tc>
                <w:tcPr>
                  <w:tcW w:w="1632" w:type="pct"/>
                  <w:vMerge w:val="restart"/>
                  <w:vAlign w:val="center"/>
                </w:tcPr>
                <w:p w14:paraId="4404F1AE">
                  <w:pPr>
                    <w:pStyle w:val="200"/>
                    <w:spacing w:beforeLines="0" w:afterLines="0" w:line="240" w:lineRule="atLeast"/>
                    <w:jc w:val="both"/>
                    <w:rPr>
                      <w:rFonts w:ascii="Times New Roman"/>
                      <w:color w:val="auto"/>
                      <w:sz w:val="18"/>
                      <w:szCs w:val="18"/>
                    </w:rPr>
                  </w:pPr>
                  <w:r>
                    <w:rPr>
                      <w:rFonts w:ascii="Times New Roman"/>
                      <w:color w:val="auto"/>
                      <w:sz w:val="18"/>
                      <w:szCs w:val="18"/>
                    </w:rPr>
                    <w:t>本项目建成后将按照要求进行精细化管理</w:t>
                  </w:r>
                </w:p>
              </w:tc>
              <w:tc>
                <w:tcPr>
                  <w:tcW w:w="403" w:type="pct"/>
                  <w:vMerge w:val="restart"/>
                  <w:vAlign w:val="center"/>
                </w:tcPr>
                <w:p w14:paraId="5EE666EA">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0E949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6E399F07">
                  <w:pPr>
                    <w:pStyle w:val="200"/>
                    <w:spacing w:beforeLines="0" w:afterLines="0" w:line="240" w:lineRule="atLeast"/>
                    <w:rPr>
                      <w:rFonts w:ascii="Times New Roman"/>
                      <w:color w:val="auto"/>
                      <w:sz w:val="18"/>
                      <w:szCs w:val="18"/>
                    </w:rPr>
                  </w:pPr>
                </w:p>
              </w:tc>
              <w:tc>
                <w:tcPr>
                  <w:tcW w:w="2724" w:type="pct"/>
                  <w:vAlign w:val="center"/>
                </w:tcPr>
                <w:p w14:paraId="12060314">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30.废气处理系统应与生产工艺设备“同启同停”，企业要根据处理工艺，在治污设施操作规程中规定要操作方法，明确启停时间、温度、压力、烟气量等参数</w:t>
                  </w:r>
                </w:p>
              </w:tc>
              <w:tc>
                <w:tcPr>
                  <w:tcW w:w="1632" w:type="pct"/>
                  <w:vMerge w:val="continue"/>
                  <w:vAlign w:val="center"/>
                </w:tcPr>
                <w:p w14:paraId="0E7ABC7C">
                  <w:pPr>
                    <w:pStyle w:val="200"/>
                    <w:spacing w:beforeLines="0" w:afterLines="0" w:line="240" w:lineRule="atLeast"/>
                    <w:jc w:val="both"/>
                    <w:rPr>
                      <w:rFonts w:ascii="Times New Roman"/>
                      <w:color w:val="auto"/>
                      <w:sz w:val="18"/>
                      <w:szCs w:val="18"/>
                      <w:highlight w:val="yellow"/>
                    </w:rPr>
                  </w:pPr>
                </w:p>
              </w:tc>
              <w:tc>
                <w:tcPr>
                  <w:tcW w:w="403" w:type="pct"/>
                  <w:vMerge w:val="continue"/>
                  <w:vAlign w:val="center"/>
                </w:tcPr>
                <w:p w14:paraId="7D1BBAD8">
                  <w:pPr>
                    <w:pStyle w:val="200"/>
                    <w:spacing w:beforeLines="0" w:afterLines="0" w:line="240" w:lineRule="atLeast"/>
                    <w:rPr>
                      <w:rFonts w:ascii="Times New Roman"/>
                      <w:color w:val="auto"/>
                      <w:sz w:val="18"/>
                      <w:szCs w:val="18"/>
                      <w:highlight w:val="yellow"/>
                    </w:rPr>
                  </w:pPr>
                </w:p>
              </w:tc>
            </w:tr>
            <w:tr w14:paraId="57C29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1BECFF07">
                  <w:pPr>
                    <w:pStyle w:val="200"/>
                    <w:spacing w:beforeLines="0" w:afterLines="0" w:line="240" w:lineRule="atLeast"/>
                    <w:rPr>
                      <w:rFonts w:ascii="Times New Roman"/>
                      <w:color w:val="auto"/>
                      <w:sz w:val="18"/>
                      <w:szCs w:val="18"/>
                    </w:rPr>
                  </w:pPr>
                </w:p>
              </w:tc>
              <w:tc>
                <w:tcPr>
                  <w:tcW w:w="2724" w:type="pct"/>
                  <w:vAlign w:val="center"/>
                </w:tcPr>
                <w:p w14:paraId="139012D7">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31.企业应建立健全大气污染治理责任制、管理制度和操作规程，定期开展专项培训或综合培训。其中，治污设施操作人员的专项培训，每季度至少开展一次公司级培训，每月至少开展一次车间级培训，考核合格后方可上岗。</w:t>
                  </w:r>
                </w:p>
              </w:tc>
              <w:tc>
                <w:tcPr>
                  <w:tcW w:w="1632" w:type="pct"/>
                  <w:vMerge w:val="continue"/>
                  <w:vAlign w:val="center"/>
                </w:tcPr>
                <w:p w14:paraId="77249C4F">
                  <w:pPr>
                    <w:pStyle w:val="200"/>
                    <w:spacing w:beforeLines="0" w:afterLines="0" w:line="240" w:lineRule="atLeast"/>
                    <w:jc w:val="both"/>
                    <w:rPr>
                      <w:rFonts w:ascii="Times New Roman"/>
                      <w:color w:val="auto"/>
                      <w:sz w:val="18"/>
                      <w:szCs w:val="18"/>
                      <w:highlight w:val="yellow"/>
                    </w:rPr>
                  </w:pPr>
                </w:p>
              </w:tc>
              <w:tc>
                <w:tcPr>
                  <w:tcW w:w="403" w:type="pct"/>
                  <w:vMerge w:val="continue"/>
                  <w:vAlign w:val="center"/>
                </w:tcPr>
                <w:p w14:paraId="77DF3575">
                  <w:pPr>
                    <w:pStyle w:val="200"/>
                    <w:spacing w:beforeLines="0" w:afterLines="0" w:line="240" w:lineRule="atLeast"/>
                    <w:rPr>
                      <w:rFonts w:ascii="Times New Roman"/>
                      <w:color w:val="auto"/>
                      <w:sz w:val="18"/>
                      <w:szCs w:val="18"/>
                      <w:highlight w:val="yellow"/>
                    </w:rPr>
                  </w:pPr>
                </w:p>
              </w:tc>
            </w:tr>
            <w:tr w14:paraId="7C7E9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3F272162">
                  <w:pPr>
                    <w:pStyle w:val="200"/>
                    <w:spacing w:beforeLines="0" w:afterLines="0" w:line="240" w:lineRule="atLeast"/>
                    <w:rPr>
                      <w:rFonts w:ascii="Times New Roman"/>
                      <w:color w:val="auto"/>
                      <w:sz w:val="18"/>
                      <w:szCs w:val="18"/>
                    </w:rPr>
                  </w:pPr>
                </w:p>
              </w:tc>
              <w:tc>
                <w:tcPr>
                  <w:tcW w:w="2724" w:type="pct"/>
                  <w:vAlign w:val="center"/>
                </w:tcPr>
                <w:p w14:paraId="1012753A">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32.企业应建立治污设施运行巡查制度，定期巡查治污设施运行情况，巡查间隔时间不得超过半小时。治污设施运行参数要张贴悬挂于醒目位置，并明确异常问题的处理办法。巡查发现的问题要及时处置，不能整改的启用备用治污设施或有序停产，确保污染物达标排放</w:t>
                  </w:r>
                </w:p>
              </w:tc>
              <w:tc>
                <w:tcPr>
                  <w:tcW w:w="1632" w:type="pct"/>
                  <w:vMerge w:val="continue"/>
                  <w:vAlign w:val="center"/>
                </w:tcPr>
                <w:p w14:paraId="6DD1B81B">
                  <w:pPr>
                    <w:pStyle w:val="200"/>
                    <w:spacing w:beforeLines="0" w:afterLines="0" w:line="240" w:lineRule="atLeast"/>
                    <w:jc w:val="both"/>
                    <w:rPr>
                      <w:rFonts w:ascii="Times New Roman"/>
                      <w:color w:val="auto"/>
                      <w:sz w:val="18"/>
                      <w:szCs w:val="18"/>
                      <w:highlight w:val="yellow"/>
                    </w:rPr>
                  </w:pPr>
                </w:p>
              </w:tc>
              <w:tc>
                <w:tcPr>
                  <w:tcW w:w="403" w:type="pct"/>
                  <w:vMerge w:val="continue"/>
                  <w:vAlign w:val="center"/>
                </w:tcPr>
                <w:p w14:paraId="266359B3">
                  <w:pPr>
                    <w:pStyle w:val="200"/>
                    <w:spacing w:beforeLines="0" w:afterLines="0" w:line="240" w:lineRule="atLeast"/>
                    <w:rPr>
                      <w:rFonts w:ascii="Times New Roman"/>
                      <w:color w:val="auto"/>
                      <w:sz w:val="18"/>
                      <w:szCs w:val="18"/>
                      <w:highlight w:val="yellow"/>
                    </w:rPr>
                  </w:pPr>
                </w:p>
              </w:tc>
            </w:tr>
            <w:tr w14:paraId="2EB9D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Align w:val="center"/>
                </w:tcPr>
                <w:p w14:paraId="6E821EE8">
                  <w:pPr>
                    <w:pStyle w:val="200"/>
                    <w:spacing w:beforeLines="0" w:afterLines="0" w:line="240" w:lineRule="atLeast"/>
                    <w:rPr>
                      <w:rFonts w:ascii="Times New Roman"/>
                      <w:color w:val="auto"/>
                      <w:sz w:val="18"/>
                      <w:szCs w:val="18"/>
                    </w:rPr>
                  </w:pPr>
                  <w:r>
                    <w:rPr>
                      <w:rFonts w:ascii="Times New Roman"/>
                      <w:color w:val="auto"/>
                      <w:sz w:val="18"/>
                      <w:szCs w:val="18"/>
                    </w:rPr>
                    <w:t>坚决淘汰落后处理工艺</w:t>
                  </w:r>
                </w:p>
              </w:tc>
              <w:tc>
                <w:tcPr>
                  <w:tcW w:w="2724" w:type="pct"/>
                  <w:vAlign w:val="center"/>
                </w:tcPr>
                <w:p w14:paraId="59423106">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全面淘汰除尘脱硫一体化、简易脱硫脱硝一体化、水洗法脱硫、氨法脱硫、生物脱硫以及无法实现精准管控的双碱法等脱硫工艺；全面淘汰微生物法脱硝及难以实现精准有效控制的氧化法脱硝和湿法脱硝工艺；全面淘汰水膜除尘、重力降尘、旋风除尘等单一措施除尘工艺。</w:t>
                  </w:r>
                </w:p>
              </w:tc>
              <w:tc>
                <w:tcPr>
                  <w:tcW w:w="1632" w:type="pct"/>
                  <w:vAlign w:val="center"/>
                </w:tcPr>
                <w:p w14:paraId="65167869">
                  <w:pPr>
                    <w:pStyle w:val="200"/>
                    <w:spacing w:beforeLines="0" w:afterLines="0" w:line="240" w:lineRule="atLeast"/>
                    <w:jc w:val="both"/>
                    <w:rPr>
                      <w:rFonts w:hint="eastAsia" w:ascii="Times New Roman" w:eastAsia="宋体"/>
                      <w:color w:val="auto"/>
                      <w:sz w:val="18"/>
                      <w:szCs w:val="18"/>
                      <w:lang w:eastAsia="zh-CN"/>
                    </w:rPr>
                  </w:pPr>
                  <w:r>
                    <w:rPr>
                      <w:rFonts w:ascii="Times New Roman"/>
                      <w:color w:val="auto"/>
                      <w:sz w:val="18"/>
                      <w:szCs w:val="18"/>
                    </w:rPr>
                    <w:t>本项目</w:t>
                  </w:r>
                  <w:r>
                    <w:rPr>
                      <w:rFonts w:hint="eastAsia" w:ascii="Times New Roman"/>
                      <w:color w:val="auto"/>
                      <w:sz w:val="18"/>
                      <w:szCs w:val="18"/>
                      <w:lang w:eastAsia="zh-CN"/>
                    </w:rPr>
                    <w:t>不涉及落后处理工艺。</w:t>
                  </w:r>
                </w:p>
              </w:tc>
              <w:tc>
                <w:tcPr>
                  <w:tcW w:w="403" w:type="pct"/>
                  <w:vAlign w:val="center"/>
                </w:tcPr>
                <w:p w14:paraId="7FB8FA5B">
                  <w:pPr>
                    <w:pStyle w:val="200"/>
                    <w:spacing w:beforeLines="0" w:afterLines="0" w:line="240" w:lineRule="atLeast"/>
                    <w:rPr>
                      <w:rFonts w:ascii="Times New Roman"/>
                      <w:color w:val="auto"/>
                      <w:sz w:val="18"/>
                      <w:szCs w:val="18"/>
                    </w:rPr>
                  </w:pPr>
                  <w:r>
                    <w:rPr>
                      <w:rFonts w:ascii="Times New Roman"/>
                      <w:color w:val="auto"/>
                      <w:sz w:val="18"/>
                      <w:szCs w:val="18"/>
                    </w:rPr>
                    <w:t>符合</w:t>
                  </w:r>
                </w:p>
              </w:tc>
            </w:tr>
          </w:tbl>
          <w:p w14:paraId="2E5C3D23">
            <w:pPr>
              <w:pStyle w:val="381"/>
              <w:ind w:firstLine="420"/>
              <w:rPr>
                <w:color w:val="auto"/>
                <w:sz w:val="21"/>
                <w:szCs w:val="21"/>
                <w:highlight w:val="none"/>
              </w:rPr>
            </w:pPr>
            <w:r>
              <w:rPr>
                <w:color w:val="auto"/>
                <w:sz w:val="21"/>
                <w:szCs w:val="21"/>
                <w:lang w:val="en-US"/>
              </w:rPr>
              <w:t>综上分析，项目符合</w:t>
            </w:r>
            <w:r>
              <w:rPr>
                <w:color w:val="auto"/>
                <w:sz w:val="21"/>
                <w:szCs w:val="21"/>
              </w:rPr>
              <w:t>《全市工业企业大</w:t>
            </w:r>
            <w:r>
              <w:rPr>
                <w:color w:val="auto"/>
                <w:sz w:val="21"/>
                <w:szCs w:val="21"/>
                <w:highlight w:val="none"/>
              </w:rPr>
              <w:t>气污染治理品质提升实施方案》的通知（</w:t>
            </w:r>
            <w:r>
              <w:rPr>
                <w:color w:val="auto"/>
                <w:kern w:val="0"/>
                <w:sz w:val="21"/>
                <w:szCs w:val="21"/>
                <w:highlight w:val="none"/>
                <w:shd w:val="clear" w:color="auto" w:fill="FFFFFF"/>
              </w:rPr>
              <w:t>淄环委办〔2022〕10号</w:t>
            </w:r>
            <w:r>
              <w:rPr>
                <w:color w:val="auto"/>
                <w:sz w:val="21"/>
                <w:szCs w:val="21"/>
                <w:highlight w:val="none"/>
              </w:rPr>
              <w:t>）中相关要求。</w:t>
            </w:r>
          </w:p>
          <w:p w14:paraId="33204E1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highlight w:val="none"/>
              </w:rPr>
            </w:pPr>
            <w:r>
              <w:rPr>
                <w:color w:val="FF0000"/>
                <w:highlight w:val="none"/>
              </w:rPr>
              <w:t>（</w:t>
            </w:r>
            <w:r>
              <w:rPr>
                <w:rFonts w:hint="eastAsia"/>
                <w:color w:val="FF0000"/>
                <w:highlight w:val="none"/>
                <w:lang w:val="en-US" w:eastAsia="zh-CN"/>
              </w:rPr>
              <w:t>10</w:t>
            </w:r>
            <w:r>
              <w:rPr>
                <w:color w:val="FF0000"/>
                <w:highlight w:val="none"/>
              </w:rPr>
              <w:t>）与</w:t>
            </w:r>
            <w:r>
              <w:rPr>
                <w:rFonts w:hint="eastAsia"/>
                <w:color w:val="FF0000"/>
                <w:highlight w:val="none"/>
              </w:rPr>
              <w:t>关于印发《工业炉窑大气污染综合治理方案》的通知</w:t>
            </w:r>
            <w:r>
              <w:rPr>
                <w:rFonts w:hint="eastAsia"/>
                <w:color w:val="FF0000"/>
                <w:highlight w:val="none"/>
                <w:lang w:eastAsia="zh-CN"/>
              </w:rPr>
              <w:t>（环大气〔2019〕56号）</w:t>
            </w:r>
            <w:r>
              <w:rPr>
                <w:color w:val="FF0000"/>
                <w:highlight w:val="none"/>
              </w:rPr>
              <w:t>的符合性分析</w:t>
            </w:r>
          </w:p>
          <w:p w14:paraId="7A3A4EBA">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b/>
                <w:bCs/>
                <w:color w:val="FF0000"/>
                <w:highlight w:val="none"/>
              </w:rPr>
            </w:pPr>
            <w:r>
              <w:rPr>
                <w:b/>
                <w:bCs/>
                <w:color w:val="FF0000"/>
                <w:highlight w:val="none"/>
              </w:rPr>
              <w:t>表1-1</w:t>
            </w:r>
            <w:r>
              <w:rPr>
                <w:rFonts w:hint="eastAsia"/>
                <w:b/>
                <w:bCs/>
                <w:color w:val="FF0000"/>
                <w:highlight w:val="none"/>
                <w:lang w:val="en-US" w:eastAsia="zh-CN"/>
              </w:rPr>
              <w:t>2</w:t>
            </w:r>
            <w:r>
              <w:rPr>
                <w:b/>
                <w:bCs/>
                <w:color w:val="FF0000"/>
                <w:highlight w:val="none"/>
              </w:rPr>
              <w:t>项目与</w:t>
            </w:r>
            <w:r>
              <w:rPr>
                <w:rFonts w:hint="eastAsia"/>
                <w:b/>
                <w:bCs/>
                <w:color w:val="FF0000"/>
                <w:highlight w:val="none"/>
              </w:rPr>
              <w:t>环大气〔2019〕56号</w:t>
            </w:r>
            <w:r>
              <w:rPr>
                <w:b/>
                <w:bCs/>
                <w:color w:val="FF0000"/>
                <w:highlight w:val="none"/>
              </w:rPr>
              <w:t>的符合性分析</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139"/>
              <w:gridCol w:w="2476"/>
              <w:gridCol w:w="612"/>
            </w:tblGrid>
            <w:tr w14:paraId="057CD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63" w:type="pct"/>
                  <w:vAlign w:val="center"/>
                </w:tcPr>
                <w:p w14:paraId="4193689D">
                  <w:pPr>
                    <w:pStyle w:val="200"/>
                    <w:spacing w:beforeLines="0" w:afterLines="0" w:line="240" w:lineRule="atLeast"/>
                    <w:rPr>
                      <w:rFonts w:ascii="Times New Roman"/>
                      <w:b/>
                      <w:bCs/>
                      <w:color w:val="FF0000"/>
                      <w:sz w:val="18"/>
                      <w:szCs w:val="18"/>
                      <w:highlight w:val="none"/>
                    </w:rPr>
                  </w:pPr>
                  <w:r>
                    <w:rPr>
                      <w:rFonts w:ascii="Times New Roman"/>
                      <w:b/>
                      <w:bCs/>
                      <w:color w:val="FF0000"/>
                      <w:sz w:val="18"/>
                      <w:szCs w:val="18"/>
                      <w:highlight w:val="none"/>
                    </w:rPr>
                    <w:t>文件要求</w:t>
                  </w:r>
                </w:p>
              </w:tc>
              <w:tc>
                <w:tcPr>
                  <w:tcW w:w="1713" w:type="pct"/>
                  <w:vAlign w:val="center"/>
                </w:tcPr>
                <w:p w14:paraId="21543FAB">
                  <w:pPr>
                    <w:pStyle w:val="200"/>
                    <w:spacing w:beforeLines="0" w:afterLines="0" w:line="240" w:lineRule="atLeast"/>
                    <w:rPr>
                      <w:rFonts w:ascii="Times New Roman"/>
                      <w:b/>
                      <w:bCs/>
                      <w:color w:val="FF0000"/>
                      <w:sz w:val="18"/>
                      <w:szCs w:val="18"/>
                      <w:highlight w:val="none"/>
                    </w:rPr>
                  </w:pPr>
                  <w:r>
                    <w:rPr>
                      <w:rFonts w:ascii="Times New Roman"/>
                      <w:b/>
                      <w:bCs/>
                      <w:color w:val="FF0000"/>
                      <w:sz w:val="18"/>
                      <w:szCs w:val="18"/>
                      <w:highlight w:val="none"/>
                    </w:rPr>
                    <w:t>项目情况</w:t>
                  </w:r>
                </w:p>
              </w:tc>
              <w:tc>
                <w:tcPr>
                  <w:tcW w:w="423" w:type="pct"/>
                  <w:tcMar>
                    <w:left w:w="28" w:type="dxa"/>
                    <w:right w:w="28" w:type="dxa"/>
                  </w:tcMar>
                  <w:vAlign w:val="center"/>
                </w:tcPr>
                <w:p w14:paraId="1984A589">
                  <w:pPr>
                    <w:pStyle w:val="200"/>
                    <w:spacing w:beforeLines="0" w:afterLines="0" w:line="240" w:lineRule="atLeast"/>
                    <w:rPr>
                      <w:rFonts w:ascii="Times New Roman"/>
                      <w:b/>
                      <w:bCs/>
                      <w:color w:val="FF0000"/>
                      <w:sz w:val="18"/>
                      <w:szCs w:val="18"/>
                      <w:highlight w:val="none"/>
                    </w:rPr>
                  </w:pPr>
                  <w:r>
                    <w:rPr>
                      <w:rFonts w:ascii="Times New Roman"/>
                      <w:b/>
                      <w:bCs/>
                      <w:color w:val="FF0000"/>
                      <w:sz w:val="18"/>
                      <w:szCs w:val="18"/>
                      <w:highlight w:val="none"/>
                    </w:rPr>
                    <w:t>符合性</w:t>
                  </w:r>
                </w:p>
              </w:tc>
            </w:tr>
            <w:tr w14:paraId="19FAE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63" w:type="pct"/>
                  <w:vAlign w:val="center"/>
                </w:tcPr>
                <w:p w14:paraId="302E4D51">
                  <w:pPr>
                    <w:pStyle w:val="200"/>
                    <w:numPr>
                      <w:ilvl w:val="0"/>
                      <w:numId w:val="0"/>
                    </w:numPr>
                    <w:spacing w:before="24" w:after="24" w:line="240" w:lineRule="atLeast"/>
                    <w:jc w:val="center"/>
                    <w:rPr>
                      <w:rFonts w:hint="default" w:ascii="Times New Roman" w:hAnsi="Times New Roman" w:cs="Times New Roman"/>
                      <w:color w:val="FF0000"/>
                      <w:highlight w:val="none"/>
                      <w:lang w:eastAsia="zh-CN"/>
                    </w:rPr>
                  </w:pPr>
                  <w:r>
                    <w:rPr>
                      <w:rFonts w:hint="default" w:ascii="Times New Roman" w:hAnsi="Times New Roman" w:cs="Times New Roman"/>
                      <w:color w:val="FF0000"/>
                      <w:sz w:val="18"/>
                      <w:szCs w:val="18"/>
                      <w:highlight w:val="none"/>
                      <w:shd w:val="clear" w:color="auto" w:fill="FFFFFF"/>
                      <w:lang w:eastAsia="zh-CN"/>
                    </w:rPr>
                    <w:t>（</w:t>
                  </w:r>
                  <w:r>
                    <w:rPr>
                      <w:rFonts w:hint="default" w:ascii="Times New Roman" w:hAnsi="Times New Roman" w:cs="Times New Roman"/>
                      <w:color w:val="FF0000"/>
                      <w:sz w:val="18"/>
                      <w:szCs w:val="18"/>
                      <w:highlight w:val="none"/>
                      <w:shd w:val="clear" w:color="auto" w:fill="FFFFFF"/>
                      <w:lang w:val="en-US" w:eastAsia="zh-CN"/>
                    </w:rPr>
                    <w:t>一</w:t>
                  </w:r>
                  <w:r>
                    <w:rPr>
                      <w:rFonts w:hint="default" w:ascii="Times New Roman" w:hAnsi="Times New Roman" w:cs="Times New Roman"/>
                      <w:color w:val="FF0000"/>
                      <w:sz w:val="18"/>
                      <w:szCs w:val="18"/>
                      <w:highlight w:val="none"/>
                      <w:shd w:val="clear" w:color="auto" w:fill="FFFFFF"/>
                      <w:lang w:eastAsia="zh-CN"/>
                    </w:rPr>
                    <w:t>）</w:t>
                  </w:r>
                  <w:r>
                    <w:rPr>
                      <w:rFonts w:hint="default" w:ascii="Times New Roman" w:hAnsi="Times New Roman" w:cs="Times New Roman"/>
                      <w:color w:val="FF0000"/>
                      <w:sz w:val="18"/>
                      <w:szCs w:val="18"/>
                      <w:highlight w:val="none"/>
                      <w:shd w:val="clear" w:color="auto" w:fill="FFFFFF"/>
                    </w:rPr>
                    <w:t>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r>
                    <w:rPr>
                      <w:rFonts w:hint="default" w:ascii="Times New Roman" w:hAnsi="Times New Roman" w:cs="Times New Roman"/>
                      <w:color w:val="FF0000"/>
                      <w:sz w:val="18"/>
                      <w:szCs w:val="18"/>
                      <w:highlight w:val="none"/>
                      <w:shd w:val="clear" w:color="auto" w:fill="FFFFFF"/>
                      <w:lang w:eastAsia="zh-CN"/>
                    </w:rPr>
                    <w:t>。</w:t>
                  </w:r>
                </w:p>
              </w:tc>
              <w:tc>
                <w:tcPr>
                  <w:tcW w:w="1713" w:type="pct"/>
                  <w:vAlign w:val="center"/>
                </w:tcPr>
                <w:p w14:paraId="113953F4">
                  <w:pPr>
                    <w:pStyle w:val="200"/>
                    <w:spacing w:beforeLines="0" w:afterLines="0" w:line="240" w:lineRule="atLeast"/>
                    <w:jc w:val="both"/>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eastAsia="宋体" w:cs="Times New Roman"/>
                      <w:color w:val="FF0000"/>
                      <w:sz w:val="18"/>
                      <w:szCs w:val="18"/>
                      <w:highlight w:val="none"/>
                      <w:lang w:val="en-US" w:eastAsia="zh-CN"/>
                    </w:rPr>
                    <w:t>本项目</w:t>
                  </w:r>
                  <w:r>
                    <w:rPr>
                      <w:rFonts w:hint="default" w:ascii="Times New Roman" w:hAnsi="Times New Roman" w:cs="Times New Roman"/>
                      <w:color w:val="FF0000"/>
                      <w:sz w:val="18"/>
                      <w:szCs w:val="18"/>
                      <w:highlight w:val="none"/>
                      <w:lang w:eastAsia="zh-CN"/>
                    </w:rPr>
                    <w:t>属于</w:t>
                  </w:r>
                  <w:r>
                    <w:rPr>
                      <w:rFonts w:hint="default" w:ascii="Times New Roman" w:hAnsi="Times New Roman" w:cs="Times New Roman"/>
                      <w:color w:val="FF0000"/>
                      <w:sz w:val="18"/>
                      <w:szCs w:val="18"/>
                      <w:highlight w:val="none"/>
                      <w:lang w:val="en-US" w:eastAsia="zh-CN"/>
                    </w:rPr>
                    <w:t>C3985电子专用材料制造，为</w:t>
                  </w:r>
                  <w:r>
                    <w:rPr>
                      <w:rFonts w:hint="default" w:ascii="Times New Roman" w:hAnsi="Times New Roman" w:cs="Times New Roman"/>
                      <w:color w:val="FF0000"/>
                      <w:sz w:val="18"/>
                      <w:szCs w:val="18"/>
                      <w:highlight w:val="none"/>
                      <w:shd w:val="clear" w:color="auto" w:fill="FFFFFF"/>
                    </w:rPr>
                    <w:t>涉工业炉窑的</w:t>
                  </w:r>
                  <w:r>
                    <w:rPr>
                      <w:rFonts w:hint="default" w:ascii="Times New Roman" w:hAnsi="Times New Roman" w:eastAsia="宋体" w:cs="Times New Roman"/>
                      <w:color w:val="FF0000"/>
                      <w:sz w:val="18"/>
                      <w:szCs w:val="18"/>
                      <w:highlight w:val="none"/>
                      <w:lang w:val="en-US" w:eastAsia="zh-CN"/>
                    </w:rPr>
                    <w:t>新建</w:t>
                  </w:r>
                  <w:r>
                    <w:rPr>
                      <w:rFonts w:hint="default" w:ascii="Times New Roman" w:hAnsi="Times New Roman" w:cs="Times New Roman"/>
                      <w:color w:val="FF0000"/>
                      <w:sz w:val="18"/>
                      <w:szCs w:val="18"/>
                      <w:highlight w:val="none"/>
                      <w:shd w:val="clear" w:color="auto" w:fill="FFFFFF"/>
                    </w:rPr>
                    <w:t>项目</w:t>
                  </w:r>
                  <w:r>
                    <w:rPr>
                      <w:rFonts w:hint="default" w:ascii="Times New Roman" w:hAnsi="Times New Roman" w:cs="Times New Roman"/>
                      <w:color w:val="FF0000"/>
                      <w:sz w:val="18"/>
                      <w:szCs w:val="18"/>
                      <w:highlight w:val="none"/>
                      <w:shd w:val="clear" w:color="auto" w:fill="FFFFFF"/>
                      <w:lang w:eastAsia="zh-CN"/>
                    </w:rPr>
                    <w:t>，</w:t>
                  </w:r>
                  <w:r>
                    <w:rPr>
                      <w:rFonts w:hint="default" w:ascii="Times New Roman" w:hAnsi="Times New Roman" w:cs="Times New Roman"/>
                      <w:color w:val="FF0000"/>
                      <w:sz w:val="18"/>
                      <w:szCs w:val="18"/>
                      <w:highlight w:val="none"/>
                      <w:shd w:val="clear" w:color="auto" w:fill="FFFFFF"/>
                      <w:lang w:val="en-US" w:eastAsia="zh-CN"/>
                    </w:rPr>
                    <w:t>位于济淄科创大走廊傅家产业园内，主要燃料为天然气，不涉及煤气发生炉。</w:t>
                  </w:r>
                </w:p>
              </w:tc>
              <w:tc>
                <w:tcPr>
                  <w:tcW w:w="423" w:type="pct"/>
                  <w:vAlign w:val="center"/>
                </w:tcPr>
                <w:p w14:paraId="379C1433">
                  <w:pPr>
                    <w:pStyle w:val="200"/>
                    <w:spacing w:beforeLines="0" w:afterLines="0" w:line="240" w:lineRule="atLeast"/>
                    <w:rPr>
                      <w:rFonts w:ascii="Times New Roman"/>
                      <w:color w:val="FF0000"/>
                      <w:sz w:val="18"/>
                      <w:szCs w:val="18"/>
                      <w:highlight w:val="none"/>
                    </w:rPr>
                  </w:pPr>
                  <w:r>
                    <w:rPr>
                      <w:rFonts w:ascii="Times New Roman"/>
                      <w:color w:val="FF0000"/>
                      <w:sz w:val="18"/>
                      <w:szCs w:val="18"/>
                      <w:highlight w:val="none"/>
                    </w:rPr>
                    <w:t>符合</w:t>
                  </w:r>
                </w:p>
              </w:tc>
            </w:tr>
            <w:tr w14:paraId="19CF7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2863" w:type="pct"/>
                  <w:vAlign w:val="center"/>
                </w:tcPr>
                <w:p w14:paraId="5E557E42">
                  <w:pPr>
                    <w:pStyle w:val="200"/>
                    <w:spacing w:before="24" w:after="24" w:line="240" w:lineRule="atLeast"/>
                    <w:rPr>
                      <w:rFonts w:hint="eastAsia" w:ascii="Times New Roman"/>
                      <w:color w:val="FF0000"/>
                      <w:sz w:val="18"/>
                      <w:szCs w:val="18"/>
                      <w:highlight w:val="none"/>
                      <w:shd w:val="clear" w:color="auto" w:fill="FFFFFF"/>
                    </w:rPr>
                  </w:pPr>
                  <w:r>
                    <w:rPr>
                      <w:rFonts w:hint="eastAsia" w:ascii="Times New Roman"/>
                      <w:color w:val="FF0000"/>
                      <w:sz w:val="18"/>
                      <w:szCs w:val="18"/>
                      <w:highlight w:val="none"/>
                      <w:shd w:val="clear" w:color="auto" w:fill="FFFFFF"/>
                    </w:rPr>
                    <w:t>（二）加快燃料清洁低碳化替代。对以煤、石油焦、渣油、重油等为燃料的工业炉窑，加快使用清洁低碳能源以及利用工厂余热、电厂热力等进行替代。重点区域禁止掺烧高硫石油焦（硫含量大于3%）。玻璃行业全面禁止掺烧高硫石油焦。</w:t>
                  </w:r>
                </w:p>
                <w:p w14:paraId="7E0CA5B8">
                  <w:pPr>
                    <w:pStyle w:val="200"/>
                    <w:spacing w:before="24" w:after="24" w:line="240" w:lineRule="atLeast"/>
                    <w:rPr>
                      <w:rFonts w:ascii="Times New Roman"/>
                      <w:color w:val="FF0000"/>
                      <w:sz w:val="18"/>
                      <w:szCs w:val="18"/>
                      <w:highlight w:val="none"/>
                      <w:shd w:val="clear" w:color="auto" w:fill="FFFFFF"/>
                    </w:rPr>
                  </w:pPr>
                  <w:r>
                    <w:rPr>
                      <w:rFonts w:hint="eastAsia" w:ascii="Times New Roman"/>
                      <w:color w:val="FF0000"/>
                      <w:sz w:val="18"/>
                      <w:szCs w:val="18"/>
                      <w:highlight w:val="none"/>
                      <w:shd w:val="clear" w:color="auto" w:fill="FFFFFF"/>
                    </w:rPr>
                    <w:t>　　加快淘汰燃煤工业炉窑。重点区域取缔燃煤热风炉，基本淘汰热电联产供热管网覆盖范围内的燃煤加热、烘干炉（窑）。加快推动铸造（10吨/小时及以下）、岩棉等行业冲天炉改为电炉。</w:t>
                  </w:r>
                </w:p>
              </w:tc>
              <w:tc>
                <w:tcPr>
                  <w:tcW w:w="1713" w:type="pct"/>
                  <w:vAlign w:val="center"/>
                </w:tcPr>
                <w:p w14:paraId="248C54D0">
                  <w:pPr>
                    <w:pStyle w:val="200"/>
                    <w:spacing w:beforeLines="0" w:afterLines="0" w:line="240" w:lineRule="atLeast"/>
                    <w:jc w:val="both"/>
                    <w:rPr>
                      <w:rFonts w:hint="default" w:ascii="Times New Roman" w:eastAsia="宋体"/>
                      <w:color w:val="FF0000"/>
                      <w:sz w:val="18"/>
                      <w:szCs w:val="18"/>
                      <w:highlight w:val="none"/>
                      <w:lang w:val="en-US" w:eastAsia="zh-CN"/>
                    </w:rPr>
                  </w:pPr>
                  <w:r>
                    <w:rPr>
                      <w:rFonts w:hint="eastAsia" w:ascii="Times New Roman"/>
                      <w:color w:val="FF0000"/>
                      <w:sz w:val="18"/>
                      <w:szCs w:val="18"/>
                      <w:highlight w:val="none"/>
                      <w:lang w:val="en-US" w:eastAsia="zh-CN"/>
                    </w:rPr>
                    <w:t>本项目</w:t>
                  </w:r>
                  <w:r>
                    <w:rPr>
                      <w:rFonts w:hint="default" w:ascii="Times New Roman" w:hAnsi="Times New Roman" w:cs="Times New Roman"/>
                      <w:color w:val="FF0000"/>
                      <w:sz w:val="18"/>
                      <w:szCs w:val="18"/>
                      <w:highlight w:val="none"/>
                      <w:shd w:val="clear" w:color="auto" w:fill="FFFFFF"/>
                      <w:lang w:val="en-US" w:eastAsia="zh-CN"/>
                    </w:rPr>
                    <w:t>主要燃料为天然气</w:t>
                  </w:r>
                  <w:r>
                    <w:rPr>
                      <w:rFonts w:hint="eastAsia" w:ascii="Times New Roman" w:hAnsi="Times New Roman" w:cs="Times New Roman"/>
                      <w:color w:val="FF0000"/>
                      <w:sz w:val="18"/>
                      <w:szCs w:val="18"/>
                      <w:highlight w:val="none"/>
                      <w:shd w:val="clear" w:color="auto" w:fill="FFFFFF"/>
                      <w:lang w:val="en-US" w:eastAsia="zh-CN"/>
                    </w:rPr>
                    <w:t>，属于清洁燃料。</w:t>
                  </w:r>
                </w:p>
              </w:tc>
              <w:tc>
                <w:tcPr>
                  <w:tcW w:w="423" w:type="pct"/>
                  <w:vAlign w:val="center"/>
                </w:tcPr>
                <w:p w14:paraId="771E7EFE">
                  <w:pPr>
                    <w:pStyle w:val="200"/>
                    <w:spacing w:beforeLines="0" w:afterLines="0" w:line="240" w:lineRule="atLeast"/>
                    <w:rPr>
                      <w:rFonts w:ascii="Times New Roman"/>
                      <w:color w:val="FF0000"/>
                      <w:sz w:val="18"/>
                      <w:szCs w:val="18"/>
                      <w:highlight w:val="none"/>
                    </w:rPr>
                  </w:pPr>
                  <w:r>
                    <w:rPr>
                      <w:rFonts w:ascii="Times New Roman"/>
                      <w:color w:val="FF0000"/>
                      <w:sz w:val="18"/>
                      <w:szCs w:val="18"/>
                      <w:highlight w:val="none"/>
                    </w:rPr>
                    <w:t>符合</w:t>
                  </w:r>
                </w:p>
              </w:tc>
            </w:tr>
            <w:tr w14:paraId="19369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63" w:type="pct"/>
                  <w:vAlign w:val="center"/>
                </w:tcPr>
                <w:p w14:paraId="2D792FDD">
                  <w:pPr>
                    <w:pStyle w:val="200"/>
                    <w:spacing w:before="24" w:after="24" w:line="240" w:lineRule="atLeast"/>
                    <w:rPr>
                      <w:rFonts w:hint="default" w:ascii="Times New Roman" w:hAnsi="Times New Roman" w:cs="Times New Roman"/>
                      <w:color w:val="FF0000"/>
                      <w:sz w:val="18"/>
                      <w:szCs w:val="18"/>
                      <w:highlight w:val="none"/>
                      <w:shd w:val="clear" w:color="auto" w:fill="FFFFFF"/>
                    </w:rPr>
                  </w:pPr>
                  <w:r>
                    <w:rPr>
                      <w:rFonts w:hint="default" w:ascii="Times New Roman" w:hAnsi="Times New Roman" w:cs="Times New Roman"/>
                      <w:color w:val="FF0000"/>
                      <w:sz w:val="18"/>
                      <w:szCs w:val="18"/>
                      <w:highlight w:val="none"/>
                      <w:shd w:val="clear" w:color="auto" w:fill="FFFFFF"/>
                    </w:rPr>
                    <w:t>（三）实施污染深度治理。推进工业炉窑全面达标排放。已有行业排放标准的工业炉窑（见附件3），严格执行行业排放标准相关规定，配套建设高效脱硫脱硝除尘设施（见附件4），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p>
                <w:p w14:paraId="18CB5CC6">
                  <w:pPr>
                    <w:pStyle w:val="200"/>
                    <w:spacing w:before="24" w:after="24" w:line="240" w:lineRule="atLeast"/>
                    <w:rPr>
                      <w:rFonts w:ascii="Times New Roman" w:hAnsi="Times New Roman" w:cs="Times New Roman"/>
                      <w:color w:val="FF0000"/>
                      <w:sz w:val="18"/>
                      <w:szCs w:val="18"/>
                      <w:highlight w:val="none"/>
                      <w:shd w:val="clear" w:color="auto" w:fill="FFFFFF"/>
                    </w:rPr>
                  </w:pPr>
                  <w:r>
                    <w:rPr>
                      <w:rFonts w:hint="default" w:ascii="Times New Roman" w:hAnsi="Times New Roman" w:cs="Times New Roman"/>
                      <w:color w:val="FF0000"/>
                      <w:sz w:val="18"/>
                      <w:szCs w:val="18"/>
                      <w:highlight w:val="none"/>
                      <w:shd w:val="clear" w:color="auto" w:fill="FFFFFF"/>
                    </w:rPr>
                    <w:t>　　暂未制订行业排放标准的工业炉窑，包括铸造，日用玻璃，玻璃纤维、耐火材料、石灰、矿物棉等建材行业，钨、工业硅、金属冶炼废渣（灰）二次提取等有色金属行业，氮肥、电石、无机磷、活性炭等化工行业，应参照相关行业已出台的标准，全面加大污染治理力度（见附件4），铸造行业烧结、高炉工序污染排放控制按照钢铁行业相关标准要求执行；重点区域原则上按照颗粒物、二氧化硫、氮氧化物排放限值分别不高于30、200、300毫克/立方米实施改造，其中，日用玻璃、玻璃棉氮氧化物排放限值不高于400毫克/立方米；已制定更严格地方排放标准的地区，执行地方排放标准。</w:t>
                  </w:r>
                </w:p>
              </w:tc>
              <w:tc>
                <w:tcPr>
                  <w:tcW w:w="1713" w:type="pct"/>
                  <w:vAlign w:val="center"/>
                </w:tcPr>
                <w:p w14:paraId="045CFCAE">
                  <w:pPr>
                    <w:pStyle w:val="200"/>
                    <w:spacing w:beforeLines="0" w:afterLines="0" w:line="240" w:lineRule="atLeast"/>
                    <w:jc w:val="both"/>
                    <w:rPr>
                      <w:rFonts w:hint="default" w:ascii="Times New Roman" w:hAnsi="Times New Roman" w:eastAsia="宋体" w:cs="Times New Roman"/>
                      <w:color w:val="FF0000"/>
                      <w:sz w:val="18"/>
                      <w:szCs w:val="18"/>
                      <w:highlight w:val="none"/>
                      <w:lang w:eastAsia="zh-CN"/>
                    </w:rPr>
                  </w:pPr>
                  <w:r>
                    <w:rPr>
                      <w:rFonts w:ascii="Times New Roman" w:hAnsi="Times New Roman" w:cs="Times New Roman"/>
                      <w:color w:val="FF0000"/>
                      <w:sz w:val="18"/>
                      <w:szCs w:val="18"/>
                      <w:highlight w:val="none"/>
                    </w:rPr>
                    <w:t>本项目</w:t>
                  </w:r>
                  <w:r>
                    <w:rPr>
                      <w:rFonts w:hint="default" w:ascii="Times New Roman" w:hAnsi="Times New Roman" w:cs="Times New Roman"/>
                      <w:color w:val="FF0000"/>
                      <w:sz w:val="18"/>
                      <w:szCs w:val="18"/>
                      <w:highlight w:val="none"/>
                      <w:lang w:eastAsia="zh-CN"/>
                    </w:rPr>
                    <w:t>属于</w:t>
                  </w:r>
                  <w:r>
                    <w:rPr>
                      <w:rFonts w:hint="default" w:ascii="Times New Roman" w:hAnsi="Times New Roman" w:cs="Times New Roman"/>
                      <w:color w:val="FF0000"/>
                      <w:sz w:val="18"/>
                      <w:szCs w:val="18"/>
                      <w:highlight w:val="none"/>
                      <w:lang w:val="en-US" w:eastAsia="zh-CN"/>
                    </w:rPr>
                    <w:t>C3985电子专用材料制造，烧制工序产生的粉尘和天然气燃烧产生的废气</w:t>
                  </w:r>
                  <w:r>
                    <w:rPr>
                      <w:rFonts w:hint="eastAsia" w:ascii="Times New Roman" w:hAnsi="Times New Roman" w:cs="Times New Roman"/>
                      <w:color w:val="FF0000"/>
                      <w:sz w:val="18"/>
                      <w:szCs w:val="18"/>
                      <w:highlight w:val="none"/>
                      <w:lang w:val="en-US" w:eastAsia="zh-CN"/>
                    </w:rPr>
                    <w:t>经SNCR脱硝+1#布袋除尘器处理后与SNCR脱硝过程未被利用逃逸的氨、臭气浓度一同经15m高排气筒（DA001）排放</w:t>
                  </w:r>
                  <w:r>
                    <w:rPr>
                      <w:rFonts w:hint="default" w:ascii="Times New Roman" w:hAnsi="Times New Roman" w:cs="Times New Roman"/>
                      <w:color w:val="FF0000"/>
                      <w:sz w:val="18"/>
                      <w:szCs w:val="18"/>
                      <w:highlight w:val="none"/>
                      <w:lang w:val="en-US" w:eastAsia="zh-CN"/>
                    </w:rPr>
                    <w:t>，《区域性大气污染物综合排放标准》（DB37/2376-2019）表1中“重点控制区”标准限值（颗粒物10mg/m</w:t>
                  </w:r>
                  <w:r>
                    <w:rPr>
                      <w:rFonts w:hint="default" w:ascii="Times New Roman" w:hAnsi="Times New Roman" w:cs="Times New Roman"/>
                      <w:color w:val="FF0000"/>
                      <w:sz w:val="18"/>
                      <w:szCs w:val="18"/>
                      <w:highlight w:val="none"/>
                      <w:vertAlign w:val="superscript"/>
                      <w:lang w:val="en-US" w:eastAsia="zh-CN"/>
                    </w:rPr>
                    <w:t>3</w:t>
                  </w:r>
                  <w:r>
                    <w:rPr>
                      <w:rFonts w:hint="default" w:ascii="Times New Roman" w:hAnsi="Times New Roman" w:cs="Times New Roman"/>
                      <w:color w:val="FF0000"/>
                      <w:sz w:val="18"/>
                      <w:szCs w:val="18"/>
                      <w:highlight w:val="none"/>
                      <w:lang w:val="en-US" w:eastAsia="zh-CN"/>
                    </w:rPr>
                    <w:t>、二氧化硫50mg/m</w:t>
                  </w:r>
                  <w:r>
                    <w:rPr>
                      <w:rFonts w:hint="default" w:ascii="Times New Roman" w:hAnsi="Times New Roman" w:cs="Times New Roman"/>
                      <w:color w:val="FF0000"/>
                      <w:sz w:val="18"/>
                      <w:szCs w:val="18"/>
                      <w:highlight w:val="none"/>
                      <w:vertAlign w:val="superscript"/>
                      <w:lang w:val="en-US" w:eastAsia="zh-CN"/>
                    </w:rPr>
                    <w:t>3</w:t>
                  </w:r>
                  <w:r>
                    <w:rPr>
                      <w:rFonts w:hint="default" w:ascii="Times New Roman" w:hAnsi="Times New Roman" w:cs="Times New Roman"/>
                      <w:color w:val="FF0000"/>
                      <w:sz w:val="18"/>
                      <w:szCs w:val="18"/>
                      <w:highlight w:val="none"/>
                      <w:lang w:val="en-US" w:eastAsia="zh-CN"/>
                    </w:rPr>
                    <w:t>、氮氧化物100mg/m</w:t>
                  </w:r>
                  <w:r>
                    <w:rPr>
                      <w:rFonts w:hint="default" w:ascii="Times New Roman" w:hAnsi="Times New Roman" w:cs="Times New Roman"/>
                      <w:color w:val="FF0000"/>
                      <w:sz w:val="18"/>
                      <w:szCs w:val="18"/>
                      <w:highlight w:val="none"/>
                      <w:vertAlign w:val="superscript"/>
                      <w:lang w:val="en-US" w:eastAsia="zh-CN"/>
                    </w:rPr>
                    <w:t>3</w:t>
                  </w:r>
                  <w:r>
                    <w:rPr>
                      <w:rFonts w:hint="default" w:ascii="Times New Roman" w:hAnsi="Times New Roman" w:cs="Times New Roman"/>
                      <w:color w:val="FF0000"/>
                      <w:sz w:val="18"/>
                      <w:szCs w:val="18"/>
                      <w:highlight w:val="none"/>
                      <w:lang w:val="en-US" w:eastAsia="zh-CN"/>
                    </w:rPr>
                    <w:t>）。</w:t>
                  </w:r>
                </w:p>
              </w:tc>
              <w:tc>
                <w:tcPr>
                  <w:tcW w:w="423" w:type="pct"/>
                  <w:vAlign w:val="center"/>
                </w:tcPr>
                <w:p w14:paraId="584D97B7">
                  <w:pPr>
                    <w:pStyle w:val="200"/>
                    <w:spacing w:beforeLines="0" w:afterLines="0" w:line="240" w:lineRule="atLeast"/>
                    <w:rPr>
                      <w:rFonts w:ascii="Times New Roman" w:hAnsi="Times New Roman" w:cs="Times New Roman"/>
                      <w:color w:val="FF0000"/>
                      <w:sz w:val="18"/>
                      <w:szCs w:val="18"/>
                      <w:highlight w:val="none"/>
                    </w:rPr>
                  </w:pPr>
                  <w:r>
                    <w:rPr>
                      <w:rFonts w:ascii="Times New Roman" w:hAnsi="Times New Roman" w:cs="Times New Roman"/>
                      <w:color w:val="FF0000"/>
                      <w:sz w:val="18"/>
                      <w:szCs w:val="18"/>
                      <w:highlight w:val="none"/>
                    </w:rPr>
                    <w:t>符合</w:t>
                  </w:r>
                </w:p>
              </w:tc>
            </w:tr>
            <w:tr w14:paraId="67681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63" w:type="pct"/>
                  <w:vAlign w:val="center"/>
                </w:tcPr>
                <w:p w14:paraId="64EC0616">
                  <w:pPr>
                    <w:pStyle w:val="200"/>
                    <w:spacing w:before="24" w:after="24" w:line="240" w:lineRule="atLeast"/>
                    <w:rPr>
                      <w:rFonts w:ascii="Times New Roman"/>
                      <w:color w:val="FF0000"/>
                      <w:sz w:val="18"/>
                      <w:szCs w:val="18"/>
                      <w:highlight w:val="none"/>
                      <w:shd w:val="clear" w:color="auto" w:fill="FFFFFF"/>
                    </w:rPr>
                  </w:pPr>
                  <w:r>
                    <w:rPr>
                      <w:rFonts w:hint="eastAsia" w:ascii="Times New Roman"/>
                      <w:color w:val="FF0000"/>
                      <w:sz w:val="18"/>
                      <w:szCs w:val="18"/>
                      <w:highlight w:val="none"/>
                      <w:shd w:val="clear" w:color="auto" w:fill="FFFFFF"/>
                      <w:lang w:eastAsia="zh-CN"/>
                    </w:rPr>
                    <w:t>（</w:t>
                  </w:r>
                  <w:r>
                    <w:rPr>
                      <w:rFonts w:hint="eastAsia" w:ascii="Times New Roman"/>
                      <w:color w:val="FF0000"/>
                      <w:sz w:val="18"/>
                      <w:szCs w:val="18"/>
                      <w:highlight w:val="none"/>
                      <w:shd w:val="clear" w:color="auto" w:fill="FFFFFF"/>
                      <w:lang w:val="en-US" w:eastAsia="zh-CN"/>
                    </w:rPr>
                    <w:t>四</w:t>
                  </w:r>
                  <w:r>
                    <w:rPr>
                      <w:rFonts w:hint="eastAsia" w:ascii="Times New Roman"/>
                      <w:color w:val="FF0000"/>
                      <w:sz w:val="18"/>
                      <w:szCs w:val="18"/>
                      <w:highlight w:val="none"/>
                      <w:shd w:val="clear" w:color="auto" w:fill="FFFFFF"/>
                      <w:lang w:eastAsia="zh-CN"/>
                    </w:rPr>
                    <w:t>）</w:t>
                  </w:r>
                  <w:r>
                    <w:rPr>
                      <w:rFonts w:hint="eastAsia" w:ascii="Times New Roman"/>
                      <w:color w:val="FF0000"/>
                      <w:sz w:val="18"/>
                      <w:szCs w:val="18"/>
                      <w:highlight w:val="none"/>
                      <w:shd w:val="clear" w:color="auto" w:fill="FFFFFF"/>
                    </w:rPr>
                    <w:t>全面加强无组织排放管理。严格控制工业炉窑生产工艺过程及相关物料储存、输送等无组织排放，在保障生产安全的前提下，采取密闭、封闭等有效措施（见附件5），有效提高废气收集率，产尘点及车间不得有可见烟粉尘外逸。生产工艺产尘点（装置）应采取密闭、封闭或设置集气罩等措施。煤粉、粉煤灰、石灰、除尘灰、脱硫灰等粉状物料应密闭或封闭储存，采用密闭皮带、封闭通廊、管状带式输送机或密闭车厢、真空罐车、气力输送等方式输送。粒状、块状物料应采用入棚入仓或建设防风抑尘网等方式进行储存，粒状物料采用密闭、封闭等方式输送。物料输送过程中产尘点应采取有效抑尘措施。</w:t>
                  </w:r>
                </w:p>
              </w:tc>
              <w:tc>
                <w:tcPr>
                  <w:tcW w:w="1713" w:type="pct"/>
                  <w:vAlign w:val="center"/>
                </w:tcPr>
                <w:p w14:paraId="312AB9BE">
                  <w:pPr>
                    <w:pStyle w:val="200"/>
                    <w:spacing w:beforeLines="0" w:afterLines="0" w:line="240" w:lineRule="atLeast"/>
                    <w:jc w:val="both"/>
                    <w:rPr>
                      <w:rFonts w:hint="default" w:ascii="Times New Roman" w:eastAsia="宋体"/>
                      <w:color w:val="FF0000"/>
                      <w:sz w:val="18"/>
                      <w:szCs w:val="18"/>
                      <w:highlight w:val="none"/>
                      <w:lang w:val="en-US" w:eastAsia="zh-CN"/>
                    </w:rPr>
                  </w:pPr>
                  <w:r>
                    <w:rPr>
                      <w:rFonts w:hint="eastAsia" w:ascii="Times New Roman"/>
                      <w:color w:val="FF0000"/>
                      <w:sz w:val="18"/>
                      <w:szCs w:val="18"/>
                      <w:highlight w:val="none"/>
                      <w:lang w:val="en-US" w:eastAsia="zh-CN"/>
                    </w:rPr>
                    <w:t>本项目原料均为袋装，密闭贮存在原料区，产尘口均设置集气罩，</w:t>
                  </w:r>
                  <w:r>
                    <w:rPr>
                      <w:rFonts w:hint="eastAsia" w:ascii="Times New Roman" w:cs="Times New Roman"/>
                      <w:color w:val="FF0000"/>
                      <w:kern w:val="0"/>
                      <w:sz w:val="18"/>
                      <w:szCs w:val="18"/>
                      <w:highlight w:val="none"/>
                      <w:lang w:val="en-US" w:eastAsia="zh-CN" w:bidi="ar-SA"/>
                    </w:rPr>
                    <w:t>进料、筛分、上料、混料、装料、包装工序</w:t>
                  </w:r>
                  <w:r>
                    <w:rPr>
                      <w:rFonts w:hint="default" w:ascii="Times New Roman" w:hAnsi="Times New Roman" w:eastAsia="宋体" w:cs="Times New Roman"/>
                      <w:color w:val="FF0000"/>
                      <w:kern w:val="0"/>
                      <w:sz w:val="18"/>
                      <w:szCs w:val="18"/>
                      <w:highlight w:val="none"/>
                      <w:lang w:val="en-US" w:eastAsia="zh-CN" w:bidi="ar-SA"/>
                    </w:rPr>
                    <w:t>产生的粉尘经集气罩收集，</w:t>
                  </w:r>
                  <w:r>
                    <w:rPr>
                      <w:rFonts w:hint="eastAsia" w:ascii="Times New Roman" w:hAnsi="Times New Roman" w:eastAsia="宋体" w:cs="Times New Roman"/>
                      <w:color w:val="FF0000"/>
                      <w:kern w:val="0"/>
                      <w:sz w:val="18"/>
                      <w:szCs w:val="18"/>
                      <w:highlight w:val="none"/>
                      <w:lang w:val="en-US" w:eastAsia="zh-CN" w:bidi="ar-SA"/>
                    </w:rPr>
                    <w:t>经2#布袋除尘器处理后由15m高排气筒（DA002）排放。</w:t>
                  </w:r>
                </w:p>
              </w:tc>
              <w:tc>
                <w:tcPr>
                  <w:tcW w:w="423" w:type="pct"/>
                  <w:vAlign w:val="center"/>
                </w:tcPr>
                <w:p w14:paraId="6800CC6F">
                  <w:pPr>
                    <w:pStyle w:val="200"/>
                    <w:spacing w:beforeLines="0" w:afterLines="0" w:line="240" w:lineRule="atLeast"/>
                    <w:rPr>
                      <w:rFonts w:ascii="Times New Roman"/>
                      <w:color w:val="FF0000"/>
                      <w:sz w:val="18"/>
                      <w:szCs w:val="18"/>
                      <w:highlight w:val="none"/>
                    </w:rPr>
                  </w:pPr>
                  <w:r>
                    <w:rPr>
                      <w:rFonts w:ascii="Times New Roman"/>
                      <w:color w:val="FF0000"/>
                      <w:sz w:val="18"/>
                      <w:szCs w:val="18"/>
                      <w:highlight w:val="none"/>
                    </w:rPr>
                    <w:t>符合</w:t>
                  </w:r>
                </w:p>
              </w:tc>
            </w:tr>
            <w:tr w14:paraId="71396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63" w:type="pct"/>
                  <w:vAlign w:val="center"/>
                </w:tcPr>
                <w:p w14:paraId="77535374">
                  <w:pPr>
                    <w:pStyle w:val="200"/>
                    <w:spacing w:before="24" w:after="24" w:line="240" w:lineRule="atLeast"/>
                    <w:rPr>
                      <w:rFonts w:ascii="Times New Roman"/>
                      <w:color w:val="FF0000"/>
                      <w:sz w:val="18"/>
                      <w:szCs w:val="18"/>
                      <w:highlight w:val="none"/>
                      <w:shd w:val="clear" w:color="auto" w:fill="FFFFFF"/>
                    </w:rPr>
                  </w:pPr>
                  <w:r>
                    <w:rPr>
                      <w:rFonts w:hint="eastAsia" w:ascii="Times New Roman"/>
                      <w:color w:val="FF0000"/>
                      <w:sz w:val="18"/>
                      <w:szCs w:val="18"/>
                      <w:highlight w:val="none"/>
                      <w:shd w:val="clear" w:color="auto" w:fill="FFFFFF"/>
                      <w:lang w:eastAsia="zh-CN"/>
                    </w:rPr>
                    <w:t>（</w:t>
                  </w:r>
                  <w:r>
                    <w:rPr>
                      <w:rFonts w:hint="eastAsia" w:ascii="Times New Roman"/>
                      <w:color w:val="FF0000"/>
                      <w:sz w:val="18"/>
                      <w:szCs w:val="18"/>
                      <w:highlight w:val="none"/>
                      <w:shd w:val="clear" w:color="auto" w:fill="FFFFFF"/>
                      <w:lang w:val="en-US" w:eastAsia="zh-CN"/>
                    </w:rPr>
                    <w:t>五</w:t>
                  </w:r>
                  <w:r>
                    <w:rPr>
                      <w:rFonts w:hint="eastAsia" w:ascii="Times New Roman"/>
                      <w:color w:val="FF0000"/>
                      <w:sz w:val="18"/>
                      <w:szCs w:val="18"/>
                      <w:highlight w:val="none"/>
                      <w:shd w:val="clear" w:color="auto" w:fill="FFFFFF"/>
                      <w:lang w:eastAsia="zh-CN"/>
                    </w:rPr>
                    <w:t>）</w:t>
                  </w:r>
                  <w:r>
                    <w:rPr>
                      <w:rFonts w:hint="eastAsia" w:ascii="Times New Roman"/>
                      <w:color w:val="FF0000"/>
                      <w:sz w:val="18"/>
                      <w:szCs w:val="18"/>
                      <w:highlight w:val="none"/>
                      <w:shd w:val="clear" w:color="auto" w:fill="FFFFFF"/>
                    </w:rPr>
                    <w:t>开展工业园区和产业集群综合整治。各地要加大涉工业炉窑类工业园区和产业集群的综合整治力度，结合“三线一单”（生态保护红线、环境质量底线、资源利用上线和生态环境准入清单）、规划环评等要求，进一步梳理确定园区和产业发展定位、规模及结构等。制定综合整治方案，对标先进企业，从生产工艺、产能规模、燃料类型、污染治理等方面提出明确要求，提升产业发展质量和环保治理水平。按照统一标准、统一时间表的要求，同步推进区域环境综合整治和企业升级改造。加强工业园区能源替代利用与资源共享，积极推广集中供汽供热或建设清洁低碳能源中心等，替代工业炉窑燃料用煤；充分利用园区内工厂余热、焦炉煤气等清洁低碳能源，加强分质与梯级利用，提高能源利用效率，促进形成清洁低碳高效产业链</w:t>
                  </w:r>
                </w:p>
              </w:tc>
              <w:tc>
                <w:tcPr>
                  <w:tcW w:w="1713" w:type="pct"/>
                  <w:vAlign w:val="center"/>
                </w:tcPr>
                <w:p w14:paraId="420950DF">
                  <w:pPr>
                    <w:pStyle w:val="200"/>
                    <w:spacing w:beforeLines="0" w:afterLines="0" w:line="240" w:lineRule="atLeast"/>
                    <w:jc w:val="both"/>
                    <w:rPr>
                      <w:rFonts w:hint="eastAsia" w:ascii="Times New Roman" w:eastAsia="宋体"/>
                      <w:color w:val="FF0000"/>
                      <w:sz w:val="18"/>
                      <w:szCs w:val="18"/>
                      <w:highlight w:val="none"/>
                      <w:lang w:eastAsia="zh-CN"/>
                    </w:rPr>
                  </w:pPr>
                  <w:r>
                    <w:rPr>
                      <w:rFonts w:hint="eastAsia" w:ascii="Times New Roman" w:hAnsi="Times New Roman" w:cs="Times New Roman"/>
                      <w:color w:val="FF0000"/>
                      <w:sz w:val="18"/>
                      <w:szCs w:val="18"/>
                      <w:highlight w:val="none"/>
                      <w:shd w:val="clear" w:color="auto" w:fill="FFFFFF"/>
                      <w:lang w:val="en-US" w:eastAsia="zh-CN"/>
                    </w:rPr>
                    <w:t>本项目</w:t>
                  </w:r>
                  <w:r>
                    <w:rPr>
                      <w:rFonts w:hint="default" w:ascii="Times New Roman" w:hAnsi="Times New Roman" w:cs="Times New Roman"/>
                      <w:color w:val="FF0000"/>
                      <w:sz w:val="18"/>
                      <w:szCs w:val="18"/>
                      <w:highlight w:val="none"/>
                      <w:shd w:val="clear" w:color="auto" w:fill="FFFFFF"/>
                      <w:lang w:val="en-US" w:eastAsia="zh-CN"/>
                    </w:rPr>
                    <w:t>位于济淄科创大走廊傅家产业园内</w:t>
                  </w:r>
                </w:p>
              </w:tc>
              <w:tc>
                <w:tcPr>
                  <w:tcW w:w="423" w:type="pct"/>
                  <w:vAlign w:val="center"/>
                </w:tcPr>
                <w:p w14:paraId="61CCAA7C">
                  <w:pPr>
                    <w:pStyle w:val="200"/>
                    <w:spacing w:beforeLines="0" w:afterLines="0" w:line="240" w:lineRule="atLeast"/>
                    <w:rPr>
                      <w:rFonts w:ascii="Times New Roman"/>
                      <w:color w:val="FF0000"/>
                      <w:sz w:val="18"/>
                      <w:szCs w:val="18"/>
                      <w:highlight w:val="none"/>
                    </w:rPr>
                  </w:pPr>
                  <w:r>
                    <w:rPr>
                      <w:rFonts w:ascii="Times New Roman"/>
                      <w:color w:val="FF0000"/>
                      <w:sz w:val="18"/>
                      <w:szCs w:val="18"/>
                      <w:highlight w:val="none"/>
                    </w:rPr>
                    <w:t>符合</w:t>
                  </w:r>
                </w:p>
              </w:tc>
            </w:tr>
          </w:tbl>
          <w:p w14:paraId="30346EED">
            <w:pPr>
              <w:pStyle w:val="381"/>
              <w:ind w:firstLine="420"/>
              <w:rPr>
                <w:rFonts w:hint="default" w:ascii="Times New Roman" w:hAnsi="Times New Roman" w:eastAsia="宋体" w:cs="Times New Roman"/>
                <w:color w:val="FF0000"/>
                <w:kern w:val="0"/>
                <w:sz w:val="21"/>
                <w:highlight w:val="none"/>
                <w:shd w:val="clear" w:color="auto" w:fill="FFFFFF"/>
                <w:lang w:eastAsia="zh-CN"/>
              </w:rPr>
            </w:pPr>
            <w:r>
              <w:rPr>
                <w:rFonts w:ascii="Times New Roman" w:hAnsi="Times New Roman" w:eastAsia="宋体" w:cs="Times New Roman"/>
                <w:color w:val="FF0000"/>
                <w:kern w:val="0"/>
                <w:sz w:val="21"/>
                <w:szCs w:val="21"/>
                <w:highlight w:val="none"/>
                <w:shd w:val="clear" w:color="auto" w:fill="FFFFFF"/>
                <w:lang w:val="en-US"/>
              </w:rPr>
              <w:t>综上分析，项目符合</w:t>
            </w:r>
            <w:r>
              <w:rPr>
                <w:rFonts w:hint="default" w:ascii="Times New Roman" w:hAnsi="Times New Roman" w:eastAsia="宋体" w:cs="Times New Roman"/>
                <w:color w:val="FF0000"/>
                <w:kern w:val="0"/>
                <w:sz w:val="21"/>
                <w:highlight w:val="none"/>
                <w:shd w:val="clear" w:color="auto" w:fill="FFFFFF"/>
              </w:rPr>
              <w:t>关于印发《工业炉窑大气污染综合治理方案》的通知</w:t>
            </w:r>
            <w:r>
              <w:rPr>
                <w:rFonts w:hint="default" w:ascii="Times New Roman" w:hAnsi="Times New Roman" w:eastAsia="宋体" w:cs="Times New Roman"/>
                <w:color w:val="FF0000"/>
                <w:kern w:val="0"/>
                <w:sz w:val="21"/>
                <w:highlight w:val="none"/>
                <w:shd w:val="clear" w:color="auto" w:fill="FFFFFF"/>
                <w:lang w:eastAsia="zh-CN"/>
              </w:rPr>
              <w:t>（环大气〔2019〕56号）</w:t>
            </w:r>
            <w:r>
              <w:rPr>
                <w:rFonts w:ascii="Times New Roman" w:hAnsi="Times New Roman" w:eastAsia="宋体" w:cs="Times New Roman"/>
                <w:color w:val="FF0000"/>
                <w:kern w:val="0"/>
                <w:sz w:val="21"/>
                <w:szCs w:val="21"/>
                <w:highlight w:val="none"/>
                <w:shd w:val="clear" w:color="auto" w:fill="FFFFFF"/>
              </w:rPr>
              <w:t>中相关要求。</w:t>
            </w:r>
          </w:p>
          <w:p w14:paraId="54EE86B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highlight w:val="none"/>
              </w:rPr>
            </w:pPr>
          </w:p>
          <w:p w14:paraId="6043C86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highlight w:val="none"/>
              </w:rPr>
            </w:pPr>
            <w:r>
              <w:rPr>
                <w:color w:val="FF0000"/>
                <w:highlight w:val="none"/>
              </w:rPr>
              <w:t>（</w:t>
            </w:r>
            <w:r>
              <w:rPr>
                <w:rFonts w:hint="eastAsia"/>
                <w:color w:val="FF0000"/>
                <w:highlight w:val="none"/>
                <w:lang w:val="en-US" w:eastAsia="zh-CN"/>
              </w:rPr>
              <w:t>11</w:t>
            </w:r>
            <w:r>
              <w:rPr>
                <w:color w:val="FF0000"/>
                <w:highlight w:val="none"/>
              </w:rPr>
              <w:t>）</w:t>
            </w:r>
            <w:r>
              <w:rPr>
                <w:rFonts w:hint="eastAsia"/>
                <w:color w:val="FF0000"/>
                <w:highlight w:val="none"/>
                <w:lang w:val="en-US" w:eastAsia="zh-CN"/>
              </w:rPr>
              <w:t>与</w:t>
            </w:r>
            <w:r>
              <w:rPr>
                <w:rFonts w:hint="eastAsia"/>
                <w:color w:val="FF0000"/>
                <w:highlight w:val="none"/>
              </w:rPr>
              <w:t>国务院关于印发《空气质量持续改善行动计划》的通知</w:t>
            </w:r>
            <w:r>
              <w:rPr>
                <w:rFonts w:hint="eastAsia"/>
                <w:color w:val="FF0000"/>
                <w:highlight w:val="none"/>
                <w:lang w:eastAsia="zh-CN"/>
              </w:rPr>
              <w:t>（</w:t>
            </w:r>
            <w:r>
              <w:rPr>
                <w:rFonts w:hint="eastAsia"/>
                <w:color w:val="FF0000"/>
                <w:highlight w:val="none"/>
              </w:rPr>
              <w:t>国发〔2023〕24号</w:t>
            </w:r>
            <w:r>
              <w:rPr>
                <w:rFonts w:hint="eastAsia"/>
                <w:color w:val="FF0000"/>
                <w:highlight w:val="none"/>
                <w:lang w:eastAsia="zh-CN"/>
              </w:rPr>
              <w:t>）</w:t>
            </w:r>
            <w:r>
              <w:rPr>
                <w:color w:val="FF0000"/>
                <w:highlight w:val="none"/>
              </w:rPr>
              <w:t>的符合性分析</w:t>
            </w:r>
          </w:p>
          <w:p w14:paraId="4B21C40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b/>
                <w:bCs/>
                <w:color w:val="FF0000"/>
                <w:highlight w:val="none"/>
              </w:rPr>
            </w:pPr>
            <w:r>
              <w:rPr>
                <w:b/>
                <w:bCs/>
                <w:color w:val="FF0000"/>
                <w:highlight w:val="none"/>
              </w:rPr>
              <w:t>表1-1</w:t>
            </w:r>
            <w:r>
              <w:rPr>
                <w:rFonts w:hint="eastAsia"/>
                <w:b/>
                <w:bCs/>
                <w:color w:val="FF0000"/>
                <w:highlight w:val="none"/>
                <w:lang w:val="en-US" w:eastAsia="zh-CN"/>
              </w:rPr>
              <w:t>3</w:t>
            </w:r>
            <w:r>
              <w:rPr>
                <w:b/>
                <w:bCs/>
                <w:color w:val="FF0000"/>
                <w:highlight w:val="none"/>
              </w:rPr>
              <w:t>项目与</w:t>
            </w:r>
            <w:r>
              <w:rPr>
                <w:rFonts w:hint="eastAsia"/>
                <w:b/>
                <w:bCs/>
                <w:color w:val="FF0000"/>
                <w:highlight w:val="none"/>
              </w:rPr>
              <w:t>国发〔2023〕24号</w:t>
            </w:r>
            <w:r>
              <w:rPr>
                <w:b/>
                <w:bCs/>
                <w:color w:val="FF0000"/>
                <w:highlight w:val="none"/>
              </w:rPr>
              <w:t>的符合性分析</w:t>
            </w:r>
          </w:p>
          <w:tbl>
            <w:tblPr>
              <w:tblStyle w:val="1390"/>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79"/>
              <w:gridCol w:w="4922"/>
              <w:gridCol w:w="1834"/>
            </w:tblGrid>
            <w:tr w14:paraId="1C2662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50" w:hRule="atLeast"/>
              </w:trPr>
              <w:tc>
                <w:tcPr>
                  <w:tcW w:w="331" w:type="pct"/>
                  <w:vAlign w:val="center"/>
                </w:tcPr>
                <w:p w14:paraId="10F4B253">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b/>
                      <w:bCs/>
                      <w:color w:val="FF0000"/>
                      <w:spacing w:val="0"/>
                      <w:sz w:val="18"/>
                      <w:szCs w:val="18"/>
                    </w:rPr>
                  </w:pPr>
                  <w:r>
                    <w:rPr>
                      <w:b/>
                      <w:bCs/>
                      <w:color w:val="FF0000"/>
                      <w:spacing w:val="0"/>
                      <w:sz w:val="18"/>
                      <w:szCs w:val="18"/>
                    </w:rPr>
                    <w:t>序号</w:t>
                  </w:r>
                </w:p>
              </w:tc>
              <w:tc>
                <w:tcPr>
                  <w:tcW w:w="3401" w:type="pct"/>
                  <w:vAlign w:val="center"/>
                </w:tcPr>
                <w:p w14:paraId="05463F5F">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b/>
                      <w:bCs/>
                      <w:color w:val="FF0000"/>
                      <w:spacing w:val="0"/>
                      <w:sz w:val="18"/>
                      <w:szCs w:val="18"/>
                    </w:rPr>
                  </w:pPr>
                  <w:r>
                    <w:rPr>
                      <w:b/>
                      <w:bCs/>
                      <w:color w:val="FF0000"/>
                      <w:spacing w:val="0"/>
                      <w:sz w:val="18"/>
                      <w:szCs w:val="18"/>
                    </w:rPr>
                    <w:t>国发[2023]24 号文件要求</w:t>
                  </w:r>
                </w:p>
              </w:tc>
              <w:tc>
                <w:tcPr>
                  <w:tcW w:w="1267" w:type="pct"/>
                  <w:vAlign w:val="center"/>
                </w:tcPr>
                <w:p w14:paraId="2ABA69CC">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b/>
                      <w:bCs/>
                      <w:color w:val="FF0000"/>
                      <w:spacing w:val="0"/>
                      <w:sz w:val="18"/>
                      <w:szCs w:val="18"/>
                    </w:rPr>
                  </w:pPr>
                  <w:r>
                    <w:rPr>
                      <w:b/>
                      <w:bCs/>
                      <w:color w:val="FF0000"/>
                      <w:spacing w:val="0"/>
                      <w:sz w:val="18"/>
                      <w:szCs w:val="18"/>
                    </w:rPr>
                    <w:t>本项目情况</w:t>
                  </w:r>
                </w:p>
              </w:tc>
            </w:tr>
            <w:tr w14:paraId="472817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2" w:hRule="atLeast"/>
              </w:trPr>
              <w:tc>
                <w:tcPr>
                  <w:tcW w:w="331" w:type="pct"/>
                  <w:vAlign w:val="center"/>
                </w:tcPr>
                <w:p w14:paraId="35F3FE09">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position w:val="-4"/>
                      <w:sz w:val="18"/>
                      <w:szCs w:val="18"/>
                    </w:rPr>
                    <w:t>一</w:t>
                  </w:r>
                </w:p>
              </w:tc>
              <w:tc>
                <w:tcPr>
                  <w:tcW w:w="4668" w:type="pct"/>
                  <w:gridSpan w:val="2"/>
                  <w:vAlign w:val="center"/>
                </w:tcPr>
                <w:p w14:paraId="2FDE081D">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总体要求</w:t>
                  </w:r>
                </w:p>
              </w:tc>
            </w:tr>
            <w:tr w14:paraId="4D64AC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045" w:hRule="atLeast"/>
              </w:trPr>
              <w:tc>
                <w:tcPr>
                  <w:tcW w:w="331" w:type="pct"/>
                  <w:vAlign w:val="center"/>
                </w:tcPr>
                <w:p w14:paraId="554EBBA2">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1</w:t>
                  </w:r>
                </w:p>
              </w:tc>
              <w:tc>
                <w:tcPr>
                  <w:tcW w:w="3401" w:type="pct"/>
                  <w:vAlign w:val="center"/>
                </w:tcPr>
                <w:p w14:paraId="09EF0EF9">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重点区域：京津冀及周边地区。包含北京市，天津市，河北省石家庄、唐山、秦皇岛、邯郸、邢台、保定、沧州、廊坊、衡水市以及雄安新区和辛集、定州市，山东省济南、淄博、枣庄、东营、潍坊、济宁、泰安、日照、临沂、德州、聊城、滨州、菏泽市，河南省郑州、开封、洛阳、平顶山、安阳、鹤壁、新乡、焦作、濮阳、许昌、漯河、三门峡、商丘、周口市以及济源市</w:t>
                  </w:r>
                </w:p>
              </w:tc>
              <w:tc>
                <w:tcPr>
                  <w:tcW w:w="1267" w:type="pct"/>
                  <w:vAlign w:val="center"/>
                </w:tcPr>
                <w:p w14:paraId="16DD01CD">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项目位于</w:t>
                  </w:r>
                  <w:r>
                    <w:rPr>
                      <w:rFonts w:hint="default"/>
                      <w:color w:val="FF0000"/>
                      <w:spacing w:val="0"/>
                      <w:sz w:val="18"/>
                      <w:szCs w:val="18"/>
                      <w:lang w:val="en-US" w:eastAsia="zh-CN"/>
                    </w:rPr>
                    <w:t>济淄科创大走廊傅家产业园</w:t>
                  </w:r>
                  <w:r>
                    <w:rPr>
                      <w:color w:val="FF0000"/>
                      <w:spacing w:val="0"/>
                      <w:sz w:val="18"/>
                      <w:szCs w:val="18"/>
                    </w:rPr>
                    <w:t>，属于重点区域</w:t>
                  </w:r>
                </w:p>
              </w:tc>
            </w:tr>
            <w:tr w14:paraId="724697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2" w:hRule="atLeast"/>
              </w:trPr>
              <w:tc>
                <w:tcPr>
                  <w:tcW w:w="331" w:type="pct"/>
                  <w:vAlign w:val="center"/>
                </w:tcPr>
                <w:p w14:paraId="175AD43F">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二</w:t>
                  </w:r>
                </w:p>
              </w:tc>
              <w:tc>
                <w:tcPr>
                  <w:tcW w:w="4668" w:type="pct"/>
                  <w:gridSpan w:val="2"/>
                  <w:vAlign w:val="center"/>
                </w:tcPr>
                <w:p w14:paraId="79378955">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优化产业结构，促进产业产品绿色升级</w:t>
                  </w:r>
                </w:p>
              </w:tc>
            </w:tr>
            <w:tr w14:paraId="54FFC1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39" w:hRule="atLeast"/>
              </w:trPr>
              <w:tc>
                <w:tcPr>
                  <w:tcW w:w="331" w:type="pct"/>
                  <w:vAlign w:val="center"/>
                </w:tcPr>
                <w:p w14:paraId="604C73ED">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1</w:t>
                  </w:r>
                </w:p>
              </w:tc>
              <w:tc>
                <w:tcPr>
                  <w:tcW w:w="3401" w:type="pct"/>
                  <w:vAlign w:val="center"/>
                </w:tcPr>
                <w:p w14:paraId="1272A789">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tc>
              <w:tc>
                <w:tcPr>
                  <w:tcW w:w="1267" w:type="pct"/>
                  <w:vAlign w:val="center"/>
                </w:tcPr>
                <w:p w14:paraId="2DA8A58F">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项目产品和工艺均符合产业政策要求，项目位于</w:t>
                  </w:r>
                  <w:r>
                    <w:rPr>
                      <w:rFonts w:hint="eastAsia"/>
                      <w:color w:val="FF0000"/>
                      <w:spacing w:val="0"/>
                      <w:sz w:val="18"/>
                      <w:szCs w:val="18"/>
                    </w:rPr>
                    <w:t>济淄科创大走廊傅家产业园</w:t>
                  </w:r>
                  <w:r>
                    <w:rPr>
                      <w:color w:val="FF0000"/>
                      <w:spacing w:val="0"/>
                      <w:sz w:val="18"/>
                      <w:szCs w:val="18"/>
                    </w:rPr>
                    <w:t>，不属于高耗能、高排放、低水平项目；项目执行重点污染物总量控制、污染物排放区域削减，本次环评要求项目采用清洁运输方式</w:t>
                  </w:r>
                </w:p>
              </w:tc>
            </w:tr>
            <w:tr w14:paraId="169174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385" w:hRule="atLeast"/>
              </w:trPr>
              <w:tc>
                <w:tcPr>
                  <w:tcW w:w="331" w:type="pct"/>
                  <w:vAlign w:val="center"/>
                </w:tcPr>
                <w:p w14:paraId="49CE9B02">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2</w:t>
                  </w:r>
                </w:p>
              </w:tc>
              <w:tc>
                <w:tcPr>
                  <w:tcW w:w="3401" w:type="pct"/>
                  <w:vAlign w:val="center"/>
                </w:tcPr>
                <w:p w14:paraId="713E2E9A">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加快退出重点行业落后产能。修订《产业结构调整指导目录》， 研究将污染物或温室气体排放明显高出行业平均水平、能效和清洁生产水平低的工艺和装备纳入淘汰类和限制类名单。重点区域进一步提高落后产能能耗、环保、质量、安全、技术等要求，逐步退出限制类涉气行业工艺和装备；逐步淘汰步进式烧结机和球团竖炉以及半封闭式硅锰合金、镍铁、高碳铬铁、高碳锰铁电炉。引导重点区域钢铁、焦化、电解铝等产业有序调整优化</w:t>
                  </w:r>
                </w:p>
              </w:tc>
              <w:tc>
                <w:tcPr>
                  <w:tcW w:w="1267" w:type="pct"/>
                  <w:vAlign w:val="center"/>
                </w:tcPr>
                <w:p w14:paraId="2C12AC36">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项目各产品和工艺均符合产业政策要求</w:t>
                  </w:r>
                </w:p>
              </w:tc>
            </w:tr>
            <w:tr w14:paraId="0573CC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044" w:hRule="atLeast"/>
              </w:trPr>
              <w:tc>
                <w:tcPr>
                  <w:tcW w:w="331" w:type="pct"/>
                  <w:vAlign w:val="center"/>
                </w:tcPr>
                <w:p w14:paraId="0C27926F">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3</w:t>
                  </w:r>
                </w:p>
              </w:tc>
              <w:tc>
                <w:tcPr>
                  <w:tcW w:w="3401" w:type="pct"/>
                  <w:vAlign w:val="center"/>
                </w:tcPr>
                <w:p w14:paraId="2D6D76C6">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全面开展传统产业集群升级改造。中小型传统制造企业集中的城市要制定涉气产业集群发展规划，严格项目审批，严防污染下乡。针对现有产业集群制定专项整治方案，依法淘汰关停一批、搬迁入园一批、就地改造一批、做优做强一批。各地要结合产业集群特点，因地制宜建设集中供热中心、集中喷涂中心、有机溶剂集中回收处置中心、活性炭集中再生中心</w:t>
                  </w:r>
                </w:p>
              </w:tc>
              <w:tc>
                <w:tcPr>
                  <w:tcW w:w="1267" w:type="pct"/>
                  <w:vAlign w:val="center"/>
                </w:tcPr>
                <w:p w14:paraId="02453164">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项目选址位于</w:t>
                  </w:r>
                  <w:r>
                    <w:rPr>
                      <w:rFonts w:hint="default"/>
                      <w:color w:val="FF0000"/>
                      <w:spacing w:val="0"/>
                      <w:sz w:val="18"/>
                      <w:szCs w:val="18"/>
                      <w:lang w:val="en-US" w:eastAsia="zh-CN"/>
                    </w:rPr>
                    <w:t>济淄科创大走廊傅家产业园</w:t>
                  </w:r>
                </w:p>
              </w:tc>
            </w:tr>
            <w:tr w14:paraId="5FA0AE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5" w:hRule="atLeast"/>
              </w:trPr>
              <w:tc>
                <w:tcPr>
                  <w:tcW w:w="331" w:type="pct"/>
                  <w:vAlign w:val="center"/>
                </w:tcPr>
                <w:p w14:paraId="070A0561">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三</w:t>
                  </w:r>
                </w:p>
              </w:tc>
              <w:tc>
                <w:tcPr>
                  <w:tcW w:w="4668" w:type="pct"/>
                  <w:gridSpan w:val="2"/>
                  <w:vAlign w:val="center"/>
                </w:tcPr>
                <w:p w14:paraId="69B31690">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优化能源结构，加速能源清洁低碳高效发展</w:t>
                  </w:r>
                </w:p>
              </w:tc>
            </w:tr>
            <w:tr w14:paraId="1D2363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044" w:hRule="atLeast"/>
              </w:trPr>
              <w:tc>
                <w:tcPr>
                  <w:tcW w:w="331" w:type="pct"/>
                  <w:vAlign w:val="center"/>
                </w:tcPr>
                <w:p w14:paraId="40524DA5">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1</w:t>
                  </w:r>
                </w:p>
              </w:tc>
              <w:tc>
                <w:tcPr>
                  <w:tcW w:w="3401" w:type="pct"/>
                  <w:vAlign w:val="center"/>
                </w:tcPr>
                <w:p w14:paraId="42861B3F">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实施工业炉窑清洁能源替代。有序推进以电代煤，积极稳妥推进以气代煤。重点区域不再新增燃料类煤气发生炉，新改扩建加热炉、热处理炉、干燥炉、熔化炉原则上采用清洁低碳能源；安全稳妥推进使用高污染燃料的工业炉窑改用工业余热、电能、天然气等；燃料类煤气发生炉实行清洁能源替代，或因地制宜采取园区(集群)集中供气、分散使用方式；逐步淘汰固定床间歇式煤气发生炉。</w:t>
                  </w:r>
                </w:p>
              </w:tc>
              <w:tc>
                <w:tcPr>
                  <w:tcW w:w="1267" w:type="pct"/>
                  <w:vAlign w:val="center"/>
                </w:tcPr>
                <w:p w14:paraId="7CE6BB53">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项目</w:t>
                  </w:r>
                  <w:r>
                    <w:rPr>
                      <w:rFonts w:hint="eastAsia"/>
                      <w:color w:val="FF0000"/>
                      <w:spacing w:val="0"/>
                      <w:sz w:val="18"/>
                      <w:szCs w:val="18"/>
                      <w:lang w:val="en-US" w:eastAsia="zh-CN"/>
                    </w:rPr>
                    <w:t>隧道窑</w:t>
                  </w:r>
                  <w:r>
                    <w:rPr>
                      <w:color w:val="FF0000"/>
                      <w:spacing w:val="0"/>
                      <w:sz w:val="18"/>
                      <w:szCs w:val="18"/>
                    </w:rPr>
                    <w:t>使用</w:t>
                  </w:r>
                  <w:r>
                    <w:rPr>
                      <w:rFonts w:hint="eastAsia"/>
                      <w:color w:val="FF0000"/>
                      <w:spacing w:val="0"/>
                      <w:sz w:val="18"/>
                      <w:szCs w:val="18"/>
                      <w:lang w:val="en-US" w:eastAsia="zh-CN"/>
                    </w:rPr>
                    <w:t>天然气</w:t>
                  </w:r>
                  <w:r>
                    <w:rPr>
                      <w:color w:val="FF0000"/>
                      <w:spacing w:val="0"/>
                      <w:sz w:val="18"/>
                      <w:szCs w:val="18"/>
                    </w:rPr>
                    <w:t>，属于清洁能源</w:t>
                  </w:r>
                </w:p>
              </w:tc>
            </w:tr>
            <w:tr w14:paraId="346139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5" w:hRule="atLeast"/>
              </w:trPr>
              <w:tc>
                <w:tcPr>
                  <w:tcW w:w="331" w:type="pct"/>
                  <w:vAlign w:val="center"/>
                </w:tcPr>
                <w:p w14:paraId="6CEFF40A">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六</w:t>
                  </w:r>
                </w:p>
              </w:tc>
              <w:tc>
                <w:tcPr>
                  <w:tcW w:w="4668" w:type="pct"/>
                  <w:gridSpan w:val="2"/>
                  <w:vAlign w:val="center"/>
                </w:tcPr>
                <w:p w14:paraId="5ACE54E4">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color w:val="FF0000"/>
                      <w:spacing w:val="0"/>
                      <w:sz w:val="18"/>
                      <w:szCs w:val="18"/>
                    </w:rPr>
                  </w:pPr>
                  <w:r>
                    <w:rPr>
                      <w:color w:val="FF0000"/>
                      <w:spacing w:val="0"/>
                      <w:sz w:val="18"/>
                      <w:szCs w:val="18"/>
                    </w:rPr>
                    <w:t>强化多污染物减排，切实降低排放强度</w:t>
                  </w:r>
                </w:p>
              </w:tc>
            </w:tr>
            <w:tr w14:paraId="699417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437" w:hRule="atLeast"/>
              </w:trPr>
              <w:tc>
                <w:tcPr>
                  <w:tcW w:w="331" w:type="pct"/>
                  <w:vAlign w:val="center"/>
                </w:tcPr>
                <w:p w14:paraId="5618085D">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eastAsia"/>
                      <w:color w:val="FF0000"/>
                      <w:spacing w:val="0"/>
                      <w:sz w:val="18"/>
                      <w:szCs w:val="18"/>
                      <w:lang w:eastAsia="zh-CN"/>
                    </w:rPr>
                  </w:pPr>
                  <w:r>
                    <w:rPr>
                      <w:rFonts w:hint="eastAsia"/>
                      <w:color w:val="FF0000"/>
                      <w:spacing w:val="0"/>
                      <w:sz w:val="18"/>
                      <w:szCs w:val="18"/>
                      <w:lang w:eastAsia="zh-CN"/>
                    </w:rPr>
                    <w:t>1</w:t>
                  </w:r>
                </w:p>
              </w:tc>
              <w:tc>
                <w:tcPr>
                  <w:tcW w:w="3401" w:type="pct"/>
                  <w:vAlign w:val="center"/>
                </w:tcPr>
                <w:p w14:paraId="666EFA4C">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ascii="Times New Roman" w:hAnsi="Times New Roman" w:cs="Times New Roman"/>
                      <w:color w:val="FF0000"/>
                      <w:spacing w:val="0"/>
                      <w:sz w:val="18"/>
                      <w:szCs w:val="18"/>
                    </w:rPr>
                  </w:pPr>
                  <w:r>
                    <w:rPr>
                      <w:rFonts w:ascii="Times New Roman" w:hAnsi="Times New Roman" w:cs="Times New Roman"/>
                      <w:color w:val="FF0000"/>
                      <w:spacing w:val="0"/>
                      <w:sz w:val="18"/>
                      <w:szCs w:val="18"/>
                    </w:rPr>
                    <w:t>稳步推进大气氨污染防控。开展京津冀及周边地区大气氨排放控制试点。推广氮肥机械深施和低蛋白日粮技术。研究畜禽养殖场氨气等臭气治理措施，鼓励生猪、鸡等圈舍封闭管理，支持粪污输送、存储及处理设施封闭，加强废气收集和处理。到 2025 年，京津冀及周边地区大型规模化畜禽养殖场大气氨排放总量比 2020 年下降 5%。加强氮肥、纯碱等行业大气氨排放治理；强化工业源烟气脱硫脱硝氨逃逸防控。</w:t>
                  </w:r>
                </w:p>
              </w:tc>
              <w:tc>
                <w:tcPr>
                  <w:tcW w:w="1267" w:type="pct"/>
                  <w:vAlign w:val="center"/>
                </w:tcPr>
                <w:p w14:paraId="6E203C9F">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ascii="Times New Roman" w:hAnsi="Times New Roman" w:cs="Times New Roman"/>
                      <w:color w:val="FF0000"/>
                      <w:spacing w:val="0"/>
                      <w:sz w:val="18"/>
                      <w:szCs w:val="18"/>
                    </w:rPr>
                  </w:pPr>
                  <w:r>
                    <w:rPr>
                      <w:rFonts w:ascii="Times New Roman" w:hAnsi="Times New Roman" w:cs="Times New Roman"/>
                      <w:color w:val="FF0000"/>
                      <w:spacing w:val="0"/>
                      <w:sz w:val="18"/>
                      <w:szCs w:val="18"/>
                    </w:rPr>
                    <w:t>本项目SNCR 氨逃逸满足《恶臭污染物排放标准》（GB14554-93）表2中标准</w:t>
                  </w:r>
                </w:p>
              </w:tc>
            </w:tr>
          </w:tbl>
          <w:p w14:paraId="45BDAA30">
            <w:pPr>
              <w:pStyle w:val="381"/>
              <w:ind w:firstLine="420"/>
              <w:rPr>
                <w:rFonts w:hint="default" w:ascii="Times New Roman" w:hAnsi="Times New Roman" w:eastAsia="宋体" w:cs="Times New Roman"/>
                <w:color w:val="FF0000"/>
                <w:kern w:val="0"/>
                <w:sz w:val="21"/>
                <w:highlight w:val="none"/>
                <w:shd w:val="clear" w:color="auto" w:fill="FFFFFF"/>
                <w:lang w:eastAsia="zh-CN"/>
              </w:rPr>
            </w:pPr>
            <w:r>
              <w:rPr>
                <w:rFonts w:ascii="Times New Roman" w:hAnsi="Times New Roman" w:eastAsia="宋体" w:cs="Times New Roman"/>
                <w:color w:val="FF0000"/>
                <w:kern w:val="0"/>
                <w:sz w:val="21"/>
                <w:szCs w:val="21"/>
                <w:highlight w:val="none"/>
                <w:shd w:val="clear" w:color="auto" w:fill="FFFFFF"/>
                <w:lang w:val="en-US"/>
              </w:rPr>
              <w:t>综上分析，项目符合</w:t>
            </w:r>
            <w:r>
              <w:rPr>
                <w:rFonts w:hint="eastAsia" w:ascii="Times New Roman" w:hAnsi="Times New Roman" w:eastAsia="宋体" w:cs="Times New Roman"/>
                <w:color w:val="FF0000"/>
                <w:kern w:val="0"/>
                <w:sz w:val="21"/>
                <w:szCs w:val="21"/>
                <w:highlight w:val="none"/>
                <w:shd w:val="clear" w:color="auto" w:fill="FFFFFF"/>
                <w:lang w:val="en-US"/>
              </w:rPr>
              <w:t>国务院关于印发《空气质量持续改善行动计划》的通知（国发〔2023〕24号）</w:t>
            </w:r>
            <w:r>
              <w:rPr>
                <w:rFonts w:ascii="Times New Roman" w:hAnsi="Times New Roman" w:eastAsia="宋体" w:cs="Times New Roman"/>
                <w:color w:val="FF0000"/>
                <w:kern w:val="0"/>
                <w:sz w:val="21"/>
                <w:szCs w:val="21"/>
                <w:highlight w:val="none"/>
                <w:shd w:val="clear" w:color="auto" w:fill="FFFFFF"/>
              </w:rPr>
              <w:t>中相关要求。</w:t>
            </w:r>
          </w:p>
          <w:p w14:paraId="11ABE905">
            <w:pPr>
              <w:rPr>
                <w:rFonts w:hint="eastAsia"/>
                <w:color w:val="auto"/>
                <w:lang w:eastAsia="zh-CN"/>
              </w:rPr>
            </w:pPr>
          </w:p>
          <w:p w14:paraId="0C78A13A">
            <w:pPr>
              <w:rPr>
                <w:rFonts w:hint="eastAsia"/>
                <w:color w:val="auto"/>
                <w:lang w:eastAsia="zh-CN"/>
              </w:rPr>
            </w:pPr>
          </w:p>
          <w:p w14:paraId="1B8C8559">
            <w:pPr>
              <w:rPr>
                <w:rFonts w:hint="eastAsia"/>
                <w:color w:val="auto"/>
                <w:lang w:eastAsia="zh-CN"/>
              </w:rPr>
            </w:pPr>
          </w:p>
          <w:p w14:paraId="7CB44A9A">
            <w:pPr>
              <w:rPr>
                <w:rFonts w:hint="eastAsia"/>
                <w:color w:val="auto"/>
                <w:lang w:eastAsia="zh-CN"/>
              </w:rPr>
            </w:pPr>
          </w:p>
          <w:p w14:paraId="0DA71EB0">
            <w:pPr>
              <w:rPr>
                <w:rFonts w:hint="eastAsia"/>
                <w:color w:val="auto"/>
                <w:lang w:eastAsia="zh-CN"/>
              </w:rPr>
            </w:pPr>
          </w:p>
          <w:p w14:paraId="5B285917">
            <w:pPr>
              <w:rPr>
                <w:rFonts w:hint="eastAsia"/>
                <w:color w:val="auto"/>
                <w:lang w:eastAsia="zh-CN"/>
              </w:rPr>
            </w:pPr>
          </w:p>
          <w:p w14:paraId="4026B744">
            <w:pPr>
              <w:rPr>
                <w:rFonts w:hint="eastAsia"/>
                <w:color w:val="auto"/>
                <w:lang w:eastAsia="zh-CN"/>
              </w:rPr>
            </w:pPr>
          </w:p>
          <w:p w14:paraId="3C8130CF">
            <w:pPr>
              <w:rPr>
                <w:rFonts w:hint="eastAsia"/>
                <w:color w:val="auto"/>
                <w:lang w:eastAsia="zh-CN"/>
              </w:rPr>
            </w:pPr>
          </w:p>
          <w:p w14:paraId="43868533">
            <w:pPr>
              <w:rPr>
                <w:rFonts w:hint="eastAsia"/>
                <w:color w:val="auto"/>
                <w:lang w:eastAsia="zh-CN"/>
              </w:rPr>
            </w:pPr>
          </w:p>
          <w:p w14:paraId="5F9FDBE3">
            <w:pPr>
              <w:rPr>
                <w:rFonts w:hint="eastAsia"/>
                <w:color w:val="auto"/>
                <w:lang w:eastAsia="zh-CN"/>
              </w:rPr>
            </w:pPr>
          </w:p>
          <w:p w14:paraId="730E54A9">
            <w:pPr>
              <w:rPr>
                <w:rFonts w:hint="eastAsia"/>
                <w:color w:val="auto"/>
                <w:lang w:eastAsia="zh-CN"/>
              </w:rPr>
            </w:pPr>
          </w:p>
          <w:p w14:paraId="48475E8E">
            <w:pPr>
              <w:rPr>
                <w:rFonts w:hint="eastAsia"/>
                <w:color w:val="auto"/>
                <w:lang w:eastAsia="zh-CN"/>
              </w:rPr>
            </w:pPr>
          </w:p>
          <w:p w14:paraId="5633F272">
            <w:pPr>
              <w:rPr>
                <w:rFonts w:hint="eastAsia"/>
                <w:color w:val="auto"/>
                <w:lang w:eastAsia="zh-CN"/>
              </w:rPr>
            </w:pPr>
          </w:p>
          <w:p w14:paraId="74E5C0AA">
            <w:pPr>
              <w:rPr>
                <w:rFonts w:hint="eastAsia"/>
                <w:color w:val="auto"/>
                <w:lang w:eastAsia="zh-CN"/>
              </w:rPr>
            </w:pPr>
          </w:p>
          <w:p w14:paraId="1C4EE827">
            <w:pPr>
              <w:rPr>
                <w:rFonts w:hint="eastAsia"/>
                <w:color w:val="auto"/>
                <w:lang w:eastAsia="zh-CN"/>
              </w:rPr>
            </w:pPr>
          </w:p>
          <w:p w14:paraId="1A780407">
            <w:pPr>
              <w:rPr>
                <w:rFonts w:hint="eastAsia"/>
                <w:color w:val="auto"/>
                <w:lang w:eastAsia="zh-CN"/>
              </w:rPr>
            </w:pPr>
          </w:p>
          <w:p w14:paraId="2A396F5F">
            <w:pPr>
              <w:rPr>
                <w:rFonts w:hint="eastAsia"/>
                <w:color w:val="auto"/>
                <w:lang w:eastAsia="zh-CN"/>
              </w:rPr>
            </w:pPr>
          </w:p>
          <w:p w14:paraId="16BAE296">
            <w:pPr>
              <w:rPr>
                <w:rFonts w:hint="eastAsia"/>
                <w:color w:val="auto"/>
                <w:lang w:eastAsia="zh-CN"/>
              </w:rPr>
            </w:pPr>
          </w:p>
          <w:p w14:paraId="0CB56CDC">
            <w:pPr>
              <w:rPr>
                <w:rFonts w:hint="eastAsia"/>
                <w:color w:val="auto"/>
                <w:lang w:eastAsia="zh-CN"/>
              </w:rPr>
            </w:pPr>
          </w:p>
          <w:p w14:paraId="2B6ADCD4">
            <w:pPr>
              <w:rPr>
                <w:rFonts w:hint="eastAsia"/>
                <w:color w:val="auto"/>
                <w:lang w:eastAsia="zh-CN"/>
              </w:rPr>
            </w:pPr>
          </w:p>
          <w:p w14:paraId="7A22B90E">
            <w:pPr>
              <w:rPr>
                <w:rFonts w:hint="eastAsia"/>
                <w:color w:val="auto"/>
                <w:lang w:eastAsia="zh-CN"/>
              </w:rPr>
            </w:pPr>
          </w:p>
          <w:p w14:paraId="5C84681F">
            <w:pPr>
              <w:rPr>
                <w:rFonts w:hint="eastAsia"/>
                <w:color w:val="auto"/>
                <w:lang w:eastAsia="zh-CN"/>
              </w:rPr>
            </w:pPr>
          </w:p>
          <w:p w14:paraId="3CE5C621">
            <w:pPr>
              <w:rPr>
                <w:rFonts w:hint="eastAsia"/>
                <w:color w:val="auto"/>
                <w:lang w:eastAsia="zh-CN"/>
              </w:rPr>
            </w:pPr>
          </w:p>
          <w:p w14:paraId="6A2DE24C">
            <w:pPr>
              <w:rPr>
                <w:rFonts w:hint="eastAsia"/>
                <w:color w:val="auto"/>
                <w:lang w:eastAsia="zh-CN"/>
              </w:rPr>
            </w:pPr>
          </w:p>
          <w:p w14:paraId="0F434B6F">
            <w:pPr>
              <w:rPr>
                <w:rFonts w:hint="eastAsia"/>
                <w:color w:val="auto"/>
                <w:lang w:eastAsia="zh-CN"/>
              </w:rPr>
            </w:pPr>
          </w:p>
          <w:p w14:paraId="2835BDED">
            <w:pPr>
              <w:rPr>
                <w:rFonts w:hint="eastAsia"/>
                <w:color w:val="auto"/>
                <w:lang w:eastAsia="zh-CN"/>
              </w:rPr>
            </w:pPr>
          </w:p>
          <w:p w14:paraId="1CAF6C6B">
            <w:pPr>
              <w:rPr>
                <w:rFonts w:hint="eastAsia"/>
                <w:color w:val="auto"/>
                <w:lang w:eastAsia="zh-CN"/>
              </w:rPr>
            </w:pPr>
          </w:p>
          <w:p w14:paraId="1E187AA3">
            <w:pPr>
              <w:rPr>
                <w:rFonts w:hint="eastAsia" w:eastAsia="宋体"/>
                <w:color w:val="auto"/>
                <w:lang w:eastAsia="zh-CN"/>
              </w:rPr>
            </w:pPr>
          </w:p>
        </w:tc>
      </w:tr>
    </w:tbl>
    <w:p w14:paraId="4038E048">
      <w:pPr>
        <w:spacing w:line="420" w:lineRule="exact"/>
        <w:outlineLvl w:val="0"/>
        <w:rPr>
          <w:rFonts w:eastAsia="黑体"/>
          <w:color w:val="auto"/>
          <w:sz w:val="30"/>
        </w:rPr>
        <w:sectPr>
          <w:footerReference r:id="rId3" w:type="default"/>
          <w:footerReference r:id="rId4" w:type="even"/>
          <w:pgSz w:w="11906" w:h="16838"/>
          <w:pgMar w:top="1701" w:right="1531" w:bottom="1701" w:left="1531" w:header="851" w:footer="1077" w:gutter="0"/>
          <w:pgNumType w:fmt="decimal" w:start="1"/>
          <w:cols w:space="720" w:num="1"/>
          <w:docGrid w:linePitch="312" w:charSpace="0"/>
        </w:sectPr>
      </w:pPr>
    </w:p>
    <w:p w14:paraId="476FF17E">
      <w:pPr>
        <w:pStyle w:val="78"/>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二、建设项目工程分析</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4"/>
        <w:gridCol w:w="8636"/>
      </w:tblGrid>
      <w:tr w14:paraId="2A8158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81" w:hRule="atLeast"/>
          <w:jc w:val="center"/>
        </w:trPr>
        <w:tc>
          <w:tcPr>
            <w:tcW w:w="424" w:type="dxa"/>
            <w:vAlign w:val="center"/>
          </w:tcPr>
          <w:p w14:paraId="19E81C25">
            <w:pPr>
              <w:pStyle w:val="78"/>
              <w:adjustRightInd w:val="0"/>
              <w:snapToGrid w:val="0"/>
              <w:spacing w:before="0" w:beforeAutospacing="0" w:after="0" w:afterAutospacing="0" w:line="4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建设内容</w:t>
            </w:r>
          </w:p>
        </w:tc>
        <w:tc>
          <w:tcPr>
            <w:tcW w:w="8636" w:type="dxa"/>
          </w:tcPr>
          <w:p w14:paraId="5C7169B0">
            <w:pPr>
              <w:keepNext w:val="0"/>
              <w:keepLines w:val="0"/>
              <w:pageBreakBefore w:val="0"/>
              <w:widowControl w:val="0"/>
              <w:numPr>
                <w:ilvl w:val="0"/>
                <w:numId w:val="17"/>
              </w:numPr>
              <w:kinsoku/>
              <w:wordWrap/>
              <w:overflowPunct/>
              <w:topLinePunct w:val="0"/>
              <w:autoSpaceDE/>
              <w:autoSpaceDN/>
              <w:bidi w:val="0"/>
              <w:adjustRightInd w:val="0"/>
              <w:snapToGrid w:val="0"/>
              <w:spacing w:line="360" w:lineRule="auto"/>
              <w:ind w:left="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 xml:space="preserve">        1、</w:t>
            </w:r>
            <w:r>
              <w:rPr>
                <w:rFonts w:hint="default" w:ascii="Times New Roman" w:hAnsi="Times New Roman" w:cs="Times New Roman"/>
                <w:color w:val="auto"/>
              </w:rPr>
              <w:t>项目由来</w:t>
            </w:r>
          </w:p>
          <w:p w14:paraId="030D2A0A">
            <w:pPr>
              <w:pStyle w:val="10"/>
              <w:keepNext w:val="0"/>
              <w:keepLines w:val="0"/>
              <w:pageBreakBefore w:val="0"/>
              <w:widowControl w:val="0"/>
              <w:kinsoku/>
              <w:wordWrap/>
              <w:overflowPunct/>
              <w:topLinePunct w:val="0"/>
              <w:autoSpaceDE/>
              <w:autoSpaceDN/>
              <w:bidi w:val="0"/>
              <w:adjustRightInd w:val="0"/>
              <w:snapToGrid w:val="0"/>
              <w:spacing w:line="360" w:lineRule="auto"/>
              <w:ind w:left="0" w:firstLine="480"/>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淄博奢瓷装饰材料技术有限公司成立于2013年12月，</w:t>
            </w:r>
            <w:r>
              <w:rPr>
                <w:rFonts w:hint="default" w:ascii="Times New Roman" w:hAnsi="Times New Roman" w:eastAsia="宋体" w:cs="Times New Roman"/>
                <w:color w:val="auto"/>
                <w:kern w:val="2"/>
                <w:sz w:val="21"/>
                <w:szCs w:val="21"/>
                <w:lang w:val="en-US" w:eastAsia="zh-CN" w:bidi="ar-SA"/>
              </w:rPr>
              <w:t>位于</w:t>
            </w:r>
            <w:r>
              <w:rPr>
                <w:rFonts w:hint="eastAsia" w:cs="Times New Roman"/>
                <w:color w:val="auto"/>
                <w:kern w:val="2"/>
                <w:sz w:val="21"/>
                <w:szCs w:val="21"/>
                <w:lang w:val="en-US" w:eastAsia="zh-CN" w:bidi="ar-SA"/>
              </w:rPr>
              <w:t>山东省</w:t>
            </w:r>
            <w:r>
              <w:rPr>
                <w:rFonts w:hint="default" w:ascii="Times New Roman" w:hAnsi="Times New Roman" w:eastAsia="宋体" w:cs="Times New Roman"/>
                <w:color w:val="auto"/>
                <w:kern w:val="2"/>
                <w:sz w:val="21"/>
                <w:szCs w:val="21"/>
                <w:lang w:val="en-US" w:eastAsia="zh-CN" w:bidi="ar-SA"/>
              </w:rPr>
              <w:t>淄博市</w:t>
            </w:r>
            <w:r>
              <w:rPr>
                <w:rFonts w:hint="eastAsia" w:cs="Times New Roman"/>
                <w:color w:val="auto"/>
                <w:lang w:val="en-US" w:eastAsia="zh-CN"/>
              </w:rPr>
              <w:t>经济开发区李家工业园</w:t>
            </w:r>
            <w:r>
              <w:rPr>
                <w:rFonts w:hint="default" w:ascii="Times New Roman" w:hAnsi="Times New Roman" w:eastAsia="宋体" w:cs="Times New Roman"/>
                <w:color w:val="auto"/>
                <w:kern w:val="2"/>
                <w:sz w:val="21"/>
                <w:szCs w:val="21"/>
                <w:lang w:val="en-US" w:eastAsia="zh-CN" w:bidi="ar-SA"/>
              </w:rPr>
              <w:t>，注册资本50万元</w:t>
            </w:r>
            <w:r>
              <w:rPr>
                <w:rFonts w:hint="default" w:ascii="Times New Roman" w:hAnsi="Times New Roman"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公司</w:t>
            </w:r>
            <w:r>
              <w:rPr>
                <w:rFonts w:hint="eastAsia" w:cs="Times New Roman"/>
                <w:color w:val="auto"/>
                <w:kern w:val="2"/>
                <w:sz w:val="21"/>
                <w:szCs w:val="21"/>
                <w:lang w:val="en-US" w:eastAsia="zh-CN" w:bidi="ar-SA"/>
              </w:rPr>
              <w:t>2017年编制的</w:t>
            </w:r>
            <w:r>
              <w:rPr>
                <w:rFonts w:hint="default" w:ascii="Times New Roman" w:hAnsi="Times New Roman" w:eastAsia="宋体" w:cs="Times New Roman"/>
                <w:color w:val="auto"/>
                <w:kern w:val="2"/>
                <w:sz w:val="21"/>
                <w:szCs w:val="21"/>
                <w:lang w:val="en-US" w:eastAsia="zh-CN" w:bidi="ar-SA"/>
              </w:rPr>
              <w:t>《</w:t>
            </w:r>
            <w:r>
              <w:rPr>
                <w:rFonts w:hint="eastAsia" w:cs="Times New Roman"/>
                <w:color w:val="auto"/>
                <w:kern w:val="2"/>
                <w:sz w:val="21"/>
                <w:szCs w:val="21"/>
                <w:lang w:val="en-US" w:eastAsia="zh-CN" w:bidi="ar-SA"/>
              </w:rPr>
              <w:t>年加工20万平方米的装饰画背景墙</w:t>
            </w:r>
            <w:r>
              <w:rPr>
                <w:rFonts w:hint="default" w:ascii="Times New Roman" w:hAnsi="Times New Roman" w:eastAsia="宋体" w:cs="Times New Roman"/>
                <w:color w:val="auto"/>
                <w:kern w:val="2"/>
                <w:sz w:val="21"/>
                <w:szCs w:val="21"/>
                <w:lang w:val="en-US" w:eastAsia="zh-CN" w:bidi="ar-SA"/>
              </w:rPr>
              <w:t>项目</w:t>
            </w:r>
            <w:r>
              <w:rPr>
                <w:rFonts w:hint="eastAsia" w:cs="Times New Roman"/>
                <w:color w:val="auto"/>
                <w:kern w:val="2"/>
                <w:sz w:val="21"/>
                <w:szCs w:val="21"/>
                <w:lang w:val="en-US" w:eastAsia="zh-CN" w:bidi="ar-SA"/>
              </w:rPr>
              <w:t>环境影响报告表</w:t>
            </w:r>
            <w:r>
              <w:rPr>
                <w:rFonts w:hint="default" w:ascii="Times New Roman" w:hAnsi="Times New Roman" w:eastAsia="宋体" w:cs="Times New Roman"/>
                <w:color w:val="auto"/>
                <w:kern w:val="2"/>
                <w:sz w:val="21"/>
                <w:szCs w:val="21"/>
                <w:lang w:val="en-US" w:eastAsia="zh-CN" w:bidi="ar-SA"/>
              </w:rPr>
              <w:t>》</w:t>
            </w:r>
            <w:r>
              <w:rPr>
                <w:rFonts w:hint="eastAsia" w:ascii="Times New Roman" w:hAnsi="Times New Roman" w:eastAsia="宋体" w:cs="Times New Roman"/>
                <w:color w:val="auto"/>
                <w:kern w:val="2"/>
                <w:sz w:val="21"/>
                <w:szCs w:val="21"/>
                <w:lang w:val="en-US" w:eastAsia="zh-CN" w:bidi="ar-SA"/>
              </w:rPr>
              <w:t>，2017年7月3日取得淄博市环境保护局周村分局批复（周环报告表[2017]140号），2017年8月23日通过淄博市环境保护局周村分局的验收（周环 验[2017]140号），</w:t>
            </w:r>
            <w:r>
              <w:rPr>
                <w:rFonts w:hint="default" w:ascii="Times New Roman" w:hAnsi="Times New Roman" w:eastAsia="宋体" w:cs="Times New Roman"/>
                <w:color w:val="auto"/>
                <w:kern w:val="2"/>
                <w:sz w:val="21"/>
                <w:szCs w:val="21"/>
                <w:lang w:val="en-US" w:eastAsia="zh-CN" w:bidi="ar-SA"/>
              </w:rPr>
              <w:t>建设有1条</w:t>
            </w:r>
            <w:r>
              <w:rPr>
                <w:rFonts w:hint="eastAsia" w:cs="Times New Roman"/>
                <w:color w:val="auto"/>
                <w:kern w:val="2"/>
                <w:sz w:val="21"/>
                <w:szCs w:val="21"/>
                <w:lang w:val="en-US" w:eastAsia="zh-CN" w:bidi="ar-SA"/>
              </w:rPr>
              <w:t>装饰画背景墙</w:t>
            </w:r>
            <w:r>
              <w:rPr>
                <w:rFonts w:hint="default" w:ascii="Times New Roman" w:hAnsi="Times New Roman" w:eastAsia="宋体" w:cs="Times New Roman"/>
                <w:color w:val="auto"/>
                <w:kern w:val="2"/>
                <w:sz w:val="21"/>
                <w:szCs w:val="21"/>
                <w:lang w:val="en-US" w:eastAsia="zh-CN" w:bidi="ar-SA"/>
              </w:rPr>
              <w:t>生产线，可年产</w:t>
            </w:r>
            <w:r>
              <w:rPr>
                <w:rFonts w:hint="eastAsia" w:cs="Times New Roman"/>
                <w:color w:val="auto"/>
                <w:kern w:val="2"/>
                <w:sz w:val="21"/>
                <w:szCs w:val="21"/>
                <w:lang w:val="en-US" w:eastAsia="zh-CN" w:bidi="ar-SA"/>
              </w:rPr>
              <w:t>20万平方米装饰画背景墙，2021</w:t>
            </w:r>
            <w:r>
              <w:rPr>
                <w:rFonts w:hint="default" w:ascii="Times New Roman" w:hAnsi="Times New Roman" w:eastAsia="宋体" w:cs="Times New Roman"/>
                <w:color w:val="auto"/>
                <w:kern w:val="2"/>
                <w:sz w:val="21"/>
                <w:szCs w:val="21"/>
                <w:lang w:val="en-US" w:eastAsia="zh-CN" w:bidi="ar-SA"/>
              </w:rPr>
              <w:t>年</w:t>
            </w:r>
            <w:r>
              <w:rPr>
                <w:rFonts w:hint="eastAsia" w:cs="Times New Roman"/>
                <w:color w:val="auto"/>
                <w:kern w:val="2"/>
                <w:sz w:val="21"/>
                <w:szCs w:val="21"/>
                <w:lang w:val="en-US" w:eastAsia="zh-CN" w:bidi="ar-SA"/>
              </w:rPr>
              <w:t>6月</w:t>
            </w:r>
            <w:r>
              <w:rPr>
                <w:rFonts w:hint="default" w:ascii="Times New Roman" w:hAnsi="Times New Roman" w:eastAsia="宋体" w:cs="Times New Roman"/>
                <w:color w:val="auto"/>
                <w:kern w:val="2"/>
                <w:sz w:val="21"/>
                <w:szCs w:val="21"/>
                <w:lang w:val="en-US" w:eastAsia="zh-CN" w:bidi="ar-SA"/>
              </w:rPr>
              <w:t>关停原有装饰画背景墙</w:t>
            </w:r>
            <w:r>
              <w:rPr>
                <w:rFonts w:hint="default" w:ascii="Times New Roman" w:hAnsi="Times New Roman" w:cs="Times New Roman"/>
                <w:color w:val="auto"/>
                <w:kern w:val="2"/>
                <w:sz w:val="21"/>
                <w:szCs w:val="21"/>
                <w:lang w:val="en-US" w:eastAsia="zh-CN" w:bidi="ar-SA"/>
              </w:rPr>
              <w:t>项目，不再生产</w:t>
            </w:r>
            <w:r>
              <w:rPr>
                <w:rFonts w:hint="eastAsia" w:cs="Times New Roman"/>
                <w:color w:val="auto"/>
                <w:kern w:val="2"/>
                <w:sz w:val="21"/>
                <w:szCs w:val="21"/>
                <w:lang w:val="en-US" w:eastAsia="zh-CN" w:bidi="ar-SA"/>
              </w:rPr>
              <w:t>，</w:t>
            </w:r>
            <w:r>
              <w:rPr>
                <w:rFonts w:hint="default" w:ascii="Times New Roman" w:hAnsi="Times New Roman" w:cs="Times New Roman"/>
                <w:color w:val="auto"/>
                <w:kern w:val="2"/>
                <w:sz w:val="21"/>
                <w:szCs w:val="21"/>
                <w:lang w:val="en-US" w:eastAsia="zh-CN" w:bidi="ar-SA"/>
              </w:rPr>
              <w:t>设备均已</w:t>
            </w:r>
            <w:r>
              <w:rPr>
                <w:rFonts w:hint="default" w:ascii="Times New Roman" w:hAnsi="Times New Roman" w:cs="Times New Roman"/>
                <w:color w:val="auto"/>
                <w:kern w:val="2"/>
                <w:sz w:val="21"/>
                <w:szCs w:val="21"/>
                <w:highlight w:val="none"/>
                <w:lang w:val="en-US" w:eastAsia="zh-CN" w:bidi="ar-SA"/>
              </w:rPr>
              <w:t>拆除，</w:t>
            </w:r>
            <w:r>
              <w:rPr>
                <w:rFonts w:hint="eastAsia" w:cs="Times New Roman"/>
                <w:color w:val="FF0000"/>
                <w:kern w:val="2"/>
                <w:sz w:val="21"/>
                <w:szCs w:val="21"/>
                <w:highlight w:val="none"/>
                <w:lang w:val="en-US" w:eastAsia="zh-CN" w:bidi="ar-SA"/>
              </w:rPr>
              <w:t>将原1条80m辊道窑改造为1条60m的隧道窑，新上《产品升级及节能降耗项目》（2021年6月13日</w:t>
            </w:r>
            <w:r>
              <w:rPr>
                <w:rFonts w:hint="eastAsia"/>
                <w:color w:val="FF0000"/>
                <w:highlight w:val="none"/>
                <w:lang w:eastAsia="zh-CN"/>
              </w:rPr>
              <w:t>《山东省建设项目登记备案证明》项目代码：</w:t>
            </w:r>
            <w:r>
              <w:rPr>
                <w:rFonts w:hint="eastAsia" w:cs="Times New Roman"/>
                <w:color w:val="FF0000"/>
                <w:kern w:val="2"/>
                <w:sz w:val="21"/>
                <w:szCs w:val="21"/>
                <w:highlight w:val="none"/>
                <w:lang w:val="en-US" w:eastAsia="zh-CN" w:bidi="ar-SA"/>
              </w:rPr>
              <w:t>2106-370393-89-02-743966），</w:t>
            </w:r>
            <w:r>
              <w:rPr>
                <w:rFonts w:hint="eastAsia" w:ascii="Times New Roman" w:hAnsi="Times New Roman" w:cs="Times New Roman" w:eastAsiaTheme="minorEastAsia"/>
                <w:color w:val="FF0000"/>
                <w:highlight w:val="none"/>
                <w:lang w:val="en-US" w:eastAsia="zh-CN"/>
              </w:rPr>
              <w:t>主要产品为</w:t>
            </w:r>
            <w:r>
              <w:rPr>
                <w:rFonts w:hint="eastAsia" w:cs="Times New Roman" w:eastAsiaTheme="minorEastAsia"/>
                <w:color w:val="FF0000"/>
                <w:highlight w:val="none"/>
                <w:lang w:val="en-US" w:eastAsia="zh-CN"/>
              </w:rPr>
              <w:t>陶瓷手模</w:t>
            </w:r>
            <w:r>
              <w:rPr>
                <w:rFonts w:hint="eastAsia" w:ascii="Times New Roman" w:hAnsi="Times New Roman" w:cs="Times New Roman" w:eastAsiaTheme="minorEastAsia"/>
                <w:color w:val="FF0000"/>
                <w:highlight w:val="none"/>
                <w:lang w:val="en-US" w:eastAsia="zh-CN"/>
              </w:rPr>
              <w:t>，根据国民经济行业分类(GBT4754-2017)(按第1号修改单修订)，该项目属于C30</w:t>
            </w:r>
            <w:r>
              <w:rPr>
                <w:rFonts w:hint="eastAsia" w:cs="Times New Roman" w:eastAsiaTheme="minorEastAsia"/>
                <w:color w:val="FF0000"/>
                <w:highlight w:val="none"/>
                <w:lang w:val="en-US" w:eastAsia="zh-CN"/>
              </w:rPr>
              <w:t>79其他陶瓷制品制造</w:t>
            </w:r>
            <w:r>
              <w:rPr>
                <w:rFonts w:hint="eastAsia" w:ascii="Times New Roman" w:hAnsi="Times New Roman" w:cs="Times New Roman" w:eastAsiaTheme="minorEastAsia"/>
                <w:color w:val="FF0000"/>
                <w:highlight w:val="none"/>
                <w:lang w:val="en-US" w:eastAsia="zh-CN"/>
              </w:rPr>
              <w:t>，</w:t>
            </w:r>
            <w:r>
              <w:rPr>
                <w:rFonts w:hint="eastAsia" w:cs="Times New Roman" w:eastAsiaTheme="minorEastAsia"/>
                <w:color w:val="FF0000"/>
                <w:highlight w:val="none"/>
                <w:lang w:val="en-US" w:eastAsia="zh-CN"/>
              </w:rPr>
              <w:t>主要原料为高岭土、长石等，主要燃料为天然气，不使用高污染燃料</w:t>
            </w:r>
            <w:r>
              <w:rPr>
                <w:rFonts w:hint="eastAsia" w:ascii="Times New Roman" w:hAnsi="Times New Roman" w:cs="Times New Roman" w:eastAsiaTheme="minorEastAsia"/>
                <w:color w:val="FF0000"/>
                <w:highlight w:val="none"/>
                <w:lang w:val="en-US" w:eastAsia="zh-CN"/>
              </w:rPr>
              <w:t>。根据国家生态环境部发布的《建设项目环境影响评价分类管理名录》（2021年版）及国民经济行业类别，该项目的行业类别属于二十七“非金属矿物制品业30”、5</w:t>
            </w:r>
            <w:r>
              <w:rPr>
                <w:rFonts w:hint="eastAsia" w:cs="Times New Roman" w:eastAsiaTheme="minorEastAsia"/>
                <w:color w:val="FF0000"/>
                <w:highlight w:val="none"/>
                <w:lang w:val="en-US" w:eastAsia="zh-CN"/>
              </w:rPr>
              <w:t>9</w:t>
            </w:r>
            <w:r>
              <w:rPr>
                <w:rFonts w:hint="eastAsia" w:ascii="Times New Roman" w:hAnsi="Times New Roman" w:cs="Times New Roman" w:eastAsiaTheme="minorEastAsia"/>
                <w:color w:val="FF0000"/>
                <w:highlight w:val="none"/>
                <w:lang w:val="en-US" w:eastAsia="zh-CN"/>
              </w:rPr>
              <w:t>“</w:t>
            </w:r>
            <w:r>
              <w:rPr>
                <w:rFonts w:hint="eastAsia" w:cs="Times New Roman" w:eastAsiaTheme="minorEastAsia"/>
                <w:color w:val="FF0000"/>
                <w:highlight w:val="none"/>
                <w:lang w:val="en-US" w:eastAsia="zh-CN"/>
              </w:rPr>
              <w:t>陶瓷</w:t>
            </w:r>
            <w:r>
              <w:rPr>
                <w:rFonts w:hint="eastAsia" w:ascii="Times New Roman" w:hAnsi="Times New Roman" w:cs="Times New Roman" w:eastAsiaTheme="minorEastAsia"/>
                <w:color w:val="FF0000"/>
                <w:highlight w:val="none"/>
                <w:lang w:val="en-US" w:eastAsia="zh-CN"/>
              </w:rPr>
              <w:t>制品制造30</w:t>
            </w:r>
            <w:r>
              <w:rPr>
                <w:rFonts w:hint="eastAsia" w:cs="Times New Roman" w:eastAsiaTheme="minorEastAsia"/>
                <w:color w:val="FF0000"/>
                <w:highlight w:val="none"/>
                <w:lang w:val="en-US" w:eastAsia="zh-CN"/>
              </w:rPr>
              <w:t>7</w:t>
            </w:r>
            <w:r>
              <w:rPr>
                <w:rFonts w:hint="eastAsia" w:ascii="Times New Roman" w:hAnsi="Times New Roman" w:cs="Times New Roman" w:eastAsiaTheme="minorEastAsia"/>
                <w:color w:val="FF0000"/>
                <w:highlight w:val="none"/>
                <w:lang w:val="en-US" w:eastAsia="zh-CN"/>
              </w:rPr>
              <w:t>”，不需纳入建设项目环境影响评价管理。</w:t>
            </w:r>
            <w:r>
              <w:rPr>
                <w:rFonts w:hint="default" w:ascii="Times New Roman" w:hAnsi="Times New Roman" w:cs="Times New Roman" w:eastAsiaTheme="minorEastAsia"/>
                <w:color w:val="FF0000"/>
                <w:highlight w:val="none"/>
                <w:lang w:eastAsia="zh-CN"/>
              </w:rPr>
              <w:t>202</w:t>
            </w:r>
            <w:r>
              <w:rPr>
                <w:rFonts w:hint="eastAsia" w:cs="Times New Roman" w:eastAsiaTheme="minorEastAsia"/>
                <w:color w:val="FF0000"/>
                <w:highlight w:val="none"/>
                <w:lang w:val="en-US" w:eastAsia="zh-CN"/>
              </w:rPr>
              <w:t>1</w:t>
            </w:r>
            <w:r>
              <w:rPr>
                <w:rFonts w:hint="default" w:ascii="Times New Roman" w:hAnsi="Times New Roman" w:cs="Times New Roman" w:eastAsiaTheme="minorEastAsia"/>
                <w:color w:val="FF0000"/>
                <w:highlight w:val="none"/>
                <w:lang w:eastAsia="zh-CN"/>
              </w:rPr>
              <w:t>年</w:t>
            </w:r>
            <w:r>
              <w:rPr>
                <w:rFonts w:hint="eastAsia" w:cs="Times New Roman" w:eastAsiaTheme="minorEastAsia"/>
                <w:color w:val="FF0000"/>
                <w:highlight w:val="none"/>
                <w:lang w:val="en-US" w:eastAsia="zh-CN"/>
              </w:rPr>
              <w:t>4</w:t>
            </w:r>
            <w:r>
              <w:rPr>
                <w:rFonts w:hint="default" w:ascii="Times New Roman" w:hAnsi="Times New Roman" w:cs="Times New Roman" w:eastAsiaTheme="minorEastAsia"/>
                <w:color w:val="FF0000"/>
                <w:highlight w:val="none"/>
                <w:lang w:eastAsia="zh-CN"/>
              </w:rPr>
              <w:t>月</w:t>
            </w:r>
            <w:r>
              <w:rPr>
                <w:rFonts w:hint="eastAsia" w:cs="Times New Roman" w:eastAsiaTheme="minorEastAsia"/>
                <w:color w:val="FF0000"/>
                <w:highlight w:val="none"/>
                <w:lang w:val="en-US" w:eastAsia="zh-CN"/>
              </w:rPr>
              <w:t>24</w:t>
            </w:r>
            <w:r>
              <w:rPr>
                <w:rFonts w:hint="default" w:ascii="Times New Roman" w:hAnsi="Times New Roman" w:cs="Times New Roman" w:eastAsiaTheme="minorEastAsia"/>
                <w:color w:val="FF0000"/>
                <w:highlight w:val="none"/>
                <w:lang w:val="en-US" w:eastAsia="zh-CN"/>
              </w:rPr>
              <w:t>日</w:t>
            </w:r>
            <w:r>
              <w:rPr>
                <w:rFonts w:hint="eastAsia" w:cs="Times New Roman" w:eastAsiaTheme="minorEastAsia"/>
                <w:color w:val="FF0000"/>
                <w:highlight w:val="none"/>
                <w:lang w:val="en-US" w:eastAsia="zh-CN"/>
              </w:rPr>
              <w:t>首次</w:t>
            </w:r>
            <w:r>
              <w:rPr>
                <w:rFonts w:hint="default" w:ascii="Times New Roman" w:hAnsi="Times New Roman" w:cs="Times New Roman" w:eastAsiaTheme="minorEastAsia"/>
                <w:color w:val="FF0000"/>
                <w:highlight w:val="none"/>
                <w:lang w:eastAsia="zh-CN"/>
              </w:rPr>
              <w:t>取得</w:t>
            </w:r>
            <w:r>
              <w:rPr>
                <w:rFonts w:hint="eastAsia" w:ascii="Times New Roman" w:hAnsi="Times New Roman" w:cs="Times New Roman" w:eastAsiaTheme="minorEastAsia"/>
                <w:color w:val="FF0000"/>
                <w:highlight w:val="none"/>
                <w:lang w:val="en-US" w:eastAsia="zh-CN"/>
              </w:rPr>
              <w:t>排污登记回执</w:t>
            </w:r>
            <w:r>
              <w:rPr>
                <w:rFonts w:hint="default" w:ascii="Times New Roman" w:hAnsi="Times New Roman" w:cs="Times New Roman" w:eastAsiaTheme="minorEastAsia"/>
                <w:color w:val="FF0000"/>
                <w:highlight w:val="none"/>
                <w:lang w:eastAsia="zh-CN"/>
              </w:rPr>
              <w:t>（编号：913703060897879537001W）</w:t>
            </w:r>
            <w:r>
              <w:rPr>
                <w:rFonts w:hint="eastAsia" w:cs="Times New Roman" w:eastAsiaTheme="minorEastAsia"/>
                <w:color w:val="FF0000"/>
                <w:highlight w:val="none"/>
                <w:lang w:eastAsia="zh-CN"/>
              </w:rPr>
              <w:t>，</w:t>
            </w:r>
            <w:r>
              <w:rPr>
                <w:rFonts w:hint="eastAsia" w:cs="Times New Roman" w:eastAsiaTheme="minorEastAsia"/>
                <w:color w:val="FF0000"/>
                <w:highlight w:val="none"/>
                <w:lang w:val="en-US" w:eastAsia="zh-CN"/>
              </w:rPr>
              <w:t>陶瓷手模生产线于2021年底停产，设备只保留</w:t>
            </w:r>
            <w:r>
              <w:rPr>
                <w:rFonts w:hint="eastAsia" w:cs="Times New Roman"/>
                <w:color w:val="FF0000"/>
                <w:kern w:val="2"/>
                <w:sz w:val="21"/>
                <w:szCs w:val="21"/>
                <w:highlight w:val="none"/>
                <w:lang w:val="en-US" w:eastAsia="zh-CN" w:bidi="ar-SA"/>
              </w:rPr>
              <w:t>1条60m的隧道窑，其他设备已拆除，</w:t>
            </w:r>
            <w:r>
              <w:rPr>
                <w:rFonts w:hint="default" w:ascii="Times New Roman" w:hAnsi="Times New Roman" w:cs="Times New Roman"/>
                <w:color w:val="FF0000"/>
                <w:kern w:val="2"/>
                <w:sz w:val="21"/>
                <w:szCs w:val="21"/>
                <w:lang w:val="en-US" w:eastAsia="zh-CN" w:bidi="ar-SA"/>
              </w:rPr>
              <w:t>后期也不再生产</w:t>
            </w:r>
            <w:r>
              <w:rPr>
                <w:rFonts w:hint="default" w:ascii="Times New Roman" w:hAnsi="Times New Roman" w:eastAsia="宋体" w:cs="Times New Roman"/>
                <w:color w:val="auto"/>
                <w:kern w:val="2"/>
                <w:sz w:val="21"/>
                <w:szCs w:val="21"/>
                <w:lang w:val="en-US" w:eastAsia="zh-CN" w:bidi="ar-SA"/>
              </w:rPr>
              <w:t>。</w:t>
            </w:r>
          </w:p>
          <w:p w14:paraId="21F14D39">
            <w:pPr>
              <w:keepNext w:val="0"/>
              <w:keepLines w:val="0"/>
              <w:pageBreakBefore w:val="0"/>
              <w:widowControl w:val="0"/>
              <w:kinsoku/>
              <w:wordWrap/>
              <w:overflowPunct/>
              <w:topLinePunct w:val="0"/>
              <w:autoSpaceDE/>
              <w:autoSpaceDN/>
              <w:bidi w:val="0"/>
              <w:snapToGrid w:val="0"/>
              <w:spacing w:line="360" w:lineRule="auto"/>
              <w:ind w:firstLine="420" w:firstLineChars="200"/>
              <w:jc w:val="center"/>
              <w:textAlignment w:val="auto"/>
              <w:rPr>
                <w:rFonts w:hint="eastAsia"/>
                <w:lang w:eastAsia="zh-CN"/>
              </w:rPr>
            </w:pPr>
            <w:r>
              <w:drawing>
                <wp:inline distT="0" distB="0" distL="114300" distR="114300">
                  <wp:extent cx="4191635" cy="2454275"/>
                  <wp:effectExtent l="0" t="0" r="18415" b="3175"/>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pic:cNvPicPr>
                            <a:picLocks noChangeAspect="1"/>
                          </pic:cNvPicPr>
                        </pic:nvPicPr>
                        <pic:blipFill>
                          <a:blip r:embed="rId10"/>
                          <a:stretch>
                            <a:fillRect/>
                          </a:stretch>
                        </pic:blipFill>
                        <pic:spPr>
                          <a:xfrm>
                            <a:off x="0" y="0"/>
                            <a:ext cx="4191635" cy="2454275"/>
                          </a:xfrm>
                          <a:prstGeom prst="rect">
                            <a:avLst/>
                          </a:prstGeom>
                          <a:noFill/>
                          <a:ln>
                            <a:noFill/>
                          </a:ln>
                        </pic:spPr>
                      </pic:pic>
                    </a:graphicData>
                  </a:graphic>
                </wp:inline>
              </w:drawing>
            </w:r>
          </w:p>
          <w:p w14:paraId="2D67D089">
            <w:pPr>
              <w:keepNext w:val="0"/>
              <w:keepLines w:val="0"/>
              <w:pageBreakBefore w:val="0"/>
              <w:widowControl w:val="0"/>
              <w:kinsoku/>
              <w:wordWrap/>
              <w:overflowPunct/>
              <w:topLinePunct w:val="0"/>
              <w:autoSpaceDE/>
              <w:autoSpaceDN/>
              <w:bidi w:val="0"/>
              <w:snapToGrid w:val="0"/>
              <w:spacing w:line="360" w:lineRule="auto"/>
              <w:ind w:firstLine="420" w:firstLineChars="200"/>
              <w:textAlignment w:val="auto"/>
              <w:rPr>
                <w:rFonts w:hint="eastAsia" w:cs="Times New Roman"/>
                <w:color w:val="auto"/>
                <w:highlight w:val="none"/>
                <w:lang w:val="en-US" w:eastAsia="zh-CN"/>
              </w:rPr>
            </w:pPr>
            <w:r>
              <w:rPr>
                <w:rFonts w:hint="default" w:ascii="Times New Roman" w:hAnsi="Times New Roman" w:cs="Times New Roman"/>
                <w:color w:val="auto"/>
                <w:lang w:val="en-US" w:eastAsia="zh-CN"/>
              </w:rPr>
              <w:t>根据市场需求，</w:t>
            </w:r>
            <w:r>
              <w:rPr>
                <w:rFonts w:hint="eastAsia" w:cs="Times New Roman"/>
                <w:color w:val="auto"/>
                <w:lang w:val="en-US" w:eastAsia="zh-CN"/>
              </w:rPr>
              <w:t>淄博奢瓷装饰材料技术有限公司</w:t>
            </w:r>
            <w:r>
              <w:rPr>
                <w:rFonts w:hint="default" w:ascii="Times New Roman" w:hAnsi="Times New Roman" w:cs="Times New Roman"/>
                <w:color w:val="auto"/>
                <w:lang w:val="en-US" w:eastAsia="zh-CN"/>
              </w:rPr>
              <w:t>拟投资</w:t>
            </w:r>
            <w:r>
              <w:rPr>
                <w:rFonts w:hint="eastAsia" w:cs="Times New Roman"/>
                <w:color w:val="auto"/>
                <w:lang w:val="en-US" w:eastAsia="zh-CN"/>
              </w:rPr>
              <w:t>50</w:t>
            </w:r>
            <w:r>
              <w:rPr>
                <w:rFonts w:hint="default" w:ascii="Times New Roman" w:hAnsi="Times New Roman" w:cs="Times New Roman"/>
                <w:color w:val="auto"/>
                <w:lang w:val="en-US" w:eastAsia="zh-CN"/>
              </w:rPr>
              <w:t>0万元建设</w:t>
            </w:r>
            <w:r>
              <w:rPr>
                <w:rFonts w:hint="default" w:ascii="Times New Roman" w:hAnsi="Times New Roman" w:eastAsia="宋体" w:cs="Times New Roman"/>
                <w:color w:val="auto"/>
                <w:highlight w:val="none"/>
                <w:lang w:eastAsia="zh-CN"/>
              </w:rPr>
              <w:t>“</w:t>
            </w:r>
            <w:r>
              <w:rPr>
                <w:rFonts w:hint="eastAsia" w:cs="Times New Roman"/>
                <w:color w:val="auto"/>
                <w:highlight w:val="none"/>
                <w:lang w:eastAsia="zh-CN"/>
              </w:rPr>
              <w:t>高性能抛光粉体项目</w:t>
            </w:r>
            <w:r>
              <w:rPr>
                <w:rFonts w:hint="default" w:ascii="Times New Roman" w:hAnsi="Times New Roman" w:eastAsia="宋体" w:cs="Times New Roman"/>
                <w:color w:val="auto"/>
                <w:highlight w:val="none"/>
                <w:lang w:eastAsia="zh-CN"/>
              </w:rPr>
              <w:t>”，</w:t>
            </w:r>
            <w:r>
              <w:rPr>
                <w:rFonts w:hint="eastAsia" w:cs="Times New Roman"/>
                <w:color w:val="auto"/>
                <w:highlight w:val="none"/>
                <w:lang w:val="en-US" w:eastAsia="zh-CN"/>
              </w:rPr>
              <w:t>该项目利用现有1300m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厂房，依托现有1条60m隧道窑，新上3台振动筛、3台螺旋上料机、2台行星混料机、1台空压机、2台机械臂、1台装粉机，以氧化镧铈、氧化硅、氧化钙、氧化铝、硼酸锌为原料，经上料、筛分、混料、装料、烧制、包装后得到高性能抛光粉体</w:t>
            </w:r>
            <w:r>
              <w:rPr>
                <w:rFonts w:hint="default" w:ascii="Times New Roman" w:hAnsi="Times New Roman" w:cs="Times New Roman"/>
                <w:color w:val="auto"/>
                <w:highlight w:val="none"/>
                <w:lang w:val="en-US" w:eastAsia="zh-CN"/>
              </w:rPr>
              <w:t>，本项目建成后</w:t>
            </w:r>
            <w:r>
              <w:rPr>
                <w:rFonts w:hint="eastAsia" w:cs="Times New Roman"/>
                <w:color w:val="auto"/>
                <w:highlight w:val="none"/>
                <w:lang w:val="en-US" w:eastAsia="zh-CN"/>
              </w:rPr>
              <w:t>可年产2400吨高性能抛光粉体。</w:t>
            </w:r>
          </w:p>
          <w:p w14:paraId="101E6C5A">
            <w:pPr>
              <w:keepNext w:val="0"/>
              <w:keepLines w:val="0"/>
              <w:pageBreakBefore w:val="0"/>
              <w:widowControl w:val="0"/>
              <w:kinsoku/>
              <w:wordWrap/>
              <w:overflowPunct/>
              <w:topLinePunct w:val="0"/>
              <w:autoSpaceDE/>
              <w:autoSpaceDN/>
              <w:bidi w:val="0"/>
              <w:snapToGrid w:val="0"/>
              <w:spacing w:line="360" w:lineRule="auto"/>
              <w:ind w:firstLine="420" w:firstLineChars="200"/>
              <w:textAlignment w:val="auto"/>
              <w:rPr>
                <w:rFonts w:hint="default" w:ascii="Times New Roman" w:hAnsi="Times New Roman" w:cs="Times New Roman" w:eastAsiaTheme="minorEastAsia"/>
                <w:color w:val="FF0000"/>
                <w:highlight w:val="none"/>
              </w:rPr>
            </w:pPr>
            <w:r>
              <w:rPr>
                <w:color w:val="FF0000"/>
                <w:highlight w:val="none"/>
              </w:rPr>
              <w:t>根据《中华人民共和国环境保护法》、《中华人民共和国环境影响评价法》和《建设项目环境保护管理条例》的有关规定，本项目须执行环境影响评价制度。本项目属于《建设项目环境影响评价分类管理目录》（</w:t>
            </w:r>
            <w:r>
              <w:rPr>
                <w:rFonts w:hint="eastAsia"/>
                <w:color w:val="FF0000"/>
                <w:kern w:val="0"/>
                <w:szCs w:val="21"/>
                <w:highlight w:val="none"/>
                <w:lang w:eastAsia="zh-CN"/>
              </w:rPr>
              <w:t>2</w:t>
            </w:r>
            <w:r>
              <w:rPr>
                <w:rFonts w:hint="eastAsia"/>
                <w:color w:val="FF0000"/>
                <w:kern w:val="0"/>
                <w:szCs w:val="21"/>
                <w:highlight w:val="none"/>
                <w:lang w:val="en-US" w:eastAsia="zh-CN"/>
              </w:rPr>
              <w:t>021年版</w:t>
            </w:r>
            <w:r>
              <w:rPr>
                <w:color w:val="FF0000"/>
                <w:highlight w:val="none"/>
              </w:rPr>
              <w:t>）“</w:t>
            </w:r>
            <w:r>
              <w:rPr>
                <w:rFonts w:hint="eastAsia"/>
                <w:color w:val="FF0000"/>
                <w:highlight w:val="none"/>
              </w:rPr>
              <w:t>三十六、计算机、通信和其他电子设备制造业 39</w:t>
            </w:r>
            <w:r>
              <w:rPr>
                <w:color w:val="FF0000"/>
                <w:highlight w:val="none"/>
              </w:rPr>
              <w:t>，8</w:t>
            </w:r>
            <w:r>
              <w:rPr>
                <w:rFonts w:hint="eastAsia"/>
                <w:color w:val="FF0000"/>
                <w:highlight w:val="none"/>
                <w:lang w:eastAsia="zh-CN"/>
              </w:rPr>
              <w:t>1</w:t>
            </w:r>
            <w:r>
              <w:rPr>
                <w:color w:val="FF0000"/>
                <w:highlight w:val="none"/>
              </w:rPr>
              <w:t>、</w:t>
            </w:r>
            <w:r>
              <w:rPr>
                <w:rFonts w:hint="eastAsia"/>
                <w:color w:val="FF0000"/>
                <w:highlight w:val="none"/>
              </w:rPr>
              <w:t>电子元件及电子专用材料制造 398</w:t>
            </w:r>
            <w:r>
              <w:rPr>
                <w:color w:val="FF0000"/>
                <w:highlight w:val="none"/>
              </w:rPr>
              <w:t>中“</w:t>
            </w:r>
            <w:r>
              <w:rPr>
                <w:rFonts w:hint="eastAsia"/>
                <w:color w:val="FF0000"/>
                <w:highlight w:val="none"/>
              </w:rPr>
              <w:t>电子专用材料制造（电子化工材料制造除外）</w:t>
            </w:r>
            <w:r>
              <w:rPr>
                <w:color w:val="FF0000"/>
                <w:highlight w:val="none"/>
              </w:rPr>
              <w:t>”项”</w:t>
            </w:r>
            <w:r>
              <w:rPr>
                <w:bCs/>
                <w:color w:val="FF0000"/>
                <w:highlight w:val="none"/>
              </w:rPr>
              <w:t>，需编制环境影响报告表</w:t>
            </w:r>
            <w:r>
              <w:rPr>
                <w:rFonts w:hint="default" w:ascii="Times New Roman" w:hAnsi="Times New Roman" w:cs="Times New Roman" w:eastAsiaTheme="minorEastAsia"/>
                <w:color w:val="FF0000"/>
                <w:kern w:val="24"/>
                <w:highlight w:val="none"/>
              </w:rPr>
              <w:t>。</w:t>
            </w:r>
          </w:p>
          <w:p w14:paraId="3CABF611">
            <w:pPr>
              <w:keepNext w:val="0"/>
              <w:keepLines w:val="0"/>
              <w:pageBreakBefore w:val="0"/>
              <w:widowControl w:val="0"/>
              <w:kinsoku/>
              <w:wordWrap/>
              <w:overflowPunct/>
              <w:topLinePunct w:val="0"/>
              <w:autoSpaceDE/>
              <w:autoSpaceDN/>
              <w:bidi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kern w:val="0"/>
                <w:lang w:val="de-DE"/>
              </w:rPr>
              <w:t>2</w:t>
            </w:r>
            <w:r>
              <w:rPr>
                <w:rFonts w:hint="default" w:ascii="Times New Roman" w:hAnsi="Times New Roman" w:cs="Times New Roman"/>
                <w:color w:val="auto"/>
                <w:kern w:val="0"/>
              </w:rPr>
              <w:t>、建设内容：</w:t>
            </w:r>
            <w:r>
              <w:rPr>
                <w:rFonts w:hint="default" w:ascii="Times New Roman" w:hAnsi="Times New Roman" w:cs="Times New Roman"/>
                <w:color w:val="auto"/>
                <w:kern w:val="0"/>
                <w:lang w:eastAsia="zh-CN"/>
              </w:rPr>
              <w:t>本项目</w:t>
            </w:r>
            <w:r>
              <w:rPr>
                <w:rFonts w:hint="eastAsia" w:cs="Times New Roman"/>
                <w:color w:val="auto"/>
                <w:kern w:val="0"/>
                <w:lang w:val="en-US" w:eastAsia="zh-CN"/>
              </w:rPr>
              <w:t>占地面积为</w:t>
            </w:r>
            <w:r>
              <w:rPr>
                <w:rFonts w:hint="default" w:ascii="Times New Roman" w:hAnsi="Times New Roman" w:cs="Times New Roman"/>
                <w:color w:val="auto"/>
                <w:kern w:val="0"/>
                <w:lang w:eastAsia="zh-CN"/>
              </w:rPr>
              <w:t>1</w:t>
            </w:r>
            <w:r>
              <w:rPr>
                <w:rFonts w:hint="eastAsia" w:cs="Times New Roman"/>
                <w:color w:val="auto"/>
                <w:kern w:val="0"/>
                <w:lang w:val="en-US" w:eastAsia="zh-CN"/>
              </w:rPr>
              <w:t>3</w:t>
            </w:r>
            <w:r>
              <w:rPr>
                <w:rFonts w:hint="default" w:ascii="Times New Roman" w:hAnsi="Times New Roman" w:cs="Times New Roman"/>
                <w:color w:val="auto"/>
                <w:kern w:val="0"/>
                <w:lang w:eastAsia="zh-CN"/>
              </w:rPr>
              <w:t>00m</w:t>
            </w:r>
            <w:r>
              <w:rPr>
                <w:rFonts w:hint="default" w:ascii="Times New Roman" w:hAnsi="Times New Roman" w:cs="Times New Roman"/>
                <w:color w:val="auto"/>
                <w:kern w:val="0"/>
                <w:vertAlign w:val="superscript"/>
                <w:lang w:eastAsia="zh-CN"/>
              </w:rPr>
              <w:t>3</w:t>
            </w:r>
            <w:r>
              <w:rPr>
                <w:rFonts w:hint="default" w:ascii="Times New Roman" w:hAnsi="Times New Roman" w:cs="Times New Roman"/>
                <w:color w:val="auto"/>
              </w:rPr>
              <w:t>。</w:t>
            </w:r>
            <w:r>
              <w:rPr>
                <w:rFonts w:hint="default" w:ascii="Times New Roman" w:hAnsi="Times New Roman" w:cs="Times New Roman"/>
                <w:snapToGrid w:val="0"/>
                <w:color w:val="auto"/>
                <w:kern w:val="0"/>
              </w:rPr>
              <w:t>具体内容见表2-</w:t>
            </w:r>
            <w:r>
              <w:rPr>
                <w:rFonts w:hint="eastAsia" w:cs="Times New Roman"/>
                <w:snapToGrid w:val="0"/>
                <w:color w:val="auto"/>
                <w:kern w:val="0"/>
                <w:lang w:val="en-US" w:eastAsia="zh-CN"/>
              </w:rPr>
              <w:t>1</w:t>
            </w:r>
            <w:r>
              <w:rPr>
                <w:rFonts w:hint="default" w:ascii="Times New Roman" w:hAnsi="Times New Roman" w:cs="Times New Roman"/>
                <w:snapToGrid w:val="0"/>
                <w:color w:val="auto"/>
                <w:kern w:val="0"/>
              </w:rPr>
              <w:t>。</w:t>
            </w:r>
          </w:p>
          <w:p w14:paraId="63DD67D2">
            <w:pPr>
              <w:spacing w:line="420" w:lineRule="exact"/>
              <w:jc w:val="center"/>
              <w:rPr>
                <w:rFonts w:hint="default" w:ascii="Times New Roman" w:hAnsi="Times New Roman" w:cs="Times New Roman"/>
                <w:b/>
                <w:color w:val="auto"/>
              </w:rPr>
            </w:pPr>
            <w:r>
              <w:rPr>
                <w:rFonts w:hint="default" w:ascii="Times New Roman" w:hAnsi="Times New Roman" w:cs="Times New Roman"/>
                <w:b/>
                <w:color w:val="auto"/>
              </w:rPr>
              <w:t>表2-</w:t>
            </w:r>
            <w:r>
              <w:rPr>
                <w:rFonts w:hint="eastAsia" w:cs="Times New Roman"/>
                <w:b/>
                <w:color w:val="auto"/>
                <w:lang w:val="en-US" w:eastAsia="zh-CN"/>
              </w:rPr>
              <w:t>1</w:t>
            </w:r>
            <w:r>
              <w:rPr>
                <w:rFonts w:hint="default" w:ascii="Times New Roman" w:hAnsi="Times New Roman" w:cs="Times New Roman"/>
                <w:b/>
                <w:color w:val="auto"/>
              </w:rPr>
              <w:t>项目主要工程</w:t>
            </w:r>
            <w:r>
              <w:rPr>
                <w:rFonts w:hint="default" w:ascii="Times New Roman" w:hAnsi="Times New Roman" w:cs="Times New Roman"/>
                <w:b/>
                <w:color w:val="auto"/>
                <w:lang w:val="en-US" w:eastAsia="zh-CN"/>
              </w:rPr>
              <w:t>组成一览表</w:t>
            </w:r>
          </w:p>
          <w:tbl>
            <w:tblPr>
              <w:tblStyle w:val="83"/>
              <w:tblW w:w="499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
            <w:tblGrid>
              <w:gridCol w:w="1274"/>
              <w:gridCol w:w="1395"/>
              <w:gridCol w:w="3983"/>
              <w:gridCol w:w="1735"/>
            </w:tblGrid>
            <w:tr w14:paraId="50AEE0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759" w:type="pct"/>
                  <w:tcBorders>
                    <w:top w:val="single" w:color="auto" w:sz="6" w:space="0"/>
                  </w:tcBorders>
                  <w:vAlign w:val="center"/>
                </w:tcPr>
                <w:p w14:paraId="7B4C652A">
                  <w:pPr>
                    <w:pStyle w:val="3"/>
                    <w:spacing w:line="300" w:lineRule="exact"/>
                    <w:ind w:left="0" w:leftChars="0"/>
                    <w:jc w:val="center"/>
                    <w:rPr>
                      <w:rFonts w:hint="default" w:ascii="Times New Roman" w:hAnsi="Times New Roman" w:cs="Times New Roman"/>
                      <w:b/>
                      <w:bCs/>
                      <w:color w:val="FF0000"/>
                      <w:sz w:val="18"/>
                      <w:szCs w:val="18"/>
                    </w:rPr>
                  </w:pPr>
                  <w:r>
                    <w:rPr>
                      <w:rFonts w:hint="default" w:ascii="Times New Roman" w:hAnsi="Times New Roman" w:cs="Times New Roman"/>
                      <w:b/>
                      <w:bCs/>
                      <w:color w:val="FF0000"/>
                      <w:sz w:val="18"/>
                      <w:szCs w:val="18"/>
                    </w:rPr>
                    <w:t>工程名称</w:t>
                  </w:r>
                </w:p>
              </w:tc>
              <w:tc>
                <w:tcPr>
                  <w:tcW w:w="831" w:type="pct"/>
                  <w:tcBorders>
                    <w:top w:val="single" w:color="auto" w:sz="6" w:space="0"/>
                  </w:tcBorders>
                  <w:vAlign w:val="center"/>
                </w:tcPr>
                <w:p w14:paraId="3D0F10B2">
                  <w:pPr>
                    <w:pStyle w:val="3"/>
                    <w:spacing w:line="300" w:lineRule="exact"/>
                    <w:ind w:left="0" w:leftChars="0"/>
                    <w:jc w:val="center"/>
                    <w:rPr>
                      <w:rFonts w:hint="default" w:ascii="Times New Roman" w:hAnsi="Times New Roman" w:cs="Times New Roman"/>
                      <w:b/>
                      <w:bCs/>
                      <w:color w:val="FF0000"/>
                      <w:sz w:val="18"/>
                      <w:szCs w:val="18"/>
                    </w:rPr>
                  </w:pPr>
                  <w:r>
                    <w:rPr>
                      <w:rFonts w:hint="default" w:ascii="Times New Roman" w:hAnsi="Times New Roman" w:cs="Times New Roman"/>
                      <w:b/>
                      <w:bCs/>
                      <w:color w:val="FF0000"/>
                      <w:sz w:val="18"/>
                      <w:szCs w:val="18"/>
                    </w:rPr>
                    <w:t>工程内容</w:t>
                  </w:r>
                </w:p>
              </w:tc>
              <w:tc>
                <w:tcPr>
                  <w:tcW w:w="2374" w:type="pct"/>
                  <w:tcBorders>
                    <w:top w:val="single" w:color="auto" w:sz="6" w:space="0"/>
                    <w:right w:val="single" w:color="auto" w:sz="4" w:space="0"/>
                  </w:tcBorders>
                  <w:vAlign w:val="center"/>
                </w:tcPr>
                <w:p w14:paraId="7C4E60F8">
                  <w:pPr>
                    <w:pStyle w:val="3"/>
                    <w:spacing w:line="300" w:lineRule="exact"/>
                    <w:ind w:left="0" w:leftChars="0"/>
                    <w:jc w:val="center"/>
                    <w:rPr>
                      <w:rFonts w:hint="default" w:ascii="Times New Roman" w:hAnsi="Times New Roman" w:eastAsia="宋体" w:cs="Times New Roman"/>
                      <w:b/>
                      <w:color w:val="FF0000"/>
                      <w:sz w:val="18"/>
                      <w:szCs w:val="18"/>
                      <w:lang w:eastAsia="zh-CN"/>
                    </w:rPr>
                  </w:pPr>
                  <w:r>
                    <w:rPr>
                      <w:rFonts w:hint="default" w:ascii="Times New Roman" w:hAnsi="Times New Roman" w:cs="Times New Roman"/>
                      <w:b/>
                      <w:color w:val="FF0000"/>
                      <w:sz w:val="18"/>
                      <w:szCs w:val="18"/>
                      <w:lang w:eastAsia="zh-CN"/>
                    </w:rPr>
                    <w:t>建设内容及规模</w:t>
                  </w:r>
                </w:p>
              </w:tc>
              <w:tc>
                <w:tcPr>
                  <w:tcW w:w="1034" w:type="pct"/>
                  <w:tcBorders>
                    <w:top w:val="single" w:color="auto" w:sz="6" w:space="0"/>
                    <w:right w:val="single" w:color="auto" w:sz="4" w:space="0"/>
                  </w:tcBorders>
                  <w:vAlign w:val="center"/>
                </w:tcPr>
                <w:p w14:paraId="25544E6D">
                  <w:pPr>
                    <w:pStyle w:val="3"/>
                    <w:spacing w:line="300" w:lineRule="exact"/>
                    <w:ind w:left="0" w:leftChars="0"/>
                    <w:jc w:val="center"/>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备注</w:t>
                  </w:r>
                </w:p>
              </w:tc>
            </w:tr>
            <w:tr w14:paraId="1E9D90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0" w:hRule="atLeast"/>
                <w:jc w:val="center"/>
              </w:trPr>
              <w:tc>
                <w:tcPr>
                  <w:tcW w:w="759" w:type="pct"/>
                  <w:vAlign w:val="center"/>
                </w:tcPr>
                <w:p w14:paraId="662205B4">
                  <w:pPr>
                    <w:pStyle w:val="3"/>
                    <w:spacing w:line="300" w:lineRule="exact"/>
                    <w:ind w:left="0" w:leftChars="0"/>
                    <w:jc w:val="center"/>
                    <w:rPr>
                      <w:rFonts w:hint="default" w:ascii="Times New Roman" w:hAnsi="Times New Roman" w:eastAsia="宋体" w:cs="Times New Roman"/>
                      <w:color w:val="FF0000"/>
                      <w:kern w:val="2"/>
                      <w:sz w:val="18"/>
                      <w:szCs w:val="18"/>
                      <w:highlight w:val="none"/>
                      <w:lang w:val="en-US" w:eastAsia="zh-CN" w:bidi="ar-SA"/>
                    </w:rPr>
                  </w:pPr>
                  <w:r>
                    <w:rPr>
                      <w:rFonts w:hint="default" w:ascii="Times New Roman" w:hAnsi="Times New Roman" w:eastAsia="宋体" w:cs="Times New Roman"/>
                      <w:color w:val="FF0000"/>
                      <w:kern w:val="2"/>
                      <w:sz w:val="18"/>
                      <w:szCs w:val="18"/>
                      <w:highlight w:val="none"/>
                      <w:lang w:val="en-US" w:eastAsia="zh-CN" w:bidi="ar-SA"/>
                    </w:rPr>
                    <w:t>主体工程</w:t>
                  </w:r>
                </w:p>
              </w:tc>
              <w:tc>
                <w:tcPr>
                  <w:tcW w:w="831" w:type="pct"/>
                  <w:tcBorders>
                    <w:bottom w:val="single" w:color="auto" w:sz="4" w:space="0"/>
                  </w:tcBorders>
                  <w:vAlign w:val="center"/>
                </w:tcPr>
                <w:p w14:paraId="0529103C">
                  <w:pPr>
                    <w:pStyle w:val="11"/>
                    <w:spacing w:line="300" w:lineRule="exact"/>
                    <w:jc w:val="center"/>
                    <w:rPr>
                      <w:rFonts w:hint="default" w:ascii="Times New Roman" w:hAnsi="Times New Roman" w:eastAsia="宋体" w:cs="Times New Roman"/>
                      <w:color w:val="FF0000"/>
                      <w:kern w:val="2"/>
                      <w:sz w:val="18"/>
                      <w:szCs w:val="18"/>
                      <w:highlight w:val="none"/>
                      <w:lang w:val="en-US" w:eastAsia="zh-CN" w:bidi="ar-SA"/>
                    </w:rPr>
                  </w:pPr>
                  <w:r>
                    <w:rPr>
                      <w:rFonts w:hint="eastAsia" w:ascii="Times New Roman" w:hAnsi="Times New Roman" w:cs="Times New Roman"/>
                      <w:color w:val="FF0000"/>
                      <w:kern w:val="2"/>
                      <w:sz w:val="18"/>
                      <w:szCs w:val="18"/>
                      <w:highlight w:val="none"/>
                      <w:lang w:val="en-US" w:eastAsia="zh-CN" w:bidi="ar-SA"/>
                    </w:rPr>
                    <w:t>生产车间</w:t>
                  </w:r>
                </w:p>
              </w:tc>
              <w:tc>
                <w:tcPr>
                  <w:tcW w:w="2374" w:type="pct"/>
                  <w:tcBorders>
                    <w:bottom w:val="single" w:color="auto" w:sz="4" w:space="0"/>
                    <w:right w:val="single" w:color="auto" w:sz="4" w:space="0"/>
                  </w:tcBorders>
                  <w:vAlign w:val="center"/>
                </w:tcPr>
                <w:p w14:paraId="702D0E48">
                  <w:pPr>
                    <w:pStyle w:val="11"/>
                    <w:spacing w:line="300" w:lineRule="exact"/>
                    <w:jc w:val="center"/>
                    <w:rPr>
                      <w:rFonts w:hint="default" w:ascii="Times New Roman" w:hAnsi="Times New Roman" w:eastAsia="宋体" w:cs="Times New Roman"/>
                      <w:color w:val="FF0000"/>
                      <w:kern w:val="2"/>
                      <w:sz w:val="18"/>
                      <w:szCs w:val="18"/>
                      <w:highlight w:val="none"/>
                      <w:vertAlign w:val="baseline"/>
                      <w:lang w:val="en-US" w:eastAsia="zh-CN" w:bidi="ar-SA"/>
                    </w:rPr>
                  </w:pPr>
                  <w:r>
                    <w:rPr>
                      <w:rFonts w:hint="default" w:ascii="Times New Roman" w:hAnsi="Times New Roman" w:cs="Times New Roman"/>
                      <w:color w:val="FF0000"/>
                      <w:sz w:val="18"/>
                      <w:szCs w:val="18"/>
                      <w:highlight w:val="none"/>
                    </w:rPr>
                    <w:t>1间，1F，</w:t>
                  </w:r>
                  <w:r>
                    <w:rPr>
                      <w:rFonts w:hint="default" w:ascii="Times New Roman" w:hAnsi="Times New Roman" w:cs="Times New Roman"/>
                      <w:color w:val="FF0000"/>
                      <w:sz w:val="18"/>
                      <w:szCs w:val="18"/>
                      <w:highlight w:val="none"/>
                      <w:lang w:eastAsia="zh-CN"/>
                    </w:rPr>
                    <w:t>混合结构，建筑面积</w:t>
                  </w:r>
                  <w:r>
                    <w:rPr>
                      <w:rFonts w:hint="default" w:ascii="Times New Roman" w:hAnsi="Times New Roman" w:cs="Times New Roman"/>
                      <w:color w:val="FF0000"/>
                      <w:sz w:val="18"/>
                      <w:szCs w:val="18"/>
                      <w:highlight w:val="none"/>
                      <w:lang w:val="en-US" w:eastAsia="zh-CN"/>
                    </w:rPr>
                    <w:t>1</w:t>
                  </w:r>
                  <w:r>
                    <w:rPr>
                      <w:rFonts w:hint="eastAsia" w:ascii="Times New Roman" w:hAnsi="Times New Roman" w:cs="Times New Roman"/>
                      <w:color w:val="FF0000"/>
                      <w:sz w:val="18"/>
                      <w:szCs w:val="18"/>
                      <w:highlight w:val="none"/>
                      <w:lang w:val="en-US" w:eastAsia="zh-CN"/>
                    </w:rPr>
                    <w:t>3</w:t>
                  </w:r>
                  <w:r>
                    <w:rPr>
                      <w:rFonts w:hint="default" w:ascii="Times New Roman" w:hAnsi="Times New Roman" w:cs="Times New Roman"/>
                      <w:color w:val="FF0000"/>
                      <w:sz w:val="18"/>
                      <w:szCs w:val="18"/>
                      <w:highlight w:val="none"/>
                      <w:lang w:val="en-US" w:eastAsia="zh-CN"/>
                    </w:rPr>
                    <w:t>00</w:t>
                  </w:r>
                  <w:r>
                    <w:rPr>
                      <w:rFonts w:hint="default" w:ascii="Times New Roman" w:hAnsi="Times New Roman" w:cs="Times New Roman"/>
                      <w:color w:val="FF0000"/>
                      <w:sz w:val="18"/>
                      <w:szCs w:val="18"/>
                      <w:highlight w:val="none"/>
                    </w:rPr>
                    <w:t>m</w:t>
                  </w:r>
                  <w:r>
                    <w:rPr>
                      <w:rFonts w:hint="default" w:ascii="Times New Roman" w:hAnsi="Times New Roman" w:cs="Times New Roman"/>
                      <w:color w:val="FF0000"/>
                      <w:sz w:val="18"/>
                      <w:szCs w:val="18"/>
                      <w:highlight w:val="none"/>
                      <w:vertAlign w:val="superscript"/>
                    </w:rPr>
                    <w:t>2</w:t>
                  </w:r>
                  <w:r>
                    <w:rPr>
                      <w:rFonts w:hint="default" w:ascii="Times New Roman" w:hAnsi="Times New Roman" w:cs="Times New Roman"/>
                      <w:color w:val="FF0000"/>
                      <w:sz w:val="18"/>
                      <w:szCs w:val="18"/>
                      <w:highlight w:val="none"/>
                      <w:vertAlign w:val="baseline"/>
                      <w:lang w:eastAsia="zh-CN"/>
                    </w:rPr>
                    <w:t>，</w:t>
                  </w:r>
                  <w:r>
                    <w:rPr>
                      <w:rFonts w:hint="default" w:ascii="Times New Roman" w:hAnsi="Times New Roman" w:cs="Times New Roman"/>
                      <w:color w:val="FF0000"/>
                      <w:sz w:val="18"/>
                      <w:szCs w:val="18"/>
                      <w:highlight w:val="none"/>
                      <w:vertAlign w:val="baseline"/>
                      <w:lang w:val="en-US" w:eastAsia="zh-CN"/>
                    </w:rPr>
                    <w:t>包括1</w:t>
                  </w:r>
                  <w:r>
                    <w:rPr>
                      <w:rFonts w:hint="eastAsia" w:ascii="Times New Roman" w:hAnsi="Times New Roman" w:cs="Times New Roman"/>
                      <w:color w:val="FF0000"/>
                      <w:sz w:val="18"/>
                      <w:szCs w:val="18"/>
                      <w:highlight w:val="none"/>
                      <w:vertAlign w:val="baseline"/>
                      <w:lang w:val="en-US" w:eastAsia="zh-CN"/>
                    </w:rPr>
                    <w:t>条60m隧道窑、3台振动筛、3台螺旋上料机、2台行星混料机、1台空压机、2台机械臂、1台装粉机及配套除尘器</w:t>
                  </w:r>
                </w:p>
              </w:tc>
              <w:tc>
                <w:tcPr>
                  <w:tcW w:w="1034" w:type="pct"/>
                  <w:tcBorders>
                    <w:bottom w:val="single" w:color="auto" w:sz="4" w:space="0"/>
                    <w:right w:val="single" w:color="auto" w:sz="4" w:space="0"/>
                  </w:tcBorders>
                  <w:vAlign w:val="center"/>
                </w:tcPr>
                <w:p w14:paraId="4D4A0BCF">
                  <w:pPr>
                    <w:pStyle w:val="11"/>
                    <w:spacing w:line="300" w:lineRule="exact"/>
                    <w:jc w:val="center"/>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租赁现有厂房</w:t>
                  </w:r>
                </w:p>
              </w:tc>
            </w:tr>
            <w:tr w14:paraId="310F2D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90" w:hRule="atLeast"/>
                <w:jc w:val="center"/>
              </w:trPr>
              <w:tc>
                <w:tcPr>
                  <w:tcW w:w="759" w:type="pct"/>
                  <w:vMerge w:val="restart"/>
                  <w:vAlign w:val="center"/>
                </w:tcPr>
                <w:p w14:paraId="524ADD4F">
                  <w:pPr>
                    <w:pStyle w:val="3"/>
                    <w:spacing w:line="300" w:lineRule="exact"/>
                    <w:ind w:left="0" w:leftChars="0"/>
                    <w:jc w:val="center"/>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kern w:val="2"/>
                      <w:sz w:val="18"/>
                      <w:szCs w:val="18"/>
                      <w:highlight w:val="none"/>
                      <w:lang w:val="en-US" w:eastAsia="zh-CN" w:bidi="ar-SA"/>
                    </w:rPr>
                    <w:t>储运工程</w:t>
                  </w:r>
                </w:p>
              </w:tc>
              <w:tc>
                <w:tcPr>
                  <w:tcW w:w="831" w:type="pct"/>
                  <w:tcBorders>
                    <w:bottom w:val="single" w:color="auto" w:sz="4" w:space="0"/>
                  </w:tcBorders>
                  <w:vAlign w:val="center"/>
                </w:tcPr>
                <w:p w14:paraId="31608769">
                  <w:pPr>
                    <w:pStyle w:val="11"/>
                    <w:spacing w:line="300" w:lineRule="exact"/>
                    <w:jc w:val="center"/>
                    <w:rPr>
                      <w:rFonts w:hint="default" w:ascii="Times New Roman" w:hAnsi="Times New Roman" w:cs="Times New Roman"/>
                      <w:color w:val="FF0000"/>
                      <w:kern w:val="2"/>
                      <w:sz w:val="18"/>
                      <w:szCs w:val="18"/>
                      <w:highlight w:val="none"/>
                      <w:lang w:val="en-US" w:eastAsia="zh-CN" w:bidi="ar-SA"/>
                    </w:rPr>
                  </w:pPr>
                  <w:r>
                    <w:rPr>
                      <w:rFonts w:hint="eastAsia" w:ascii="Times New Roman" w:hAnsi="Times New Roman" w:cs="Times New Roman"/>
                      <w:color w:val="FF0000"/>
                      <w:kern w:val="2"/>
                      <w:sz w:val="18"/>
                      <w:szCs w:val="18"/>
                      <w:highlight w:val="none"/>
                      <w:lang w:val="en-US" w:eastAsia="zh-CN" w:bidi="ar-SA"/>
                    </w:rPr>
                    <w:t>原料区</w:t>
                  </w:r>
                </w:p>
              </w:tc>
              <w:tc>
                <w:tcPr>
                  <w:tcW w:w="2374" w:type="pct"/>
                  <w:tcBorders>
                    <w:bottom w:val="single" w:color="auto" w:sz="4" w:space="0"/>
                    <w:right w:val="single" w:color="auto" w:sz="4" w:space="0"/>
                  </w:tcBorders>
                  <w:vAlign w:val="center"/>
                </w:tcPr>
                <w:p w14:paraId="79018CDD">
                  <w:pPr>
                    <w:pStyle w:val="11"/>
                    <w:spacing w:line="300" w:lineRule="exact"/>
                    <w:jc w:val="center"/>
                    <w:rPr>
                      <w:rFonts w:hint="default" w:ascii="Times New Roman" w:hAnsi="Times New Roman" w:cs="Times New Roman"/>
                      <w:color w:val="FF0000"/>
                      <w:sz w:val="18"/>
                      <w:szCs w:val="18"/>
                      <w:highlight w:val="none"/>
                      <w:lang w:val="en-US"/>
                    </w:rPr>
                  </w:pPr>
                  <w:r>
                    <w:rPr>
                      <w:rFonts w:hint="default" w:ascii="Times New Roman" w:hAnsi="Times New Roman" w:cs="Times New Roman"/>
                      <w:color w:val="FF0000"/>
                      <w:sz w:val="18"/>
                      <w:szCs w:val="18"/>
                      <w:highlight w:val="none"/>
                      <w:lang w:eastAsia="zh-CN"/>
                    </w:rPr>
                    <w:t>建筑面积</w:t>
                  </w:r>
                  <w:r>
                    <w:rPr>
                      <w:rFonts w:hint="eastAsia" w:ascii="Times New Roman" w:hAnsi="Times New Roman" w:cs="Times New Roman"/>
                      <w:color w:val="FF0000"/>
                      <w:sz w:val="18"/>
                      <w:szCs w:val="18"/>
                      <w:highlight w:val="none"/>
                      <w:lang w:val="en-US" w:eastAsia="zh-CN"/>
                    </w:rPr>
                    <w:t>1</w:t>
                  </w:r>
                  <w:r>
                    <w:rPr>
                      <w:rFonts w:hint="default" w:ascii="Times New Roman" w:hAnsi="Times New Roman" w:cs="Times New Roman"/>
                      <w:color w:val="FF0000"/>
                      <w:sz w:val="18"/>
                      <w:szCs w:val="18"/>
                      <w:highlight w:val="none"/>
                      <w:lang w:val="en-US" w:eastAsia="zh-CN"/>
                    </w:rPr>
                    <w:t>00</w:t>
                  </w:r>
                  <w:r>
                    <w:rPr>
                      <w:rFonts w:hint="default" w:ascii="Times New Roman" w:hAnsi="Times New Roman" w:cs="Times New Roman"/>
                      <w:color w:val="FF0000"/>
                      <w:sz w:val="18"/>
                      <w:szCs w:val="18"/>
                      <w:highlight w:val="none"/>
                    </w:rPr>
                    <w:t>m</w:t>
                  </w:r>
                  <w:r>
                    <w:rPr>
                      <w:rFonts w:hint="default" w:ascii="Times New Roman" w:hAnsi="Times New Roman" w:cs="Times New Roman"/>
                      <w:color w:val="FF0000"/>
                      <w:sz w:val="18"/>
                      <w:szCs w:val="18"/>
                      <w:highlight w:val="none"/>
                      <w:vertAlign w:val="superscript"/>
                    </w:rPr>
                    <w:t>2</w:t>
                  </w:r>
                  <w:r>
                    <w:rPr>
                      <w:rFonts w:hint="default" w:ascii="Times New Roman" w:hAnsi="Times New Roman" w:cs="Times New Roman"/>
                      <w:color w:val="FF0000"/>
                      <w:sz w:val="18"/>
                      <w:szCs w:val="18"/>
                      <w:highlight w:val="none"/>
                      <w:vertAlign w:val="baseline"/>
                      <w:lang w:eastAsia="zh-CN"/>
                    </w:rPr>
                    <w:t>，</w:t>
                  </w:r>
                  <w:r>
                    <w:rPr>
                      <w:rFonts w:hint="eastAsia" w:ascii="Times New Roman" w:hAnsi="Times New Roman" w:cs="Times New Roman"/>
                      <w:color w:val="FF0000"/>
                      <w:sz w:val="18"/>
                      <w:szCs w:val="18"/>
                      <w:highlight w:val="none"/>
                      <w:vertAlign w:val="baseline"/>
                      <w:lang w:val="en-US" w:eastAsia="zh-CN"/>
                    </w:rPr>
                    <w:t>主要用于储存</w:t>
                  </w:r>
                  <w:r>
                    <w:rPr>
                      <w:rFonts w:hint="eastAsia" w:ascii="Times New Roman" w:hAnsi="Times New Roman" w:cs="Times New Roman"/>
                      <w:color w:val="FF0000"/>
                      <w:kern w:val="2"/>
                      <w:sz w:val="18"/>
                      <w:szCs w:val="18"/>
                      <w:highlight w:val="none"/>
                      <w:lang w:val="en-US" w:eastAsia="zh-CN" w:bidi="ar-SA"/>
                    </w:rPr>
                    <w:t>原料</w:t>
                  </w:r>
                </w:p>
              </w:tc>
              <w:tc>
                <w:tcPr>
                  <w:tcW w:w="1034" w:type="pct"/>
                  <w:tcBorders>
                    <w:bottom w:val="single" w:color="auto" w:sz="4" w:space="0"/>
                    <w:right w:val="single" w:color="auto" w:sz="4" w:space="0"/>
                  </w:tcBorders>
                  <w:vAlign w:val="center"/>
                </w:tcPr>
                <w:p w14:paraId="723C5D5E">
                  <w:pPr>
                    <w:pStyle w:val="11"/>
                    <w:spacing w:line="300" w:lineRule="exact"/>
                    <w:jc w:val="center"/>
                    <w:rPr>
                      <w:rFonts w:hint="default" w:ascii="Times New Roman" w:hAnsi="Times New Roman" w:cs="Times New Roman"/>
                      <w:color w:val="FF0000"/>
                      <w:sz w:val="18"/>
                      <w:szCs w:val="18"/>
                      <w:highlight w:val="none"/>
                      <w:lang w:val="en-US" w:eastAsia="zh-CN"/>
                    </w:rPr>
                  </w:pPr>
                  <w:r>
                    <w:rPr>
                      <w:rFonts w:hint="eastAsia" w:ascii="Times New Roman" w:hAnsi="Times New Roman" w:cs="Times New Roman"/>
                      <w:color w:val="FF0000"/>
                      <w:sz w:val="18"/>
                      <w:szCs w:val="18"/>
                      <w:highlight w:val="none"/>
                      <w:vertAlign w:val="baseline"/>
                      <w:lang w:val="en-US" w:eastAsia="zh-CN"/>
                    </w:rPr>
                    <w:t>位于生产车间内北侧</w:t>
                  </w:r>
                </w:p>
              </w:tc>
            </w:tr>
            <w:tr w14:paraId="786EC52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0" w:hRule="atLeast"/>
                <w:jc w:val="center"/>
              </w:trPr>
              <w:tc>
                <w:tcPr>
                  <w:tcW w:w="759" w:type="pct"/>
                  <w:vMerge w:val="continue"/>
                  <w:vAlign w:val="center"/>
                </w:tcPr>
                <w:p w14:paraId="29173FF7">
                  <w:pPr>
                    <w:pStyle w:val="3"/>
                    <w:spacing w:line="300" w:lineRule="exact"/>
                    <w:ind w:left="0" w:leftChars="0"/>
                    <w:jc w:val="center"/>
                    <w:rPr>
                      <w:rFonts w:hint="default" w:ascii="Times New Roman" w:hAnsi="Times New Roman" w:eastAsia="宋体" w:cs="Times New Roman"/>
                      <w:color w:val="FF0000"/>
                      <w:kern w:val="2"/>
                      <w:sz w:val="18"/>
                      <w:szCs w:val="18"/>
                      <w:highlight w:val="none"/>
                      <w:lang w:val="en-US" w:eastAsia="zh-CN" w:bidi="ar-SA"/>
                    </w:rPr>
                  </w:pPr>
                </w:p>
              </w:tc>
              <w:tc>
                <w:tcPr>
                  <w:tcW w:w="831" w:type="pct"/>
                  <w:tcBorders>
                    <w:bottom w:val="single" w:color="auto" w:sz="4" w:space="0"/>
                  </w:tcBorders>
                  <w:vAlign w:val="center"/>
                </w:tcPr>
                <w:p w14:paraId="0E996AC7">
                  <w:pPr>
                    <w:pStyle w:val="11"/>
                    <w:spacing w:line="300" w:lineRule="exact"/>
                    <w:jc w:val="center"/>
                    <w:rPr>
                      <w:rFonts w:hint="default" w:ascii="Times New Roman" w:hAnsi="Times New Roman" w:cs="Times New Roman"/>
                      <w:color w:val="FF0000"/>
                      <w:kern w:val="2"/>
                      <w:sz w:val="18"/>
                      <w:szCs w:val="18"/>
                      <w:highlight w:val="none"/>
                      <w:lang w:val="en-US" w:eastAsia="zh-CN" w:bidi="ar-SA"/>
                    </w:rPr>
                  </w:pPr>
                  <w:r>
                    <w:rPr>
                      <w:rFonts w:hint="eastAsia" w:ascii="Times New Roman" w:hAnsi="Times New Roman" w:cs="Times New Roman"/>
                      <w:color w:val="FF0000"/>
                      <w:kern w:val="2"/>
                      <w:sz w:val="18"/>
                      <w:szCs w:val="18"/>
                      <w:highlight w:val="none"/>
                      <w:lang w:val="en-US" w:eastAsia="zh-CN" w:bidi="ar-SA"/>
                    </w:rPr>
                    <w:t>产品区</w:t>
                  </w:r>
                </w:p>
              </w:tc>
              <w:tc>
                <w:tcPr>
                  <w:tcW w:w="2374" w:type="pct"/>
                  <w:tcBorders>
                    <w:bottom w:val="single" w:color="auto" w:sz="4" w:space="0"/>
                    <w:right w:val="single" w:color="auto" w:sz="4" w:space="0"/>
                  </w:tcBorders>
                  <w:vAlign w:val="center"/>
                </w:tcPr>
                <w:p w14:paraId="7D3EAD8C">
                  <w:pPr>
                    <w:pStyle w:val="11"/>
                    <w:spacing w:line="300" w:lineRule="exact"/>
                    <w:jc w:val="center"/>
                    <w:rPr>
                      <w:rFonts w:hint="default" w:ascii="Times New Roman" w:hAnsi="Times New Roman" w:cs="Times New Roman"/>
                      <w:color w:val="FF0000"/>
                      <w:sz w:val="18"/>
                      <w:szCs w:val="18"/>
                      <w:highlight w:val="none"/>
                      <w:lang w:val="en-US"/>
                    </w:rPr>
                  </w:pPr>
                  <w:r>
                    <w:rPr>
                      <w:rFonts w:hint="default" w:ascii="Times New Roman" w:hAnsi="Times New Roman" w:cs="Times New Roman"/>
                      <w:color w:val="FF0000"/>
                      <w:sz w:val="18"/>
                      <w:szCs w:val="18"/>
                      <w:highlight w:val="none"/>
                      <w:lang w:eastAsia="zh-CN"/>
                    </w:rPr>
                    <w:t>建筑面积</w:t>
                  </w:r>
                  <w:r>
                    <w:rPr>
                      <w:rFonts w:hint="eastAsia" w:ascii="Times New Roman" w:hAnsi="Times New Roman" w:cs="Times New Roman"/>
                      <w:color w:val="FF0000"/>
                      <w:sz w:val="18"/>
                      <w:szCs w:val="18"/>
                      <w:highlight w:val="none"/>
                      <w:lang w:val="en-US" w:eastAsia="zh-CN"/>
                    </w:rPr>
                    <w:t>1</w:t>
                  </w:r>
                  <w:r>
                    <w:rPr>
                      <w:rFonts w:hint="default" w:ascii="Times New Roman" w:hAnsi="Times New Roman" w:cs="Times New Roman"/>
                      <w:color w:val="FF0000"/>
                      <w:sz w:val="18"/>
                      <w:szCs w:val="18"/>
                      <w:highlight w:val="none"/>
                      <w:lang w:val="en-US" w:eastAsia="zh-CN"/>
                    </w:rPr>
                    <w:t>00</w:t>
                  </w:r>
                  <w:r>
                    <w:rPr>
                      <w:rFonts w:hint="default" w:ascii="Times New Roman" w:hAnsi="Times New Roman" w:cs="Times New Roman"/>
                      <w:color w:val="FF0000"/>
                      <w:sz w:val="18"/>
                      <w:szCs w:val="18"/>
                      <w:highlight w:val="none"/>
                    </w:rPr>
                    <w:t>m</w:t>
                  </w:r>
                  <w:r>
                    <w:rPr>
                      <w:rFonts w:hint="default" w:ascii="Times New Roman" w:hAnsi="Times New Roman" w:cs="Times New Roman"/>
                      <w:color w:val="FF0000"/>
                      <w:sz w:val="18"/>
                      <w:szCs w:val="18"/>
                      <w:highlight w:val="none"/>
                      <w:vertAlign w:val="superscript"/>
                    </w:rPr>
                    <w:t>2</w:t>
                  </w:r>
                  <w:r>
                    <w:rPr>
                      <w:rFonts w:hint="default" w:ascii="Times New Roman" w:hAnsi="Times New Roman" w:cs="Times New Roman"/>
                      <w:color w:val="FF0000"/>
                      <w:sz w:val="18"/>
                      <w:szCs w:val="18"/>
                      <w:highlight w:val="none"/>
                      <w:vertAlign w:val="baseline"/>
                      <w:lang w:eastAsia="zh-CN"/>
                    </w:rPr>
                    <w:t>，</w:t>
                  </w:r>
                  <w:r>
                    <w:rPr>
                      <w:rFonts w:hint="eastAsia" w:ascii="Times New Roman" w:hAnsi="Times New Roman" w:cs="Times New Roman"/>
                      <w:color w:val="FF0000"/>
                      <w:sz w:val="18"/>
                      <w:szCs w:val="18"/>
                      <w:highlight w:val="none"/>
                      <w:vertAlign w:val="baseline"/>
                      <w:lang w:val="en-US" w:eastAsia="zh-CN"/>
                    </w:rPr>
                    <w:t>主要用于储存产品</w:t>
                  </w:r>
                </w:p>
              </w:tc>
              <w:tc>
                <w:tcPr>
                  <w:tcW w:w="1034" w:type="pct"/>
                  <w:tcBorders>
                    <w:bottom w:val="single" w:color="auto" w:sz="4" w:space="0"/>
                    <w:right w:val="single" w:color="auto" w:sz="4" w:space="0"/>
                  </w:tcBorders>
                  <w:vAlign w:val="center"/>
                </w:tcPr>
                <w:p w14:paraId="511CFBDF">
                  <w:pPr>
                    <w:pStyle w:val="11"/>
                    <w:spacing w:line="300" w:lineRule="exact"/>
                    <w:jc w:val="center"/>
                    <w:rPr>
                      <w:rFonts w:hint="default" w:ascii="Times New Roman" w:hAnsi="Times New Roman" w:cs="Times New Roman"/>
                      <w:color w:val="FF0000"/>
                      <w:sz w:val="18"/>
                      <w:szCs w:val="18"/>
                      <w:highlight w:val="none"/>
                      <w:lang w:val="en-US" w:eastAsia="zh-CN"/>
                    </w:rPr>
                  </w:pPr>
                  <w:r>
                    <w:rPr>
                      <w:rFonts w:hint="eastAsia" w:ascii="Times New Roman" w:hAnsi="Times New Roman" w:cs="Times New Roman"/>
                      <w:color w:val="FF0000"/>
                      <w:sz w:val="18"/>
                      <w:szCs w:val="18"/>
                      <w:highlight w:val="none"/>
                      <w:vertAlign w:val="baseline"/>
                      <w:lang w:val="en-US" w:eastAsia="zh-CN"/>
                    </w:rPr>
                    <w:t>位于生产车间内北侧</w:t>
                  </w:r>
                </w:p>
              </w:tc>
            </w:tr>
            <w:tr w14:paraId="5BA2B95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759" w:type="pct"/>
                  <w:vMerge w:val="restart"/>
                  <w:vAlign w:val="center"/>
                </w:tcPr>
                <w:p w14:paraId="54D301EA">
                  <w:pPr>
                    <w:pStyle w:val="3"/>
                    <w:spacing w:line="300" w:lineRule="exact"/>
                    <w:ind w:left="69" w:leftChars="0"/>
                    <w:jc w:val="center"/>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公用</w:t>
                  </w:r>
                </w:p>
                <w:p w14:paraId="200DACB0">
                  <w:pPr>
                    <w:pStyle w:val="3"/>
                    <w:spacing w:line="300" w:lineRule="exact"/>
                    <w:ind w:left="69" w:leftChars="0"/>
                    <w:jc w:val="center"/>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工程</w:t>
                  </w:r>
                </w:p>
              </w:tc>
              <w:tc>
                <w:tcPr>
                  <w:tcW w:w="831" w:type="pct"/>
                  <w:vAlign w:val="center"/>
                </w:tcPr>
                <w:p w14:paraId="5AC4F612">
                  <w:pPr>
                    <w:spacing w:line="300" w:lineRule="exact"/>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供水系统</w:t>
                  </w:r>
                </w:p>
              </w:tc>
              <w:tc>
                <w:tcPr>
                  <w:tcW w:w="2374" w:type="pct"/>
                  <w:tcBorders>
                    <w:right w:val="single" w:color="auto" w:sz="4" w:space="0"/>
                  </w:tcBorders>
                  <w:vAlign w:val="center"/>
                </w:tcPr>
                <w:p w14:paraId="03AC1341">
                  <w:pPr>
                    <w:pStyle w:val="11"/>
                    <w:spacing w:line="300" w:lineRule="exact"/>
                    <w:jc w:val="center"/>
                    <w:rPr>
                      <w:rFonts w:hint="default" w:ascii="Times New Roman" w:hAnsi="Times New Roman" w:eastAsia="宋体" w:cs="Times New Roman"/>
                      <w:color w:val="FF0000"/>
                      <w:kern w:val="2"/>
                      <w:sz w:val="18"/>
                      <w:szCs w:val="18"/>
                      <w:highlight w:val="none"/>
                      <w:lang w:val="en-US" w:eastAsia="zh-CN" w:bidi="ar-SA"/>
                    </w:rPr>
                  </w:pPr>
                  <w:r>
                    <w:rPr>
                      <w:rFonts w:hint="default" w:ascii="Times New Roman" w:hAnsi="Times New Roman" w:cs="Times New Roman"/>
                      <w:color w:val="FF0000"/>
                      <w:sz w:val="18"/>
                      <w:szCs w:val="18"/>
                      <w:highlight w:val="none"/>
                    </w:rPr>
                    <w:t>由</w:t>
                  </w:r>
                  <w:r>
                    <w:rPr>
                      <w:rFonts w:hint="default" w:ascii="Times New Roman" w:hAnsi="Times New Roman" w:cs="Times New Roman"/>
                      <w:color w:val="FF0000"/>
                      <w:sz w:val="18"/>
                      <w:szCs w:val="18"/>
                      <w:highlight w:val="none"/>
                      <w:lang w:eastAsia="zh-CN"/>
                    </w:rPr>
                    <w:t>经开区</w:t>
                  </w:r>
                  <w:r>
                    <w:rPr>
                      <w:rFonts w:hint="default" w:ascii="Times New Roman" w:hAnsi="Times New Roman" w:cs="Times New Roman"/>
                      <w:color w:val="FF0000"/>
                      <w:sz w:val="18"/>
                      <w:szCs w:val="18"/>
                      <w:highlight w:val="none"/>
                    </w:rPr>
                    <w:t>自来水管网供给</w:t>
                  </w:r>
                  <w:r>
                    <w:rPr>
                      <w:rFonts w:hint="default" w:ascii="Times New Roman" w:hAnsi="Times New Roman" w:cs="Times New Roman"/>
                      <w:color w:val="FF0000"/>
                      <w:sz w:val="18"/>
                      <w:szCs w:val="18"/>
                      <w:highlight w:val="none"/>
                      <w:lang w:eastAsia="zh-CN"/>
                    </w:rPr>
                    <w:t>，</w:t>
                  </w:r>
                  <w:r>
                    <w:rPr>
                      <w:rFonts w:hint="default" w:ascii="Times New Roman" w:hAnsi="Times New Roman" w:cs="Times New Roman"/>
                      <w:color w:val="FF0000"/>
                      <w:sz w:val="18"/>
                      <w:szCs w:val="18"/>
                      <w:highlight w:val="none"/>
                      <w:lang w:val="en-US" w:eastAsia="zh-CN"/>
                    </w:rPr>
                    <w:t>用水量为</w:t>
                  </w:r>
                  <w:r>
                    <w:rPr>
                      <w:rFonts w:hint="eastAsia" w:ascii="Times New Roman" w:hAnsi="Times New Roman" w:cs="Times New Roman"/>
                      <w:color w:val="FF0000"/>
                      <w:sz w:val="18"/>
                      <w:szCs w:val="18"/>
                      <w:highlight w:val="none"/>
                      <w:lang w:val="en-US" w:eastAsia="zh-CN"/>
                    </w:rPr>
                    <w:t>666.7</w:t>
                  </w:r>
                  <w:r>
                    <w:rPr>
                      <w:rFonts w:hint="default" w:ascii="Times New Roman" w:hAnsi="Times New Roman" w:cs="Times New Roman" w:eastAsiaTheme="minorEastAsia"/>
                      <w:bCs/>
                      <w:color w:val="FF0000"/>
                      <w:sz w:val="18"/>
                      <w:szCs w:val="18"/>
                      <w:highlight w:val="none"/>
                      <w:lang w:val="en-US" w:eastAsia="zh-CN"/>
                    </w:rPr>
                    <w:t>m</w:t>
                  </w:r>
                  <w:r>
                    <w:rPr>
                      <w:rFonts w:hint="default" w:ascii="Times New Roman" w:hAnsi="Times New Roman" w:cs="Times New Roman" w:eastAsiaTheme="minorEastAsia"/>
                      <w:bCs/>
                      <w:color w:val="FF0000"/>
                      <w:sz w:val="18"/>
                      <w:szCs w:val="18"/>
                      <w:highlight w:val="none"/>
                      <w:vertAlign w:val="superscript"/>
                      <w:lang w:val="en-US" w:eastAsia="zh-CN"/>
                    </w:rPr>
                    <w:t>3</w:t>
                  </w:r>
                  <w:r>
                    <w:rPr>
                      <w:rFonts w:hint="default" w:ascii="Times New Roman" w:hAnsi="Times New Roman" w:cs="Times New Roman" w:eastAsiaTheme="minorEastAsia"/>
                      <w:bCs/>
                      <w:color w:val="FF0000"/>
                      <w:sz w:val="18"/>
                      <w:szCs w:val="18"/>
                      <w:highlight w:val="none"/>
                      <w:lang w:val="en-US" w:eastAsia="zh-CN"/>
                    </w:rPr>
                    <w:t>/a</w:t>
                  </w:r>
                </w:p>
              </w:tc>
              <w:tc>
                <w:tcPr>
                  <w:tcW w:w="1034" w:type="pct"/>
                  <w:tcBorders>
                    <w:right w:val="single" w:color="auto" w:sz="4" w:space="0"/>
                  </w:tcBorders>
                  <w:vAlign w:val="center"/>
                </w:tcPr>
                <w:p w14:paraId="5F580BB0">
                  <w:pPr>
                    <w:spacing w:line="300" w:lineRule="exact"/>
                    <w:jc w:val="center"/>
                    <w:rPr>
                      <w:rFonts w:hint="default" w:ascii="Times New Roman" w:hAnsi="Times New Roman" w:cs="Times New Roman"/>
                      <w:color w:val="FF0000"/>
                      <w:sz w:val="18"/>
                      <w:szCs w:val="18"/>
                      <w:lang w:val="en-US"/>
                    </w:rPr>
                  </w:pPr>
                  <w:r>
                    <w:rPr>
                      <w:rFonts w:hint="default" w:ascii="Times New Roman" w:hAnsi="Times New Roman" w:cs="Times New Roman"/>
                      <w:color w:val="FF0000"/>
                      <w:sz w:val="18"/>
                      <w:szCs w:val="18"/>
                      <w:highlight w:val="none"/>
                      <w:lang w:eastAsia="zh-CN"/>
                    </w:rPr>
                    <w:t>利用现有</w:t>
                  </w:r>
                  <w:r>
                    <w:rPr>
                      <w:rFonts w:hint="eastAsia" w:cs="Times New Roman"/>
                      <w:color w:val="FF0000"/>
                      <w:sz w:val="18"/>
                      <w:szCs w:val="18"/>
                      <w:highlight w:val="none"/>
                      <w:lang w:eastAsia="zh-CN"/>
                    </w:rPr>
                    <w:t>，</w:t>
                  </w:r>
                  <w:r>
                    <w:rPr>
                      <w:rFonts w:hint="eastAsia" w:cs="Times New Roman"/>
                      <w:color w:val="FF0000"/>
                      <w:sz w:val="18"/>
                      <w:szCs w:val="18"/>
                      <w:highlight w:val="none"/>
                      <w:lang w:val="en-US" w:eastAsia="zh-CN"/>
                    </w:rPr>
                    <w:t>单独管网，与周边企业无依托关系</w:t>
                  </w:r>
                </w:p>
              </w:tc>
            </w:tr>
            <w:tr w14:paraId="4CD895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08" w:hRule="atLeast"/>
                <w:jc w:val="center"/>
              </w:trPr>
              <w:tc>
                <w:tcPr>
                  <w:tcW w:w="759" w:type="pct"/>
                  <w:vMerge w:val="continue"/>
                  <w:vAlign w:val="center"/>
                </w:tcPr>
                <w:p w14:paraId="0607A501">
                  <w:pPr>
                    <w:pStyle w:val="3"/>
                    <w:spacing w:line="300" w:lineRule="exact"/>
                    <w:ind w:left="69" w:leftChars="0"/>
                    <w:jc w:val="center"/>
                    <w:rPr>
                      <w:rFonts w:hint="default" w:ascii="Times New Roman" w:hAnsi="Times New Roman" w:cs="Times New Roman"/>
                      <w:color w:val="FF0000"/>
                      <w:sz w:val="18"/>
                      <w:szCs w:val="18"/>
                    </w:rPr>
                  </w:pPr>
                </w:p>
              </w:tc>
              <w:tc>
                <w:tcPr>
                  <w:tcW w:w="831" w:type="pct"/>
                  <w:vAlign w:val="center"/>
                </w:tcPr>
                <w:p w14:paraId="13B26451">
                  <w:pPr>
                    <w:spacing w:line="300" w:lineRule="exact"/>
                    <w:jc w:val="center"/>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供电系统</w:t>
                  </w:r>
                </w:p>
              </w:tc>
              <w:tc>
                <w:tcPr>
                  <w:tcW w:w="2374" w:type="pct"/>
                  <w:tcBorders>
                    <w:right w:val="single" w:color="auto" w:sz="4" w:space="0"/>
                  </w:tcBorders>
                  <w:vAlign w:val="center"/>
                </w:tcPr>
                <w:p w14:paraId="73E082F6">
                  <w:pPr>
                    <w:pStyle w:val="11"/>
                    <w:spacing w:line="300" w:lineRule="exact"/>
                    <w:jc w:val="center"/>
                    <w:rPr>
                      <w:rFonts w:hint="default" w:ascii="Times New Roman" w:hAnsi="Times New Roman" w:eastAsia="宋体" w:cs="Times New Roman"/>
                      <w:color w:val="FF0000"/>
                      <w:kern w:val="2"/>
                      <w:sz w:val="18"/>
                      <w:szCs w:val="18"/>
                      <w:lang w:val="en-US" w:eastAsia="zh-CN" w:bidi="ar-SA"/>
                    </w:rPr>
                  </w:pPr>
                  <w:r>
                    <w:rPr>
                      <w:rFonts w:hint="default" w:ascii="Times New Roman" w:hAnsi="Times New Roman" w:cs="Times New Roman"/>
                      <w:color w:val="FF0000"/>
                      <w:sz w:val="18"/>
                      <w:szCs w:val="18"/>
                    </w:rPr>
                    <w:t>由</w:t>
                  </w:r>
                  <w:r>
                    <w:rPr>
                      <w:rFonts w:hint="default" w:ascii="Times New Roman" w:hAnsi="Times New Roman" w:cs="Times New Roman"/>
                      <w:color w:val="FF0000"/>
                      <w:sz w:val="18"/>
                      <w:szCs w:val="18"/>
                      <w:lang w:eastAsia="zh-CN"/>
                    </w:rPr>
                    <w:t>经开区</w:t>
                  </w:r>
                  <w:r>
                    <w:rPr>
                      <w:rFonts w:hint="default" w:ascii="Times New Roman" w:hAnsi="Times New Roman" w:cs="Times New Roman"/>
                      <w:color w:val="FF0000"/>
                      <w:sz w:val="18"/>
                      <w:szCs w:val="18"/>
                    </w:rPr>
                    <w:t>供电所线路供应</w:t>
                  </w:r>
                  <w:r>
                    <w:rPr>
                      <w:rFonts w:hint="default" w:ascii="Times New Roman" w:hAnsi="Times New Roman" w:cs="Times New Roman"/>
                      <w:color w:val="FF0000"/>
                      <w:sz w:val="18"/>
                      <w:szCs w:val="18"/>
                      <w:lang w:eastAsia="zh-CN"/>
                    </w:rPr>
                    <w:t>，</w:t>
                  </w:r>
                  <w:r>
                    <w:rPr>
                      <w:rFonts w:hint="default" w:ascii="Times New Roman" w:hAnsi="Times New Roman" w:cs="Times New Roman"/>
                      <w:color w:val="FF0000"/>
                      <w:sz w:val="18"/>
                      <w:szCs w:val="18"/>
                      <w:lang w:val="en-US" w:eastAsia="zh-CN"/>
                    </w:rPr>
                    <w:t>用电量为</w:t>
                  </w:r>
                  <w:r>
                    <w:rPr>
                      <w:rFonts w:hint="eastAsia" w:ascii="Times New Roman" w:hAnsi="Times New Roman" w:cs="Times New Roman"/>
                      <w:color w:val="FF0000"/>
                      <w:sz w:val="18"/>
                      <w:szCs w:val="18"/>
                      <w:lang w:val="en-US" w:eastAsia="zh-CN"/>
                    </w:rPr>
                    <w:t>3</w:t>
                  </w:r>
                  <w:r>
                    <w:rPr>
                      <w:rFonts w:hint="default" w:ascii="Times New Roman" w:hAnsi="Times New Roman" w:cs="Times New Roman"/>
                      <w:color w:val="FF0000"/>
                      <w:sz w:val="18"/>
                      <w:szCs w:val="18"/>
                      <w:lang w:val="en-US" w:eastAsia="zh-CN"/>
                    </w:rPr>
                    <w:t>0万kWh/a</w:t>
                  </w:r>
                </w:p>
              </w:tc>
              <w:tc>
                <w:tcPr>
                  <w:tcW w:w="1034" w:type="pct"/>
                  <w:tcBorders>
                    <w:right w:val="single" w:color="auto" w:sz="4" w:space="0"/>
                  </w:tcBorders>
                  <w:vAlign w:val="center"/>
                </w:tcPr>
                <w:p w14:paraId="04F0846C">
                  <w:pPr>
                    <w:spacing w:line="300" w:lineRule="exact"/>
                    <w:jc w:val="center"/>
                    <w:rPr>
                      <w:rFonts w:hint="default" w:ascii="Times New Roman" w:hAnsi="Times New Roman" w:cs="Times New Roman"/>
                      <w:color w:val="FF0000"/>
                      <w:sz w:val="18"/>
                      <w:szCs w:val="18"/>
                    </w:rPr>
                  </w:pPr>
                  <w:r>
                    <w:rPr>
                      <w:rFonts w:hint="default" w:ascii="Times New Roman" w:hAnsi="Times New Roman" w:cs="Times New Roman"/>
                      <w:color w:val="FF0000"/>
                      <w:sz w:val="18"/>
                      <w:szCs w:val="18"/>
                      <w:highlight w:val="none"/>
                      <w:lang w:eastAsia="zh-CN"/>
                    </w:rPr>
                    <w:t>利用现有</w:t>
                  </w:r>
                  <w:r>
                    <w:rPr>
                      <w:rFonts w:hint="eastAsia" w:cs="Times New Roman"/>
                      <w:color w:val="FF0000"/>
                      <w:sz w:val="18"/>
                      <w:szCs w:val="18"/>
                      <w:highlight w:val="none"/>
                      <w:lang w:eastAsia="zh-CN"/>
                    </w:rPr>
                    <w:t>，</w:t>
                  </w:r>
                  <w:r>
                    <w:rPr>
                      <w:rFonts w:hint="eastAsia" w:cs="Times New Roman"/>
                      <w:color w:val="FF0000"/>
                      <w:sz w:val="18"/>
                      <w:szCs w:val="18"/>
                      <w:highlight w:val="none"/>
                      <w:lang w:val="en-US" w:eastAsia="zh-CN"/>
                    </w:rPr>
                    <w:t>单独管网，与周边企业无依托关系</w:t>
                  </w:r>
                </w:p>
              </w:tc>
            </w:tr>
            <w:tr w14:paraId="09CE68F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759" w:type="pct"/>
                  <w:vMerge w:val="continue"/>
                  <w:vAlign w:val="center"/>
                </w:tcPr>
                <w:p w14:paraId="52B35AAA">
                  <w:pPr>
                    <w:pStyle w:val="3"/>
                    <w:spacing w:line="300" w:lineRule="exact"/>
                    <w:ind w:left="69" w:leftChars="0"/>
                    <w:jc w:val="center"/>
                    <w:rPr>
                      <w:rFonts w:hint="default" w:ascii="Times New Roman" w:hAnsi="Times New Roman" w:cs="Times New Roman"/>
                      <w:color w:val="FF0000"/>
                      <w:sz w:val="18"/>
                      <w:szCs w:val="18"/>
                    </w:rPr>
                  </w:pPr>
                </w:p>
              </w:tc>
              <w:tc>
                <w:tcPr>
                  <w:tcW w:w="831" w:type="pct"/>
                  <w:vAlign w:val="center"/>
                </w:tcPr>
                <w:p w14:paraId="1AEE8CCB">
                  <w:pPr>
                    <w:spacing w:line="300" w:lineRule="exact"/>
                    <w:jc w:val="center"/>
                    <w:rPr>
                      <w:rFonts w:hint="default" w:ascii="Times New Roman" w:hAnsi="Times New Roman" w:eastAsia="宋体" w:cs="Times New Roman"/>
                      <w:color w:val="FF0000"/>
                      <w:sz w:val="18"/>
                      <w:szCs w:val="18"/>
                      <w:lang w:val="en-US" w:eastAsia="zh-CN"/>
                    </w:rPr>
                  </w:pPr>
                  <w:r>
                    <w:rPr>
                      <w:rFonts w:hint="eastAsia" w:cs="Times New Roman"/>
                      <w:color w:val="FF0000"/>
                      <w:sz w:val="18"/>
                      <w:szCs w:val="18"/>
                      <w:lang w:val="en-US" w:eastAsia="zh-CN"/>
                    </w:rPr>
                    <w:t>供气系统</w:t>
                  </w:r>
                </w:p>
              </w:tc>
              <w:tc>
                <w:tcPr>
                  <w:tcW w:w="2374" w:type="pct"/>
                  <w:tcBorders>
                    <w:right w:val="single" w:color="auto" w:sz="4" w:space="0"/>
                  </w:tcBorders>
                  <w:vAlign w:val="center"/>
                </w:tcPr>
                <w:p w14:paraId="490F3302">
                  <w:pPr>
                    <w:pStyle w:val="11"/>
                    <w:spacing w:line="300" w:lineRule="exact"/>
                    <w:jc w:val="center"/>
                    <w:rPr>
                      <w:rFonts w:hint="default" w:ascii="Times New Roman" w:hAnsi="Times New Roman" w:cs="Times New Roman"/>
                      <w:color w:val="FF0000"/>
                      <w:sz w:val="18"/>
                      <w:szCs w:val="18"/>
                    </w:rPr>
                  </w:pPr>
                  <w:r>
                    <w:rPr>
                      <w:rFonts w:hint="default" w:ascii="Times New Roman" w:hAnsi="Times New Roman" w:cs="Times New Roman"/>
                      <w:color w:val="FF0000"/>
                      <w:sz w:val="18"/>
                      <w:szCs w:val="18"/>
                      <w:lang w:val="en-US" w:eastAsia="zh-CN"/>
                    </w:rPr>
                    <w:t>天然气用量为27万m</w:t>
                  </w:r>
                  <w:r>
                    <w:rPr>
                      <w:rFonts w:hint="default" w:ascii="Times New Roman" w:hAnsi="Times New Roman" w:cs="Times New Roman"/>
                      <w:color w:val="FF0000"/>
                      <w:sz w:val="18"/>
                      <w:szCs w:val="18"/>
                      <w:vertAlign w:val="superscript"/>
                      <w:lang w:val="en-US" w:eastAsia="zh-CN"/>
                    </w:rPr>
                    <w:t>3</w:t>
                  </w:r>
                  <w:r>
                    <w:rPr>
                      <w:rFonts w:hint="default" w:ascii="Times New Roman" w:hAnsi="Times New Roman" w:cs="Times New Roman"/>
                      <w:color w:val="FF0000"/>
                      <w:sz w:val="18"/>
                      <w:szCs w:val="18"/>
                      <w:lang w:val="en-US" w:eastAsia="zh-CN"/>
                    </w:rPr>
                    <w:t>/a，采用中石化济青线天然气作为气源</w:t>
                  </w:r>
                </w:p>
              </w:tc>
              <w:tc>
                <w:tcPr>
                  <w:tcW w:w="1034" w:type="pct"/>
                  <w:tcBorders>
                    <w:right w:val="single" w:color="auto" w:sz="4" w:space="0"/>
                  </w:tcBorders>
                  <w:vAlign w:val="center"/>
                </w:tcPr>
                <w:p w14:paraId="4BB9D89D">
                  <w:pPr>
                    <w:spacing w:line="300" w:lineRule="exact"/>
                    <w:jc w:val="center"/>
                    <w:rPr>
                      <w:rFonts w:hint="default" w:ascii="Times New Roman" w:hAnsi="Times New Roman" w:cs="Times New Roman"/>
                      <w:color w:val="FF0000"/>
                      <w:sz w:val="18"/>
                      <w:szCs w:val="18"/>
                      <w:highlight w:val="none"/>
                      <w:lang w:eastAsia="zh-CN"/>
                    </w:rPr>
                  </w:pPr>
                  <w:r>
                    <w:rPr>
                      <w:rFonts w:hint="eastAsia" w:cs="Times New Roman"/>
                      <w:color w:val="FF0000"/>
                      <w:sz w:val="18"/>
                      <w:szCs w:val="18"/>
                      <w:highlight w:val="none"/>
                      <w:lang w:val="en-US" w:eastAsia="zh-CN"/>
                    </w:rPr>
                    <w:t>单独管路，与周边企业无依托关系</w:t>
                  </w:r>
                </w:p>
              </w:tc>
            </w:tr>
            <w:tr w14:paraId="541145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04" w:hRule="atLeast"/>
                <w:jc w:val="center"/>
              </w:trPr>
              <w:tc>
                <w:tcPr>
                  <w:tcW w:w="759" w:type="pct"/>
                  <w:vMerge w:val="restart"/>
                  <w:vAlign w:val="center"/>
                </w:tcPr>
                <w:p w14:paraId="48334FE3">
                  <w:pPr>
                    <w:pStyle w:val="3"/>
                    <w:spacing w:line="300" w:lineRule="exact"/>
                    <w:ind w:left="69" w:leftChars="0"/>
                    <w:jc w:val="center"/>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环保</w:t>
                  </w:r>
                </w:p>
                <w:p w14:paraId="40CB2E46">
                  <w:pPr>
                    <w:pStyle w:val="3"/>
                    <w:spacing w:line="300" w:lineRule="exact"/>
                    <w:ind w:left="69" w:leftChars="0"/>
                    <w:jc w:val="center"/>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工程</w:t>
                  </w:r>
                </w:p>
              </w:tc>
              <w:tc>
                <w:tcPr>
                  <w:tcW w:w="831" w:type="pct"/>
                  <w:vAlign w:val="center"/>
                </w:tcPr>
                <w:p w14:paraId="702E9533">
                  <w:pPr>
                    <w:pStyle w:val="3"/>
                    <w:spacing w:line="300" w:lineRule="exact"/>
                    <w:ind w:left="0" w:leftChars="0"/>
                    <w:jc w:val="center"/>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噪声处理控制</w:t>
                  </w:r>
                </w:p>
              </w:tc>
              <w:tc>
                <w:tcPr>
                  <w:tcW w:w="2374" w:type="pct"/>
                  <w:tcBorders>
                    <w:right w:val="single" w:color="auto" w:sz="4" w:space="0"/>
                  </w:tcBorders>
                  <w:vAlign w:val="center"/>
                </w:tcPr>
                <w:p w14:paraId="16F2E303">
                  <w:pPr>
                    <w:pStyle w:val="3"/>
                    <w:spacing w:line="300" w:lineRule="exact"/>
                    <w:ind w:left="0" w:leftChars="0"/>
                    <w:jc w:val="center"/>
                    <w:rPr>
                      <w:rFonts w:hint="default" w:ascii="Times New Roman" w:hAnsi="Times New Roman" w:eastAsia="宋体" w:cs="Times New Roman"/>
                      <w:color w:val="FF0000"/>
                      <w:kern w:val="0"/>
                      <w:sz w:val="18"/>
                      <w:szCs w:val="18"/>
                      <w:lang w:val="en-US" w:eastAsia="zh-CN" w:bidi="ar-SA"/>
                    </w:rPr>
                  </w:pPr>
                  <w:r>
                    <w:rPr>
                      <w:rFonts w:hint="default" w:ascii="Times New Roman" w:hAnsi="Times New Roman" w:cs="Times New Roman"/>
                      <w:color w:val="FF0000"/>
                      <w:sz w:val="18"/>
                      <w:szCs w:val="18"/>
                    </w:rPr>
                    <w:t>减振、隔声</w:t>
                  </w:r>
                </w:p>
              </w:tc>
              <w:tc>
                <w:tcPr>
                  <w:tcW w:w="1034" w:type="pct"/>
                  <w:tcBorders>
                    <w:right w:val="single" w:color="auto" w:sz="4" w:space="0"/>
                  </w:tcBorders>
                  <w:vAlign w:val="center"/>
                </w:tcPr>
                <w:p w14:paraId="62A6316F">
                  <w:pPr>
                    <w:pStyle w:val="3"/>
                    <w:spacing w:line="300" w:lineRule="exact"/>
                    <w:ind w:left="40" w:leftChars="0"/>
                    <w:jc w:val="center"/>
                    <w:rPr>
                      <w:rFonts w:hint="eastAsia" w:ascii="Times New Roman" w:hAnsi="Times New Roman" w:eastAsia="宋体" w:cs="Times New Roman"/>
                      <w:color w:val="FF0000"/>
                      <w:sz w:val="18"/>
                      <w:szCs w:val="18"/>
                      <w:lang w:val="en-US" w:eastAsia="zh-CN"/>
                    </w:rPr>
                  </w:pPr>
                  <w:r>
                    <w:rPr>
                      <w:rFonts w:hint="eastAsia" w:cs="Times New Roman"/>
                      <w:color w:val="FF0000"/>
                      <w:sz w:val="18"/>
                      <w:szCs w:val="18"/>
                      <w:lang w:val="en-US" w:eastAsia="zh-CN"/>
                    </w:rPr>
                    <w:t>新增</w:t>
                  </w:r>
                </w:p>
              </w:tc>
            </w:tr>
            <w:tr w14:paraId="21197E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99" w:hRule="atLeast"/>
                <w:jc w:val="center"/>
              </w:trPr>
              <w:tc>
                <w:tcPr>
                  <w:tcW w:w="759" w:type="pct"/>
                  <w:vMerge w:val="continue"/>
                  <w:vAlign w:val="center"/>
                </w:tcPr>
                <w:p w14:paraId="7F652660">
                  <w:pPr>
                    <w:pStyle w:val="3"/>
                    <w:spacing w:line="300" w:lineRule="exact"/>
                    <w:ind w:left="69" w:leftChars="0"/>
                    <w:jc w:val="center"/>
                    <w:rPr>
                      <w:rFonts w:hint="default" w:ascii="Times New Roman" w:hAnsi="Times New Roman" w:cs="Times New Roman"/>
                      <w:color w:val="FF0000"/>
                      <w:sz w:val="18"/>
                      <w:szCs w:val="18"/>
                    </w:rPr>
                  </w:pPr>
                </w:p>
              </w:tc>
              <w:tc>
                <w:tcPr>
                  <w:tcW w:w="831" w:type="pct"/>
                  <w:vMerge w:val="restart"/>
                  <w:vAlign w:val="center"/>
                </w:tcPr>
                <w:p w14:paraId="0ECD8F4C">
                  <w:pPr>
                    <w:pStyle w:val="3"/>
                    <w:spacing w:line="300" w:lineRule="exact"/>
                    <w:ind w:left="0" w:leftChars="0"/>
                    <w:jc w:val="center"/>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废气治理控制</w:t>
                  </w:r>
                </w:p>
              </w:tc>
              <w:tc>
                <w:tcPr>
                  <w:tcW w:w="2374" w:type="pct"/>
                  <w:tcBorders>
                    <w:right w:val="single" w:color="auto" w:sz="4" w:space="0"/>
                  </w:tcBorders>
                  <w:vAlign w:val="center"/>
                </w:tcPr>
                <w:p w14:paraId="1D692016">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rPr>
                      <w:rFonts w:hint="default" w:ascii="Times New Roman" w:hAnsi="Times New Roman" w:eastAsia="宋体" w:cs="Times New Roman"/>
                      <w:color w:val="FF0000"/>
                      <w:kern w:val="0"/>
                      <w:sz w:val="18"/>
                      <w:szCs w:val="18"/>
                      <w:highlight w:val="none"/>
                      <w:lang w:val="en-US" w:eastAsia="zh-CN" w:bidi="ar-SA"/>
                    </w:rPr>
                  </w:pPr>
                  <w:r>
                    <w:rPr>
                      <w:rFonts w:hint="eastAsia" w:cs="Times New Roman"/>
                      <w:color w:val="FF0000"/>
                      <w:kern w:val="0"/>
                      <w:sz w:val="18"/>
                      <w:szCs w:val="18"/>
                      <w:highlight w:val="none"/>
                      <w:lang w:val="en-US" w:eastAsia="zh-CN" w:bidi="ar-SA"/>
                    </w:rPr>
                    <w:t>有组织控制措施：</w:t>
                  </w:r>
                  <w:r>
                    <w:rPr>
                      <w:rFonts w:hint="default" w:ascii="Times New Roman" w:hAnsi="Times New Roman" w:eastAsia="宋体" w:cs="Times New Roman"/>
                      <w:color w:val="FF0000"/>
                      <w:kern w:val="0"/>
                      <w:sz w:val="18"/>
                      <w:szCs w:val="18"/>
                      <w:highlight w:val="none"/>
                      <w:lang w:val="en-US" w:eastAsia="zh-CN" w:bidi="ar-SA"/>
                    </w:rPr>
                    <w:t>烧</w:t>
                  </w:r>
                  <w:r>
                    <w:rPr>
                      <w:rFonts w:hint="eastAsia" w:cs="Times New Roman"/>
                      <w:color w:val="FF0000"/>
                      <w:kern w:val="0"/>
                      <w:sz w:val="18"/>
                      <w:szCs w:val="18"/>
                      <w:highlight w:val="none"/>
                      <w:lang w:val="en-US" w:eastAsia="zh-CN" w:bidi="ar-SA"/>
                    </w:rPr>
                    <w:t>制工序产生的粉尘和天然气燃烧产生的废气经SNCR脱硝+1#布袋除尘器处理后与SNCR脱硝过程未被利用逃逸的氨、臭气浓度一同经15m高排气筒（DA001）排放</w:t>
                  </w:r>
                  <w:r>
                    <w:rPr>
                      <w:rFonts w:hint="default" w:ascii="Times New Roman" w:hAnsi="Times New Roman" w:eastAsia="宋体" w:cs="Times New Roman"/>
                      <w:color w:val="FF0000"/>
                      <w:kern w:val="0"/>
                      <w:sz w:val="18"/>
                      <w:szCs w:val="18"/>
                      <w:highlight w:val="none"/>
                      <w:lang w:val="en-US" w:eastAsia="zh-CN" w:bidi="ar-SA"/>
                    </w:rPr>
                    <w:t>；</w:t>
                  </w:r>
                  <w:r>
                    <w:rPr>
                      <w:rFonts w:hint="eastAsia" w:cs="Times New Roman"/>
                      <w:color w:val="FF0000"/>
                      <w:kern w:val="0"/>
                      <w:sz w:val="18"/>
                      <w:szCs w:val="18"/>
                      <w:highlight w:val="none"/>
                      <w:lang w:val="en-US" w:eastAsia="zh-CN" w:bidi="ar-SA"/>
                    </w:rPr>
                    <w:t>进料、筛分、上料、混料、装料、包装工序</w:t>
                  </w:r>
                  <w:r>
                    <w:rPr>
                      <w:rFonts w:hint="default" w:ascii="Times New Roman" w:hAnsi="Times New Roman" w:eastAsia="宋体" w:cs="Times New Roman"/>
                      <w:color w:val="FF0000"/>
                      <w:kern w:val="0"/>
                      <w:sz w:val="18"/>
                      <w:szCs w:val="18"/>
                      <w:highlight w:val="none"/>
                      <w:lang w:val="en-US" w:eastAsia="zh-CN" w:bidi="ar-SA"/>
                    </w:rPr>
                    <w:t>产生的粉尘经集气罩收集，</w:t>
                  </w:r>
                  <w:r>
                    <w:rPr>
                      <w:rFonts w:hint="eastAsia" w:cs="Times New Roman"/>
                      <w:color w:val="FF0000"/>
                      <w:kern w:val="0"/>
                      <w:sz w:val="18"/>
                      <w:szCs w:val="18"/>
                      <w:highlight w:val="none"/>
                      <w:lang w:val="en-US" w:eastAsia="zh-CN" w:bidi="ar-SA"/>
                    </w:rPr>
                    <w:t>经2#布袋除尘器处理后由15m高排气筒（DA002）排放</w:t>
                  </w:r>
                </w:p>
              </w:tc>
              <w:tc>
                <w:tcPr>
                  <w:tcW w:w="1034" w:type="pct"/>
                  <w:tcBorders>
                    <w:right w:val="single" w:color="auto" w:sz="4" w:space="0"/>
                  </w:tcBorders>
                  <w:vAlign w:val="center"/>
                </w:tcPr>
                <w:p w14:paraId="56545CD5">
                  <w:pPr>
                    <w:spacing w:line="300" w:lineRule="exact"/>
                    <w:ind w:left="40"/>
                    <w:jc w:val="center"/>
                    <w:rPr>
                      <w:rFonts w:hint="default" w:ascii="Times New Roman" w:hAnsi="Times New Roman" w:eastAsia="宋体" w:cs="Times New Roman"/>
                      <w:color w:val="FF0000"/>
                      <w:sz w:val="18"/>
                      <w:szCs w:val="18"/>
                      <w:lang w:eastAsia="zh-CN"/>
                    </w:rPr>
                  </w:pPr>
                  <w:r>
                    <w:rPr>
                      <w:rFonts w:hint="eastAsia" w:cs="Times New Roman"/>
                      <w:color w:val="FF0000"/>
                      <w:sz w:val="18"/>
                      <w:szCs w:val="18"/>
                      <w:lang w:val="en-US" w:eastAsia="zh-CN"/>
                    </w:rPr>
                    <w:t>新增</w:t>
                  </w:r>
                </w:p>
              </w:tc>
            </w:tr>
            <w:tr w14:paraId="0330F53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99" w:hRule="atLeast"/>
                <w:jc w:val="center"/>
              </w:trPr>
              <w:tc>
                <w:tcPr>
                  <w:tcW w:w="759" w:type="pct"/>
                  <w:vMerge w:val="continue"/>
                  <w:vAlign w:val="center"/>
                </w:tcPr>
                <w:p w14:paraId="280A2EFF">
                  <w:pPr>
                    <w:pStyle w:val="3"/>
                    <w:spacing w:line="300" w:lineRule="exact"/>
                    <w:ind w:left="69" w:leftChars="0"/>
                    <w:jc w:val="center"/>
                    <w:rPr>
                      <w:rFonts w:hint="default" w:ascii="Times New Roman" w:hAnsi="Times New Roman" w:cs="Times New Roman"/>
                      <w:color w:val="FF0000"/>
                      <w:sz w:val="18"/>
                      <w:szCs w:val="18"/>
                    </w:rPr>
                  </w:pPr>
                </w:p>
              </w:tc>
              <w:tc>
                <w:tcPr>
                  <w:tcW w:w="831" w:type="pct"/>
                  <w:vMerge w:val="continue"/>
                  <w:vAlign w:val="center"/>
                </w:tcPr>
                <w:p w14:paraId="2030B448">
                  <w:pPr>
                    <w:pStyle w:val="3"/>
                    <w:spacing w:line="300" w:lineRule="exact"/>
                    <w:ind w:left="0" w:leftChars="0"/>
                    <w:jc w:val="center"/>
                    <w:rPr>
                      <w:rFonts w:hint="default" w:ascii="Times New Roman" w:hAnsi="Times New Roman" w:cs="Times New Roman"/>
                      <w:color w:val="FF0000"/>
                      <w:sz w:val="18"/>
                      <w:szCs w:val="18"/>
                    </w:rPr>
                  </w:pPr>
                </w:p>
              </w:tc>
              <w:tc>
                <w:tcPr>
                  <w:tcW w:w="2374" w:type="pct"/>
                  <w:tcBorders>
                    <w:right w:val="single" w:color="auto" w:sz="4" w:space="0"/>
                  </w:tcBorders>
                  <w:vAlign w:val="center"/>
                </w:tcPr>
                <w:p w14:paraId="2E8A0B99">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rPr>
                      <w:rFonts w:hint="default" w:ascii="Times New Roman" w:hAnsi="Times New Roman" w:eastAsia="宋体" w:cs="Times New Roman"/>
                      <w:color w:val="FF0000"/>
                      <w:kern w:val="0"/>
                      <w:sz w:val="18"/>
                      <w:szCs w:val="18"/>
                      <w:highlight w:val="none"/>
                      <w:lang w:val="en-US" w:eastAsia="zh-CN" w:bidi="ar-SA"/>
                    </w:rPr>
                  </w:pPr>
                  <w:r>
                    <w:rPr>
                      <w:rFonts w:hint="eastAsia" w:cs="Times New Roman"/>
                      <w:color w:val="FF0000"/>
                      <w:kern w:val="0"/>
                      <w:sz w:val="18"/>
                      <w:szCs w:val="18"/>
                      <w:highlight w:val="none"/>
                      <w:lang w:val="en-US" w:eastAsia="zh-CN" w:bidi="ar-SA"/>
                    </w:rPr>
                    <w:t>无组织控制措施：（1）原料为袋装，密闭储存，不露天储存；（2）选择密闭性好的生产设备，减少粉尘逸散通道；定期对设备进行检查和维护，确保设备正常运转，降低因设备故障导致的粉尘泄漏；（3）每周清理除尘灰斗，每季度更换滤袋，确保除尘设备正常运行（4）生产过程在封闭车间内进行，废气采取有效收集及除尘措施后排放；</w:t>
                  </w:r>
                </w:p>
              </w:tc>
              <w:tc>
                <w:tcPr>
                  <w:tcW w:w="1034" w:type="pct"/>
                  <w:tcBorders>
                    <w:right w:val="single" w:color="auto" w:sz="4" w:space="0"/>
                  </w:tcBorders>
                  <w:vAlign w:val="center"/>
                </w:tcPr>
                <w:p w14:paraId="47E0E7E3">
                  <w:pPr>
                    <w:spacing w:line="300" w:lineRule="exact"/>
                    <w:ind w:left="40"/>
                    <w:jc w:val="center"/>
                    <w:rPr>
                      <w:rFonts w:hint="eastAsia" w:cs="Times New Roman"/>
                      <w:color w:val="FF0000"/>
                      <w:sz w:val="18"/>
                      <w:szCs w:val="18"/>
                      <w:lang w:val="en-US" w:eastAsia="zh-CN"/>
                    </w:rPr>
                  </w:pPr>
                  <w:r>
                    <w:rPr>
                      <w:rFonts w:hint="eastAsia" w:cs="Times New Roman"/>
                      <w:color w:val="FF0000"/>
                      <w:sz w:val="18"/>
                      <w:szCs w:val="18"/>
                      <w:lang w:val="en-US" w:eastAsia="zh-CN"/>
                    </w:rPr>
                    <w:t>新增</w:t>
                  </w:r>
                </w:p>
              </w:tc>
            </w:tr>
            <w:tr w14:paraId="22EEDF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64" w:hRule="atLeast"/>
                <w:jc w:val="center"/>
              </w:trPr>
              <w:tc>
                <w:tcPr>
                  <w:tcW w:w="759" w:type="pct"/>
                  <w:vMerge w:val="continue"/>
                  <w:vAlign w:val="center"/>
                </w:tcPr>
                <w:p w14:paraId="5B96589C">
                  <w:pPr>
                    <w:pStyle w:val="3"/>
                    <w:spacing w:line="300" w:lineRule="exact"/>
                    <w:ind w:left="69" w:leftChars="0"/>
                    <w:jc w:val="left"/>
                    <w:rPr>
                      <w:rFonts w:hint="default" w:ascii="Times New Roman" w:hAnsi="Times New Roman" w:cs="Times New Roman"/>
                      <w:color w:val="FF0000"/>
                      <w:sz w:val="18"/>
                      <w:szCs w:val="18"/>
                    </w:rPr>
                  </w:pPr>
                </w:p>
              </w:tc>
              <w:tc>
                <w:tcPr>
                  <w:tcW w:w="831" w:type="pct"/>
                  <w:vAlign w:val="center"/>
                </w:tcPr>
                <w:p w14:paraId="5C433DF5">
                  <w:pPr>
                    <w:pStyle w:val="3"/>
                    <w:spacing w:line="300" w:lineRule="exact"/>
                    <w:ind w:left="0" w:leftChars="0"/>
                    <w:jc w:val="center"/>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废水处理控制</w:t>
                  </w:r>
                </w:p>
              </w:tc>
              <w:tc>
                <w:tcPr>
                  <w:tcW w:w="2374" w:type="pct"/>
                  <w:tcBorders>
                    <w:right w:val="single" w:color="auto" w:sz="4" w:space="0"/>
                  </w:tcBorders>
                  <w:vAlign w:val="center"/>
                </w:tcPr>
                <w:p w14:paraId="4939D860">
                  <w:pPr>
                    <w:pStyle w:val="3"/>
                    <w:spacing w:after="0"/>
                    <w:ind w:left="0" w:leftChars="0"/>
                    <w:jc w:val="center"/>
                    <w:rPr>
                      <w:rFonts w:hint="default" w:ascii="Times New Roman" w:hAnsi="Times New Roman" w:eastAsia="宋体" w:cs="Times New Roman"/>
                      <w:color w:val="FF0000"/>
                      <w:kern w:val="0"/>
                      <w:sz w:val="18"/>
                      <w:szCs w:val="18"/>
                      <w:lang w:val="en-US" w:eastAsia="zh-CN" w:bidi="ar-SA"/>
                    </w:rPr>
                  </w:pPr>
                  <w:r>
                    <w:rPr>
                      <w:rFonts w:hint="default" w:ascii="Times New Roman" w:hAnsi="Times New Roman" w:cs="Times New Roman"/>
                      <w:color w:val="FF0000"/>
                      <w:sz w:val="18"/>
                      <w:szCs w:val="18"/>
                    </w:rPr>
                    <w:t>生活污水经化粪池收集后由环卫部门定期清运</w:t>
                  </w:r>
                </w:p>
              </w:tc>
              <w:tc>
                <w:tcPr>
                  <w:tcW w:w="1034" w:type="pct"/>
                  <w:tcBorders>
                    <w:right w:val="single" w:color="auto" w:sz="4" w:space="0"/>
                  </w:tcBorders>
                  <w:vAlign w:val="center"/>
                </w:tcPr>
                <w:p w14:paraId="13227A20">
                  <w:pPr>
                    <w:spacing w:line="300" w:lineRule="exact"/>
                    <w:ind w:left="40"/>
                    <w:jc w:val="center"/>
                    <w:rPr>
                      <w:rFonts w:hint="default" w:ascii="Times New Roman" w:hAnsi="Times New Roman" w:cs="Times New Roman"/>
                      <w:color w:val="FF0000"/>
                      <w:sz w:val="18"/>
                      <w:szCs w:val="18"/>
                      <w:lang w:val="en-US"/>
                    </w:rPr>
                  </w:pPr>
                  <w:r>
                    <w:rPr>
                      <w:rFonts w:hint="eastAsia" w:cs="Times New Roman"/>
                      <w:color w:val="FF0000"/>
                      <w:sz w:val="18"/>
                      <w:szCs w:val="18"/>
                      <w:lang w:val="en-US" w:eastAsia="zh-CN"/>
                    </w:rPr>
                    <w:t>新增</w:t>
                  </w:r>
                </w:p>
              </w:tc>
            </w:tr>
            <w:tr w14:paraId="673D2B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67" w:hRule="atLeast"/>
                <w:jc w:val="center"/>
              </w:trPr>
              <w:tc>
                <w:tcPr>
                  <w:tcW w:w="759" w:type="pct"/>
                  <w:vMerge w:val="continue"/>
                  <w:vAlign w:val="center"/>
                </w:tcPr>
                <w:p w14:paraId="63D3C2B4">
                  <w:pPr>
                    <w:pStyle w:val="3"/>
                    <w:spacing w:line="300" w:lineRule="exact"/>
                    <w:ind w:left="69" w:leftChars="0"/>
                    <w:jc w:val="left"/>
                    <w:rPr>
                      <w:rFonts w:hint="default" w:ascii="Times New Roman" w:hAnsi="Times New Roman" w:cs="Times New Roman"/>
                      <w:color w:val="FF0000"/>
                      <w:sz w:val="18"/>
                      <w:szCs w:val="18"/>
                    </w:rPr>
                  </w:pPr>
                </w:p>
              </w:tc>
              <w:tc>
                <w:tcPr>
                  <w:tcW w:w="831" w:type="pct"/>
                  <w:vAlign w:val="center"/>
                </w:tcPr>
                <w:p w14:paraId="0610F49C">
                  <w:pPr>
                    <w:pStyle w:val="3"/>
                    <w:spacing w:line="300" w:lineRule="exact"/>
                    <w:ind w:left="0" w:leftChars="0"/>
                    <w:jc w:val="center"/>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固废处理控制</w:t>
                  </w:r>
                </w:p>
              </w:tc>
              <w:tc>
                <w:tcPr>
                  <w:tcW w:w="2374" w:type="pct"/>
                  <w:tcBorders>
                    <w:right w:val="single" w:color="auto" w:sz="4" w:space="0"/>
                  </w:tcBorders>
                  <w:vAlign w:val="center"/>
                </w:tcPr>
                <w:p w14:paraId="68AA8716">
                  <w:pPr>
                    <w:pStyle w:val="3"/>
                    <w:spacing w:line="300" w:lineRule="exact"/>
                    <w:ind w:left="0" w:leftChars="0"/>
                    <w:jc w:val="center"/>
                    <w:rPr>
                      <w:rFonts w:hint="default" w:ascii="Times New Roman" w:hAnsi="Times New Roman" w:eastAsia="宋体" w:cs="Times New Roman"/>
                      <w:color w:val="FF0000"/>
                      <w:kern w:val="0"/>
                      <w:sz w:val="18"/>
                      <w:szCs w:val="18"/>
                      <w:lang w:val="en-US" w:eastAsia="zh-CN" w:bidi="ar-SA"/>
                    </w:rPr>
                  </w:pPr>
                  <w:r>
                    <w:rPr>
                      <w:rFonts w:hint="default" w:ascii="Times New Roman" w:hAnsi="Times New Roman" w:cs="Times New Roman"/>
                      <w:color w:val="FF0000"/>
                      <w:sz w:val="18"/>
                      <w:szCs w:val="18"/>
                    </w:rPr>
                    <w:t>一般固废</w:t>
                  </w:r>
                  <w:r>
                    <w:rPr>
                      <w:rFonts w:hint="default" w:ascii="Times New Roman" w:hAnsi="Times New Roman" w:cs="Times New Roman"/>
                      <w:color w:val="FF0000"/>
                      <w:sz w:val="18"/>
                      <w:szCs w:val="18"/>
                      <w:lang w:eastAsia="zh-CN"/>
                    </w:rPr>
                    <w:t>仓库</w:t>
                  </w:r>
                  <w:r>
                    <w:rPr>
                      <w:rFonts w:hint="eastAsia" w:cs="Times New Roman"/>
                      <w:color w:val="FF0000"/>
                      <w:sz w:val="18"/>
                      <w:szCs w:val="18"/>
                      <w:lang w:eastAsia="zh-CN"/>
                    </w:rPr>
                    <w:t>（</w:t>
                  </w:r>
                  <w:r>
                    <w:rPr>
                      <w:rFonts w:hint="eastAsia" w:cs="Times New Roman"/>
                      <w:color w:val="FF0000"/>
                      <w:sz w:val="18"/>
                      <w:szCs w:val="18"/>
                      <w:lang w:val="en-US" w:eastAsia="zh-CN"/>
                    </w:rPr>
                    <w:t>10m</w:t>
                  </w:r>
                  <w:r>
                    <w:rPr>
                      <w:rFonts w:hint="eastAsia" w:cs="Times New Roman"/>
                      <w:color w:val="FF0000"/>
                      <w:sz w:val="18"/>
                      <w:szCs w:val="18"/>
                      <w:vertAlign w:val="superscript"/>
                      <w:lang w:val="en-US" w:eastAsia="zh-CN"/>
                    </w:rPr>
                    <w:t>2</w:t>
                  </w:r>
                  <w:r>
                    <w:rPr>
                      <w:rFonts w:hint="eastAsia" w:cs="Times New Roman"/>
                      <w:color w:val="FF0000"/>
                      <w:sz w:val="18"/>
                      <w:szCs w:val="18"/>
                      <w:lang w:eastAsia="zh-CN"/>
                    </w:rPr>
                    <w:t>）</w:t>
                  </w:r>
                  <w:r>
                    <w:rPr>
                      <w:rFonts w:hint="eastAsia" w:cs="Times New Roman"/>
                      <w:color w:val="FF0000"/>
                      <w:sz w:val="18"/>
                      <w:szCs w:val="18"/>
                      <w:lang w:val="en-US" w:eastAsia="zh-CN"/>
                    </w:rPr>
                    <w:t>1</w:t>
                  </w:r>
                  <w:r>
                    <w:rPr>
                      <w:rFonts w:hint="default" w:ascii="Times New Roman" w:hAnsi="Times New Roman" w:cs="Times New Roman"/>
                      <w:color w:val="FF0000"/>
                      <w:sz w:val="18"/>
                      <w:szCs w:val="18"/>
                    </w:rPr>
                    <w:t>处</w:t>
                  </w:r>
                  <w:r>
                    <w:rPr>
                      <w:rFonts w:hint="eastAsia" w:cs="Times New Roman"/>
                      <w:color w:val="FF0000"/>
                      <w:sz w:val="18"/>
                      <w:szCs w:val="18"/>
                      <w:lang w:eastAsia="zh-CN"/>
                    </w:rPr>
                    <w:t>，</w:t>
                  </w:r>
                  <w:r>
                    <w:rPr>
                      <w:rFonts w:hint="eastAsia" w:cs="Times New Roman"/>
                      <w:color w:val="FF0000"/>
                      <w:sz w:val="18"/>
                      <w:szCs w:val="18"/>
                      <w:lang w:val="en-US" w:eastAsia="zh-CN"/>
                    </w:rPr>
                    <w:t>危废暂存间</w:t>
                  </w:r>
                  <w:r>
                    <w:rPr>
                      <w:rFonts w:hint="eastAsia" w:cs="Times New Roman"/>
                      <w:color w:val="FF0000"/>
                      <w:sz w:val="18"/>
                      <w:szCs w:val="18"/>
                      <w:lang w:eastAsia="zh-CN"/>
                    </w:rPr>
                    <w:t>（</w:t>
                  </w:r>
                  <w:r>
                    <w:rPr>
                      <w:rFonts w:hint="eastAsia" w:cs="Times New Roman"/>
                      <w:color w:val="FF0000"/>
                      <w:sz w:val="18"/>
                      <w:szCs w:val="18"/>
                      <w:lang w:val="en-US" w:eastAsia="zh-CN"/>
                    </w:rPr>
                    <w:t>10m</w:t>
                  </w:r>
                  <w:r>
                    <w:rPr>
                      <w:rFonts w:hint="eastAsia" w:cs="Times New Roman"/>
                      <w:color w:val="FF0000"/>
                      <w:sz w:val="18"/>
                      <w:szCs w:val="18"/>
                      <w:vertAlign w:val="superscript"/>
                      <w:lang w:val="en-US" w:eastAsia="zh-CN"/>
                    </w:rPr>
                    <w:t>2</w:t>
                  </w:r>
                  <w:r>
                    <w:rPr>
                      <w:rFonts w:hint="eastAsia" w:cs="Times New Roman"/>
                      <w:color w:val="FF0000"/>
                      <w:sz w:val="18"/>
                      <w:szCs w:val="18"/>
                      <w:lang w:eastAsia="zh-CN"/>
                    </w:rPr>
                    <w:t>）</w:t>
                  </w:r>
                  <w:r>
                    <w:rPr>
                      <w:rFonts w:hint="eastAsia" w:cs="Times New Roman"/>
                      <w:color w:val="FF0000"/>
                      <w:sz w:val="18"/>
                      <w:szCs w:val="18"/>
                      <w:lang w:val="en-US" w:eastAsia="zh-CN"/>
                    </w:rPr>
                    <w:t>1处</w:t>
                  </w:r>
                </w:p>
              </w:tc>
              <w:tc>
                <w:tcPr>
                  <w:tcW w:w="1034" w:type="pct"/>
                  <w:tcBorders>
                    <w:right w:val="single" w:color="auto" w:sz="4" w:space="0"/>
                  </w:tcBorders>
                  <w:vAlign w:val="center"/>
                </w:tcPr>
                <w:p w14:paraId="0F8B70C0">
                  <w:pPr>
                    <w:spacing w:line="300" w:lineRule="exact"/>
                    <w:ind w:left="40"/>
                    <w:jc w:val="center"/>
                    <w:rPr>
                      <w:rFonts w:hint="default" w:ascii="Times New Roman" w:hAnsi="Times New Roman" w:eastAsia="宋体" w:cs="Times New Roman"/>
                      <w:color w:val="FF0000"/>
                      <w:sz w:val="18"/>
                      <w:szCs w:val="18"/>
                      <w:lang w:eastAsia="zh-CN"/>
                    </w:rPr>
                  </w:pPr>
                  <w:r>
                    <w:rPr>
                      <w:rFonts w:hint="eastAsia" w:cs="Times New Roman"/>
                      <w:color w:val="FF0000"/>
                      <w:sz w:val="18"/>
                      <w:szCs w:val="18"/>
                      <w:lang w:val="en-US" w:eastAsia="zh-CN"/>
                    </w:rPr>
                    <w:t>新增</w:t>
                  </w:r>
                </w:p>
              </w:tc>
            </w:tr>
          </w:tbl>
          <w:p w14:paraId="128B7D8C">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3、工程总投资及环保投资：工程总投资</w:t>
            </w:r>
            <w:r>
              <w:rPr>
                <w:rFonts w:hint="eastAsia" w:cs="Times New Roman"/>
                <w:color w:val="auto"/>
                <w:lang w:val="en-US" w:eastAsia="zh-CN"/>
              </w:rPr>
              <w:t>500</w:t>
            </w:r>
            <w:r>
              <w:rPr>
                <w:rFonts w:hint="default" w:ascii="Times New Roman" w:hAnsi="Times New Roman" w:cs="Times New Roman"/>
                <w:color w:val="auto"/>
              </w:rPr>
              <w:t>万元，环保投资</w:t>
            </w:r>
            <w:r>
              <w:rPr>
                <w:rFonts w:hint="eastAsia" w:cs="Times New Roman"/>
                <w:color w:val="auto"/>
                <w:lang w:val="en-US" w:eastAsia="zh-CN"/>
              </w:rPr>
              <w:t>5</w:t>
            </w:r>
            <w:r>
              <w:rPr>
                <w:rFonts w:hint="default" w:ascii="Times New Roman" w:hAnsi="Times New Roman" w:cs="Times New Roman"/>
                <w:color w:val="auto"/>
                <w:lang w:val="en-US" w:eastAsia="zh-CN"/>
              </w:rPr>
              <w:t>0</w:t>
            </w:r>
            <w:r>
              <w:rPr>
                <w:rFonts w:hint="default" w:ascii="Times New Roman" w:hAnsi="Times New Roman" w:cs="Times New Roman"/>
                <w:color w:val="auto"/>
              </w:rPr>
              <w:t>万元，占投资的</w:t>
            </w:r>
            <w:r>
              <w:rPr>
                <w:rFonts w:hint="eastAsia" w:cs="Times New Roman"/>
                <w:color w:val="auto"/>
                <w:lang w:val="en-US" w:eastAsia="zh-CN"/>
              </w:rPr>
              <w:t>10</w:t>
            </w:r>
            <w:r>
              <w:rPr>
                <w:rFonts w:hint="default" w:ascii="Times New Roman" w:hAnsi="Times New Roman" w:cs="Times New Roman"/>
                <w:color w:val="auto"/>
              </w:rPr>
              <w:t>%。</w:t>
            </w:r>
          </w:p>
          <w:p w14:paraId="6EAB32B6">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kern w:val="0"/>
              </w:rPr>
              <w:t>4、</w:t>
            </w:r>
            <w:r>
              <w:rPr>
                <w:rFonts w:hint="default" w:ascii="Times New Roman" w:hAnsi="Times New Roman" w:cs="Times New Roman"/>
                <w:color w:val="auto"/>
              </w:rPr>
              <w:t>劳动制度及定员：</w:t>
            </w:r>
            <w:r>
              <w:rPr>
                <w:rFonts w:hint="eastAsia" w:cs="Times New Roman"/>
                <w:color w:val="auto"/>
                <w:lang w:val="en-US" w:eastAsia="zh-CN"/>
              </w:rPr>
              <w:t>本项目</w:t>
            </w:r>
            <w:r>
              <w:rPr>
                <w:rFonts w:hint="default" w:ascii="Times New Roman" w:hAnsi="Times New Roman" w:cs="Times New Roman"/>
                <w:color w:val="auto"/>
                <w:lang w:eastAsia="zh-CN"/>
              </w:rPr>
              <w:t>劳动定员</w:t>
            </w:r>
            <w:r>
              <w:rPr>
                <w:rFonts w:hint="eastAsia" w:cs="Times New Roman"/>
                <w:color w:val="auto"/>
                <w:lang w:val="en-US" w:eastAsia="zh-CN"/>
              </w:rPr>
              <w:t>15</w:t>
            </w:r>
            <w:r>
              <w:rPr>
                <w:rFonts w:hint="default" w:ascii="Times New Roman" w:hAnsi="Times New Roman" w:cs="Times New Roman"/>
                <w:color w:val="auto"/>
                <w:lang w:val="en-US" w:eastAsia="zh-CN"/>
              </w:rPr>
              <w:t>人，</w:t>
            </w:r>
            <w:r>
              <w:rPr>
                <w:rFonts w:hint="default" w:ascii="Times New Roman" w:hAnsi="Times New Roman" w:cs="Times New Roman"/>
                <w:color w:val="auto"/>
              </w:rPr>
              <w:t>年运行</w:t>
            </w:r>
            <w:r>
              <w:rPr>
                <w:rFonts w:hint="default" w:ascii="Times New Roman" w:hAnsi="Times New Roman" w:cs="Times New Roman"/>
                <w:color w:val="auto"/>
                <w:lang w:val="en-US" w:eastAsia="zh-CN"/>
              </w:rPr>
              <w:t>30</w:t>
            </w:r>
            <w:r>
              <w:rPr>
                <w:rFonts w:hint="default" w:ascii="Times New Roman" w:hAnsi="Times New Roman" w:cs="Times New Roman"/>
                <w:color w:val="auto"/>
              </w:rPr>
              <w:t>0天，</w:t>
            </w:r>
            <w:r>
              <w:rPr>
                <w:rFonts w:hint="eastAsia" w:cs="Times New Roman"/>
                <w:color w:val="auto"/>
                <w:lang w:val="en-US" w:eastAsia="zh-CN"/>
              </w:rPr>
              <w:t>三班倒，</w:t>
            </w:r>
            <w:r>
              <w:rPr>
                <w:rFonts w:hint="default" w:ascii="Times New Roman" w:hAnsi="Times New Roman" w:cs="Times New Roman"/>
                <w:color w:val="auto"/>
                <w:lang w:val="en-US" w:eastAsia="zh-CN"/>
              </w:rPr>
              <w:t>24h</w:t>
            </w:r>
            <w:r>
              <w:rPr>
                <w:rFonts w:hint="eastAsia" w:cs="Times New Roman"/>
                <w:color w:val="auto"/>
                <w:lang w:val="en-US" w:eastAsia="zh-CN"/>
              </w:rPr>
              <w:t>工作</w:t>
            </w:r>
            <w:r>
              <w:rPr>
                <w:rFonts w:hint="default" w:ascii="Times New Roman" w:hAnsi="Times New Roman" w:cs="Times New Roman"/>
                <w:color w:val="auto"/>
                <w:lang w:val="en-US" w:eastAsia="zh-CN"/>
              </w:rPr>
              <w:t>制，年工作7200h</w:t>
            </w:r>
            <w:r>
              <w:rPr>
                <w:rFonts w:hint="default" w:ascii="Times New Roman" w:hAnsi="Times New Roman" w:cs="Times New Roman"/>
                <w:color w:val="auto"/>
              </w:rPr>
              <w:t>。本项目不设置食堂、宿舍。</w:t>
            </w:r>
          </w:p>
          <w:p w14:paraId="6811430A">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5、平面布置</w:t>
            </w:r>
          </w:p>
          <w:p w14:paraId="03AFA6A2">
            <w:pPr>
              <w:tabs>
                <w:tab w:val="left" w:pos="1800"/>
              </w:tabs>
              <w:adjustRightInd w:val="0"/>
              <w:snapToGrid w:val="0"/>
              <w:spacing w:line="360" w:lineRule="auto"/>
              <w:ind w:firstLine="420" w:firstLineChars="200"/>
              <w:rPr>
                <w:rFonts w:hint="default" w:ascii="Times New Roman" w:hAnsi="Times New Roman" w:cs="Times New Roman"/>
                <w:bCs/>
                <w:color w:val="auto"/>
                <w:lang w:val="de-DE"/>
              </w:rPr>
            </w:pPr>
            <w:r>
              <w:rPr>
                <w:rFonts w:hint="default" w:ascii="Times New Roman" w:hAnsi="Times New Roman" w:cs="Times New Roman"/>
                <w:color w:val="auto"/>
                <w:kern w:val="0"/>
                <w:lang w:val="de-DE"/>
              </w:rPr>
              <w:t>①地理位</w:t>
            </w:r>
            <w:r>
              <w:rPr>
                <w:rFonts w:hint="default" w:ascii="Times New Roman" w:hAnsi="Times New Roman" w:cs="Times New Roman"/>
                <w:color w:val="auto"/>
                <w:kern w:val="0"/>
                <w:lang w:bidi="ar"/>
              </w:rPr>
              <w:t>置：本项目位于</w:t>
            </w:r>
            <w:r>
              <w:rPr>
                <w:rFonts w:hint="eastAsia" w:cs="Times New Roman"/>
                <w:color w:val="auto"/>
                <w:kern w:val="0"/>
                <w:lang w:eastAsia="zh-CN" w:bidi="ar"/>
              </w:rPr>
              <w:t>山东省淄博市淄博经济开发区傅家镇李家工业园</w:t>
            </w:r>
            <w:r>
              <w:rPr>
                <w:rFonts w:hint="default" w:ascii="Times New Roman" w:hAnsi="Times New Roman" w:cs="Times New Roman"/>
                <w:color w:val="auto"/>
                <w:kern w:val="0"/>
                <w:lang w:bidi="ar"/>
              </w:rPr>
              <w:t>，地理坐标为</w:t>
            </w:r>
            <w:r>
              <w:rPr>
                <w:rFonts w:hint="default" w:ascii="Times New Roman" w:hAnsi="Times New Roman" w:cs="Times New Roman"/>
                <w:bCs/>
                <w:color w:val="auto"/>
                <w:u w:val="none"/>
              </w:rPr>
              <w:t>东经</w:t>
            </w:r>
            <w:r>
              <w:rPr>
                <w:rFonts w:hint="default" w:ascii="Times New Roman" w:hAnsi="Times New Roman" w:cs="Times New Roman"/>
                <w:bCs/>
                <w:color w:val="auto"/>
                <w:u w:val="none"/>
                <w:lang w:eastAsia="zh-CN"/>
              </w:rPr>
              <w:t>11</w:t>
            </w:r>
            <w:r>
              <w:rPr>
                <w:rFonts w:hint="eastAsia" w:cs="Times New Roman"/>
                <w:bCs/>
                <w:color w:val="auto"/>
                <w:u w:val="none"/>
                <w:lang w:val="en-US" w:eastAsia="zh-CN"/>
              </w:rPr>
              <w:t>7</w:t>
            </w:r>
            <w:r>
              <w:rPr>
                <w:rFonts w:hint="default" w:ascii="Times New Roman" w:hAnsi="Times New Roman" w:cs="Times New Roman"/>
                <w:bCs/>
                <w:color w:val="auto"/>
                <w:u w:val="none"/>
                <w:lang w:eastAsia="zh-CN"/>
              </w:rPr>
              <w:t>°</w:t>
            </w:r>
            <w:r>
              <w:rPr>
                <w:rFonts w:hint="eastAsia" w:cs="Times New Roman"/>
                <w:bCs/>
                <w:color w:val="auto"/>
                <w:u w:val="none"/>
                <w:lang w:val="en-US" w:eastAsia="zh-CN"/>
              </w:rPr>
              <w:t>57</w:t>
            </w:r>
            <w:r>
              <w:rPr>
                <w:rFonts w:hint="default" w:ascii="Times New Roman" w:hAnsi="Times New Roman" w:cs="Times New Roman"/>
                <w:bCs/>
                <w:color w:val="auto"/>
                <w:u w:val="none"/>
                <w:lang w:eastAsia="zh-CN"/>
              </w:rPr>
              <w:t>′</w:t>
            </w:r>
            <w:r>
              <w:rPr>
                <w:rFonts w:hint="eastAsia" w:cs="Times New Roman"/>
                <w:color w:val="auto"/>
                <w:highlight w:val="none"/>
                <w:u w:val="none"/>
                <w:lang w:val="en-US" w:eastAsia="zh-CN"/>
              </w:rPr>
              <w:t>45.134</w:t>
            </w:r>
            <w:r>
              <w:rPr>
                <w:rFonts w:hint="default" w:ascii="Times New Roman" w:hAnsi="Times New Roman" w:cs="Times New Roman"/>
                <w:bCs/>
                <w:color w:val="auto"/>
                <w:u w:val="none"/>
                <w:lang w:eastAsia="zh-CN"/>
              </w:rPr>
              <w:t>"</w:t>
            </w:r>
            <w:r>
              <w:rPr>
                <w:rFonts w:hint="default" w:ascii="Times New Roman" w:hAnsi="Times New Roman" w:cs="Times New Roman"/>
                <w:bCs/>
                <w:color w:val="auto"/>
                <w:u w:val="none"/>
              </w:rPr>
              <w:t>、北纬</w:t>
            </w:r>
            <w:r>
              <w:rPr>
                <w:rFonts w:hint="default" w:ascii="Times New Roman" w:hAnsi="Times New Roman" w:cs="Times New Roman"/>
                <w:bCs/>
                <w:color w:val="auto"/>
                <w:u w:val="none"/>
                <w:lang w:eastAsia="zh-CN"/>
              </w:rPr>
              <w:t>36°4</w:t>
            </w:r>
            <w:r>
              <w:rPr>
                <w:rFonts w:hint="eastAsia" w:cs="Times New Roman"/>
                <w:bCs/>
                <w:color w:val="auto"/>
                <w:u w:val="none"/>
                <w:lang w:val="en-US" w:eastAsia="zh-CN"/>
              </w:rPr>
              <w:t>6</w:t>
            </w:r>
            <w:r>
              <w:rPr>
                <w:rFonts w:hint="default" w:ascii="Times New Roman" w:hAnsi="Times New Roman" w:cs="Times New Roman"/>
                <w:bCs/>
                <w:color w:val="auto"/>
                <w:u w:val="none"/>
                <w:lang w:eastAsia="zh-CN"/>
              </w:rPr>
              <w:t>′</w:t>
            </w:r>
            <w:r>
              <w:rPr>
                <w:rFonts w:hint="eastAsia" w:cs="Times New Roman"/>
                <w:color w:val="auto"/>
                <w:highlight w:val="none"/>
                <w:u w:val="none"/>
                <w:lang w:val="en-US" w:eastAsia="zh-CN"/>
              </w:rPr>
              <w:t>22.488</w:t>
            </w:r>
            <w:r>
              <w:rPr>
                <w:rFonts w:hint="default" w:ascii="Times New Roman" w:hAnsi="Times New Roman" w:cs="Times New Roman"/>
                <w:bCs/>
                <w:color w:val="auto"/>
                <w:u w:val="none"/>
                <w:lang w:eastAsia="zh-CN"/>
              </w:rPr>
              <w:t>"</w:t>
            </w:r>
            <w:r>
              <w:rPr>
                <w:rFonts w:hint="default" w:ascii="Times New Roman" w:hAnsi="Times New Roman" w:cs="Times New Roman"/>
                <w:color w:val="auto"/>
              </w:rPr>
              <w:t>，</w:t>
            </w:r>
            <w:r>
              <w:rPr>
                <w:rFonts w:hint="default" w:ascii="Times New Roman" w:hAnsi="Times New Roman" w:cs="Times New Roman"/>
                <w:color w:val="auto"/>
                <w:kern w:val="0"/>
                <w:lang w:bidi="ar"/>
              </w:rPr>
              <w:t>详细地理位置见附图</w:t>
            </w:r>
            <w:r>
              <w:rPr>
                <w:rFonts w:hint="default" w:ascii="Times New Roman" w:hAnsi="Times New Roman" w:cs="Times New Roman"/>
                <w:color w:val="auto"/>
                <w:kern w:val="0"/>
                <w:lang w:val="en-US" w:eastAsia="zh-CN" w:bidi="ar"/>
              </w:rPr>
              <w:t>2-</w:t>
            </w:r>
            <w:r>
              <w:rPr>
                <w:rFonts w:hint="default" w:ascii="Times New Roman" w:hAnsi="Times New Roman" w:cs="Times New Roman"/>
                <w:color w:val="auto"/>
                <w:kern w:val="0"/>
                <w:lang w:bidi="ar"/>
              </w:rPr>
              <w:t>1。</w:t>
            </w:r>
          </w:p>
          <w:p w14:paraId="4A44380E">
            <w:pPr>
              <w:tabs>
                <w:tab w:val="left" w:pos="1800"/>
              </w:tabs>
              <w:adjustRightInd w:val="0"/>
              <w:snapToGrid w:val="0"/>
              <w:spacing w:line="360" w:lineRule="auto"/>
              <w:ind w:firstLine="420" w:firstLineChars="200"/>
              <w:rPr>
                <w:rFonts w:hint="default" w:ascii="Times New Roman" w:hAnsi="Times New Roman" w:cs="Times New Roman"/>
                <w:color w:val="auto"/>
                <w:kern w:val="0"/>
              </w:rPr>
            </w:pPr>
            <w:r>
              <w:rPr>
                <w:rFonts w:hint="default" w:ascii="Times New Roman" w:hAnsi="Times New Roman" w:cs="Times New Roman"/>
                <w:color w:val="auto"/>
                <w:highlight w:val="none"/>
              </w:rPr>
              <w:t>②周边关</w:t>
            </w:r>
            <w:r>
              <w:rPr>
                <w:rFonts w:hint="default" w:ascii="Times New Roman" w:hAnsi="Times New Roman" w:cs="Times New Roman"/>
                <w:color w:val="auto"/>
                <w:spacing w:val="10"/>
                <w:highlight w:val="none"/>
              </w:rPr>
              <w:t>系：</w:t>
            </w:r>
            <w:r>
              <w:rPr>
                <w:rFonts w:hint="default" w:ascii="Times New Roman" w:hAnsi="Times New Roman" w:cs="Times New Roman"/>
                <w:color w:val="auto"/>
                <w:spacing w:val="10"/>
                <w:highlight w:val="none"/>
                <w:lang w:val="en-US" w:eastAsia="zh-CN"/>
              </w:rPr>
              <w:t>本项目</w:t>
            </w:r>
            <w:r>
              <w:rPr>
                <w:rFonts w:hint="eastAsia" w:cs="Times New Roman"/>
                <w:color w:val="auto"/>
                <w:spacing w:val="10"/>
                <w:highlight w:val="none"/>
                <w:lang w:val="en-US" w:eastAsia="zh-CN"/>
              </w:rPr>
              <w:t>主要包括1座1300m</w:t>
            </w:r>
            <w:r>
              <w:rPr>
                <w:rFonts w:hint="eastAsia" w:cs="Times New Roman"/>
                <w:color w:val="auto"/>
                <w:spacing w:val="10"/>
                <w:highlight w:val="none"/>
                <w:vertAlign w:val="superscript"/>
                <w:lang w:val="en-US" w:eastAsia="zh-CN"/>
              </w:rPr>
              <w:t>2</w:t>
            </w:r>
            <w:r>
              <w:rPr>
                <w:rFonts w:hint="eastAsia" w:cs="Times New Roman"/>
                <w:color w:val="auto"/>
                <w:spacing w:val="10"/>
                <w:highlight w:val="none"/>
                <w:lang w:val="en-US" w:eastAsia="zh-CN"/>
              </w:rPr>
              <w:t>的生产车间，</w:t>
            </w:r>
            <w:r>
              <w:rPr>
                <w:rFonts w:hint="default" w:ascii="Times New Roman" w:hAnsi="Times New Roman" w:cs="Times New Roman"/>
                <w:color w:val="auto"/>
                <w:spacing w:val="10"/>
                <w:highlight w:val="none"/>
                <w:lang w:val="en-US" w:eastAsia="zh-CN"/>
              </w:rPr>
              <w:t>东侧为山东中顺新材料有限公司，南侧为国猪（山东）生物科技有限公司，西侧为淄博旭昊纺织有限公司，北侧为淄博圣旺商贸有限公司</w:t>
            </w:r>
            <w:r>
              <w:rPr>
                <w:rFonts w:hint="default" w:ascii="Times New Roman" w:hAnsi="Times New Roman" w:cs="Times New Roman"/>
                <w:color w:val="auto"/>
                <w:spacing w:val="10"/>
                <w:highlight w:val="none"/>
              </w:rPr>
              <w:t>。周边关系详见附图</w:t>
            </w:r>
            <w:r>
              <w:rPr>
                <w:rFonts w:hint="default" w:ascii="Times New Roman" w:hAnsi="Times New Roman" w:cs="Times New Roman"/>
                <w:color w:val="auto"/>
                <w:spacing w:val="10"/>
                <w:highlight w:val="none"/>
                <w:lang w:val="en-US" w:eastAsia="zh-CN"/>
              </w:rPr>
              <w:t>2-</w:t>
            </w:r>
            <w:r>
              <w:rPr>
                <w:rFonts w:hint="default" w:ascii="Times New Roman" w:hAnsi="Times New Roman" w:cs="Times New Roman"/>
                <w:color w:val="auto"/>
                <w:spacing w:val="10"/>
                <w:highlight w:val="none"/>
              </w:rPr>
              <w:t>2</w:t>
            </w:r>
            <w:r>
              <w:rPr>
                <w:rFonts w:hint="default" w:ascii="Times New Roman" w:hAnsi="Times New Roman" w:cs="Times New Roman"/>
                <w:color w:val="auto"/>
                <w:spacing w:val="10"/>
              </w:rPr>
              <w:t>。</w:t>
            </w:r>
          </w:p>
          <w:p w14:paraId="6D165C1D">
            <w:pPr>
              <w:adjustRightInd w:val="0"/>
              <w:snapToGrid w:val="0"/>
              <w:spacing w:line="360" w:lineRule="auto"/>
              <w:ind w:firstLine="420" w:firstLineChars="200"/>
              <w:rPr>
                <w:rFonts w:hint="default" w:ascii="Times New Roman" w:hAnsi="Times New Roman" w:cs="Times New Roman"/>
                <w:color w:val="auto"/>
                <w:kern w:val="0"/>
                <w:highlight w:val="yellow"/>
              </w:rPr>
            </w:pPr>
            <w:r>
              <w:rPr>
                <w:rFonts w:hint="default" w:ascii="Times New Roman" w:hAnsi="Times New Roman" w:cs="Times New Roman"/>
                <w:color w:val="auto"/>
                <w:kern w:val="0"/>
              </w:rPr>
              <w:t>③平面布置及合理性分析：</w:t>
            </w:r>
            <w:r>
              <w:rPr>
                <w:rFonts w:hint="default" w:ascii="Times New Roman" w:hAnsi="Times New Roman" w:cs="Times New Roman"/>
                <w:color w:val="auto"/>
                <w:spacing w:val="10"/>
                <w:highlight w:val="none"/>
                <w:lang w:val="en-US" w:eastAsia="zh-CN"/>
              </w:rPr>
              <w:t>本项目主要</w:t>
            </w:r>
            <w:r>
              <w:rPr>
                <w:rFonts w:hint="eastAsia" w:cs="Times New Roman"/>
                <w:color w:val="auto"/>
                <w:spacing w:val="10"/>
                <w:highlight w:val="none"/>
                <w:lang w:val="en-US" w:eastAsia="zh-CN"/>
              </w:rPr>
              <w:t>包括1座1300m</w:t>
            </w:r>
            <w:r>
              <w:rPr>
                <w:rFonts w:hint="eastAsia" w:cs="Times New Roman"/>
                <w:color w:val="auto"/>
                <w:spacing w:val="10"/>
                <w:highlight w:val="none"/>
                <w:vertAlign w:val="superscript"/>
                <w:lang w:val="en-US" w:eastAsia="zh-CN"/>
              </w:rPr>
              <w:t>2</w:t>
            </w:r>
            <w:r>
              <w:rPr>
                <w:rFonts w:hint="eastAsia" w:cs="Times New Roman"/>
                <w:color w:val="auto"/>
                <w:spacing w:val="10"/>
                <w:highlight w:val="none"/>
                <w:lang w:val="en-US" w:eastAsia="zh-CN"/>
              </w:rPr>
              <w:t>的生产车间</w:t>
            </w:r>
            <w:r>
              <w:rPr>
                <w:rFonts w:hint="default" w:ascii="Times New Roman" w:hAnsi="Times New Roman" w:cs="Times New Roman"/>
                <w:color w:val="auto"/>
                <w:spacing w:val="10"/>
                <w:highlight w:val="none"/>
                <w:lang w:val="en-US" w:eastAsia="zh-CN"/>
              </w:rPr>
              <w:t>，</w:t>
            </w:r>
            <w:r>
              <w:rPr>
                <w:rFonts w:hint="eastAsia" w:cs="Times New Roman"/>
                <w:color w:val="auto"/>
                <w:spacing w:val="10"/>
                <w:highlight w:val="none"/>
                <w:lang w:val="en-US" w:eastAsia="zh-CN"/>
              </w:rPr>
              <w:t>隧道窑位于车间东侧，其他生产设备位于车间西侧，原料和产品位于车间北侧</w:t>
            </w:r>
            <w:r>
              <w:rPr>
                <w:rFonts w:hint="default" w:ascii="Times New Roman" w:hAnsi="Times New Roman" w:cs="Times New Roman"/>
                <w:color w:val="auto"/>
                <w:spacing w:val="10"/>
                <w:highlight w:val="none"/>
                <w:lang w:eastAsia="zh-CN"/>
              </w:rPr>
              <w:t>。</w:t>
            </w:r>
            <w:r>
              <w:rPr>
                <w:rFonts w:hint="default" w:ascii="Times New Roman" w:hAnsi="Times New Roman" w:cs="Times New Roman"/>
                <w:color w:val="auto"/>
                <w:kern w:val="0"/>
                <w:highlight w:val="none"/>
              </w:rPr>
              <w:t>项目生产总平面布置较好的满足了工艺流程的顺畅性，体现了物料输送的便捷性，使物料的输送简单化，方便了生产，厂区平面布置基本合理。厂区平面布置图详见附图</w:t>
            </w:r>
            <w:r>
              <w:rPr>
                <w:rFonts w:hint="default" w:ascii="Times New Roman" w:hAnsi="Times New Roman" w:cs="Times New Roman"/>
                <w:color w:val="auto"/>
                <w:kern w:val="0"/>
                <w:highlight w:val="none"/>
                <w:lang w:val="en-US" w:eastAsia="zh-CN"/>
              </w:rPr>
              <w:t>2-</w:t>
            </w:r>
            <w:r>
              <w:rPr>
                <w:rFonts w:hint="default" w:ascii="Times New Roman" w:hAnsi="Times New Roman" w:cs="Times New Roman"/>
                <w:color w:val="auto"/>
                <w:kern w:val="0"/>
                <w:highlight w:val="none"/>
              </w:rPr>
              <w:t>3。</w:t>
            </w:r>
          </w:p>
          <w:p w14:paraId="6CE3737E">
            <w:pPr>
              <w:adjustRightInd w:val="0"/>
              <w:snapToGrid w:val="0"/>
              <w:spacing w:line="360" w:lineRule="auto"/>
              <w:ind w:firstLine="420" w:firstLineChars="200"/>
              <w:jc w:val="left"/>
              <w:rPr>
                <w:rFonts w:hint="default" w:ascii="Times New Roman" w:hAnsi="Times New Roman" w:cs="Times New Roman"/>
                <w:color w:val="auto"/>
              </w:rPr>
            </w:pPr>
            <w:r>
              <w:rPr>
                <w:rFonts w:hint="default" w:ascii="Times New Roman" w:hAnsi="Times New Roman" w:cs="Times New Roman"/>
                <w:color w:val="auto"/>
                <w:kern w:val="0"/>
              </w:rPr>
              <w:t>6、投产日期：本项目拟于202</w:t>
            </w:r>
            <w:r>
              <w:rPr>
                <w:rFonts w:hint="eastAsia" w:cs="Times New Roman"/>
                <w:color w:val="auto"/>
                <w:kern w:val="0"/>
                <w:lang w:val="en-US" w:eastAsia="zh-CN"/>
              </w:rPr>
              <w:t>6</w:t>
            </w:r>
            <w:r>
              <w:rPr>
                <w:rFonts w:hint="default" w:ascii="Times New Roman" w:hAnsi="Times New Roman" w:cs="Times New Roman"/>
                <w:color w:val="auto"/>
                <w:kern w:val="0"/>
              </w:rPr>
              <w:t>年</w:t>
            </w:r>
            <w:r>
              <w:rPr>
                <w:rFonts w:hint="eastAsia" w:cs="Times New Roman"/>
                <w:color w:val="auto"/>
                <w:kern w:val="0"/>
                <w:highlight w:val="none"/>
                <w:lang w:val="en-US" w:eastAsia="zh-CN"/>
              </w:rPr>
              <w:t>5</w:t>
            </w:r>
            <w:r>
              <w:rPr>
                <w:rFonts w:hint="default" w:ascii="Times New Roman" w:hAnsi="Times New Roman" w:cs="Times New Roman"/>
                <w:color w:val="auto"/>
                <w:kern w:val="0"/>
                <w:highlight w:val="none"/>
              </w:rPr>
              <w:t>月</w:t>
            </w:r>
            <w:r>
              <w:rPr>
                <w:rFonts w:hint="default" w:ascii="Times New Roman" w:hAnsi="Times New Roman" w:cs="Times New Roman"/>
                <w:color w:val="auto"/>
                <w:kern w:val="0"/>
              </w:rPr>
              <w:t>投产。</w:t>
            </w:r>
          </w:p>
          <w:p w14:paraId="69BA4075">
            <w:pPr>
              <w:adjustRightInd w:val="0"/>
              <w:snapToGrid w:val="0"/>
              <w:spacing w:line="360" w:lineRule="auto"/>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7、产品方案</w:t>
            </w:r>
          </w:p>
          <w:p w14:paraId="1F2B00D4">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本项目产能见表2-</w:t>
            </w:r>
            <w:r>
              <w:rPr>
                <w:rFonts w:hint="eastAsia" w:cs="Times New Roman"/>
                <w:color w:val="auto"/>
                <w:lang w:val="en-US" w:eastAsia="zh-CN"/>
              </w:rPr>
              <w:t>2</w:t>
            </w:r>
            <w:r>
              <w:rPr>
                <w:rFonts w:hint="default" w:ascii="Times New Roman" w:hAnsi="Times New Roman" w:cs="Times New Roman"/>
                <w:color w:val="auto"/>
              </w:rPr>
              <w:t>。</w:t>
            </w:r>
          </w:p>
          <w:p w14:paraId="7ED4F874">
            <w:pPr>
              <w:adjustRightInd w:val="0"/>
              <w:snapToGrid w:val="0"/>
              <w:spacing w:line="360" w:lineRule="auto"/>
              <w:jc w:val="center"/>
              <w:rPr>
                <w:rFonts w:hint="default" w:ascii="Times New Roman" w:hAnsi="Times New Roman" w:cs="Times New Roman"/>
                <w:snapToGrid w:val="0"/>
                <w:color w:val="auto"/>
                <w:kern w:val="0"/>
              </w:rPr>
            </w:pPr>
            <w:r>
              <w:rPr>
                <w:rFonts w:hint="default" w:ascii="Times New Roman" w:hAnsi="Times New Roman" w:cs="Times New Roman"/>
                <w:b/>
                <w:color w:val="auto"/>
                <w:kern w:val="0"/>
              </w:rPr>
              <w:t>表2-</w:t>
            </w:r>
            <w:r>
              <w:rPr>
                <w:rFonts w:hint="eastAsia" w:cs="Times New Roman"/>
                <w:b/>
                <w:color w:val="auto"/>
                <w:kern w:val="0"/>
                <w:lang w:val="en-US" w:eastAsia="zh-CN"/>
              </w:rPr>
              <w:t>2</w:t>
            </w:r>
            <w:r>
              <w:rPr>
                <w:rFonts w:hint="default" w:ascii="Times New Roman" w:hAnsi="Times New Roman" w:cs="Times New Roman"/>
                <w:b/>
                <w:color w:val="auto"/>
                <w:kern w:val="0"/>
              </w:rPr>
              <w:t>项目产品方案一览表</w:t>
            </w:r>
          </w:p>
          <w:tbl>
            <w:tblPr>
              <w:tblStyle w:val="8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
              <w:gridCol w:w="2453"/>
              <w:gridCol w:w="2510"/>
              <w:gridCol w:w="2511"/>
            </w:tblGrid>
            <w:tr w14:paraId="157F6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5" w:type="pct"/>
                  <w:tcBorders>
                    <w:tl2br w:val="nil"/>
                    <w:tr2bl w:val="nil"/>
                  </w:tcBorders>
                  <w:vAlign w:val="center"/>
                </w:tcPr>
                <w:p w14:paraId="36EEB8E3">
                  <w:pPr>
                    <w:spacing w:line="360" w:lineRule="exact"/>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序号</w:t>
                  </w:r>
                </w:p>
              </w:tc>
              <w:tc>
                <w:tcPr>
                  <w:tcW w:w="1458" w:type="pct"/>
                  <w:tcBorders>
                    <w:tl2br w:val="nil"/>
                    <w:tr2bl w:val="nil"/>
                  </w:tcBorders>
                  <w:vAlign w:val="center"/>
                </w:tcPr>
                <w:p w14:paraId="272D1459">
                  <w:pPr>
                    <w:spacing w:line="360" w:lineRule="exact"/>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名称</w:t>
                  </w:r>
                </w:p>
              </w:tc>
              <w:tc>
                <w:tcPr>
                  <w:tcW w:w="1492" w:type="pct"/>
                  <w:tcBorders>
                    <w:tl2br w:val="nil"/>
                    <w:tr2bl w:val="nil"/>
                  </w:tcBorders>
                  <w:vAlign w:val="center"/>
                </w:tcPr>
                <w:p w14:paraId="6DC91B3D">
                  <w:pPr>
                    <w:spacing w:line="360" w:lineRule="exact"/>
                    <w:jc w:val="center"/>
                    <w:rPr>
                      <w:rFonts w:hint="default" w:ascii="Times New Roman" w:hAnsi="Times New Roman" w:eastAsia="宋体" w:cs="Times New Roman"/>
                      <w:b/>
                      <w:color w:val="auto"/>
                      <w:sz w:val="18"/>
                      <w:szCs w:val="18"/>
                      <w:lang w:val="en-US" w:eastAsia="zh-CN"/>
                    </w:rPr>
                  </w:pPr>
                  <w:r>
                    <w:rPr>
                      <w:rFonts w:hint="default" w:ascii="Times New Roman" w:hAnsi="Times New Roman" w:cs="Times New Roman"/>
                      <w:b/>
                      <w:color w:val="auto"/>
                      <w:sz w:val="18"/>
                      <w:szCs w:val="18"/>
                      <w:lang w:val="en-US" w:eastAsia="zh-CN"/>
                    </w:rPr>
                    <w:t>产能</w:t>
                  </w:r>
                </w:p>
              </w:tc>
              <w:tc>
                <w:tcPr>
                  <w:tcW w:w="1492" w:type="pct"/>
                  <w:tcBorders>
                    <w:tl2br w:val="nil"/>
                    <w:tr2bl w:val="nil"/>
                  </w:tcBorders>
                  <w:vAlign w:val="center"/>
                </w:tcPr>
                <w:p w14:paraId="34ACF839">
                  <w:pPr>
                    <w:spacing w:line="360" w:lineRule="exact"/>
                    <w:jc w:val="center"/>
                    <w:rPr>
                      <w:rFonts w:hint="default" w:ascii="Times New Roman" w:hAnsi="Times New Roman" w:cs="Times New Roman"/>
                      <w:b/>
                      <w:color w:val="auto"/>
                      <w:sz w:val="18"/>
                      <w:szCs w:val="18"/>
                      <w:lang w:val="en-US" w:eastAsia="zh-CN"/>
                    </w:rPr>
                  </w:pPr>
                  <w:r>
                    <w:rPr>
                      <w:rFonts w:hint="eastAsia" w:cs="Times New Roman"/>
                      <w:b/>
                      <w:color w:val="auto"/>
                      <w:sz w:val="18"/>
                      <w:szCs w:val="18"/>
                      <w:lang w:val="en-US" w:eastAsia="zh-CN"/>
                    </w:rPr>
                    <w:t>产品标准</w:t>
                  </w:r>
                </w:p>
              </w:tc>
            </w:tr>
            <w:tr w14:paraId="0B169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55" w:type="pct"/>
                  <w:tcBorders>
                    <w:tl2br w:val="nil"/>
                    <w:tr2bl w:val="nil"/>
                  </w:tcBorders>
                  <w:vAlign w:val="center"/>
                </w:tcPr>
                <w:p w14:paraId="39C1F15E">
                  <w:pPr>
                    <w:pStyle w:val="11"/>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1458" w:type="pct"/>
                  <w:tcBorders>
                    <w:tl2br w:val="nil"/>
                    <w:tr2bl w:val="nil"/>
                  </w:tcBorders>
                  <w:vAlign w:val="center"/>
                </w:tcPr>
                <w:p w14:paraId="6140F80C">
                  <w:pPr>
                    <w:pStyle w:val="11"/>
                    <w:jc w:val="center"/>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lang w:eastAsia="zh-CN"/>
                    </w:rPr>
                    <w:t>高性能抛光粉体</w:t>
                  </w:r>
                </w:p>
              </w:tc>
              <w:tc>
                <w:tcPr>
                  <w:tcW w:w="1492" w:type="pct"/>
                  <w:tcBorders>
                    <w:tl2br w:val="nil"/>
                    <w:tr2bl w:val="nil"/>
                  </w:tcBorders>
                  <w:vAlign w:val="center"/>
                </w:tcPr>
                <w:p w14:paraId="097B579F">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2400t</w:t>
                  </w:r>
                  <w:r>
                    <w:rPr>
                      <w:rFonts w:hint="default" w:ascii="Times New Roman" w:hAnsi="Times New Roman" w:cs="Times New Roman"/>
                      <w:color w:val="auto"/>
                      <w:sz w:val="18"/>
                      <w:szCs w:val="18"/>
                      <w:lang w:val="en-US" w:eastAsia="zh-CN"/>
                    </w:rPr>
                    <w:t>/a</w:t>
                  </w:r>
                </w:p>
              </w:tc>
              <w:tc>
                <w:tcPr>
                  <w:tcW w:w="1492" w:type="pct"/>
                  <w:tcBorders>
                    <w:tl2br w:val="nil"/>
                    <w:tr2bl w:val="nil"/>
                  </w:tcBorders>
                  <w:vAlign w:val="center"/>
                </w:tcPr>
                <w:p w14:paraId="1C4CA153">
                  <w:pPr>
                    <w:pStyle w:val="11"/>
                    <w:jc w:val="center"/>
                    <w:rPr>
                      <w:rFonts w:hint="eastAsia" w:ascii="Times New Roman" w:hAnsi="Times New Roman" w:cs="Times New Roman"/>
                      <w:color w:val="auto"/>
                      <w:sz w:val="18"/>
                      <w:szCs w:val="18"/>
                      <w:lang w:val="en-US" w:eastAsia="zh-CN"/>
                    </w:rPr>
                  </w:pPr>
                  <w:r>
                    <w:rPr>
                      <w:rFonts w:hint="eastAsia" w:ascii="Times New Roman" w:hAnsi="Times New Roman" w:cs="Times New Roman"/>
                      <w:snapToGrid/>
                      <w:color w:val="auto"/>
                      <w:kern w:val="2"/>
                      <w:sz w:val="18"/>
                      <w:szCs w:val="18"/>
                    </w:rPr>
                    <w:t>《稀土抛光粉》（GB/T20165-20</w:t>
                  </w:r>
                  <w:r>
                    <w:rPr>
                      <w:rFonts w:hint="eastAsia" w:ascii="Times New Roman" w:hAnsi="Times New Roman" w:cs="Times New Roman"/>
                      <w:snapToGrid/>
                      <w:color w:val="auto"/>
                      <w:kern w:val="2"/>
                      <w:sz w:val="18"/>
                      <w:szCs w:val="18"/>
                      <w:lang w:val="en-US" w:eastAsia="zh-CN"/>
                    </w:rPr>
                    <w:t>25</w:t>
                  </w:r>
                  <w:r>
                    <w:rPr>
                      <w:rFonts w:hint="eastAsia" w:ascii="Times New Roman" w:hAnsi="Times New Roman" w:cs="Times New Roman"/>
                      <w:snapToGrid/>
                      <w:color w:val="auto"/>
                      <w:kern w:val="2"/>
                      <w:sz w:val="18"/>
                      <w:szCs w:val="18"/>
                    </w:rPr>
                    <w:t>）</w:t>
                  </w:r>
                </w:p>
              </w:tc>
            </w:tr>
          </w:tbl>
          <w:p w14:paraId="663A77BB">
            <w:pPr>
              <w:spacing w:line="360" w:lineRule="auto"/>
              <w:ind w:firstLine="360" w:firstLineChars="200"/>
              <w:rPr>
                <w:rFonts w:hint="default" w:ascii="Times New Roman" w:hAnsi="Times New Roman" w:cs="Times New Roman"/>
                <w:snapToGrid w:val="0"/>
                <w:color w:val="auto"/>
                <w:kern w:val="0"/>
                <w:sz w:val="18"/>
                <w:szCs w:val="18"/>
              </w:rPr>
            </w:pPr>
            <w:r>
              <w:rPr>
                <w:rFonts w:hint="default" w:ascii="Times New Roman" w:hAnsi="Times New Roman" w:cs="Times New Roman"/>
                <w:snapToGrid w:val="0"/>
                <w:color w:val="auto"/>
                <w:kern w:val="0"/>
                <w:sz w:val="18"/>
                <w:szCs w:val="18"/>
              </w:rPr>
              <w:t>注：稀土抛光粉：是以铈基稀土为原料的具有特定物相和一定抛光性能的粉末状产品，主要</w:t>
            </w:r>
            <w:r>
              <w:rPr>
                <w:rFonts w:hint="default" w:ascii="Times New Roman" w:hAnsi="Times New Roman" w:cs="Times New Roman"/>
                <w:snapToGrid w:val="0"/>
                <w:color w:val="auto"/>
                <w:kern w:val="0"/>
                <w:sz w:val="18"/>
                <w:szCs w:val="18"/>
                <w:lang w:val="en-US" w:eastAsia="zh-CN"/>
              </w:rPr>
              <w:t>应用于盖板玻璃</w:t>
            </w:r>
            <w:r>
              <w:rPr>
                <w:rFonts w:hint="eastAsia" w:cs="Times New Roman"/>
                <w:snapToGrid w:val="0"/>
                <w:color w:val="auto"/>
                <w:kern w:val="0"/>
                <w:sz w:val="18"/>
                <w:szCs w:val="18"/>
                <w:lang w:val="en-US" w:eastAsia="zh-CN"/>
              </w:rPr>
              <w:t>、</w:t>
            </w:r>
            <w:r>
              <w:rPr>
                <w:rFonts w:hint="default" w:ascii="Times New Roman" w:hAnsi="Times New Roman" w:cs="Times New Roman"/>
                <w:snapToGrid w:val="0"/>
                <w:color w:val="auto"/>
                <w:kern w:val="0"/>
                <w:sz w:val="18"/>
                <w:szCs w:val="18"/>
                <w:lang w:val="en-US" w:eastAsia="zh-CN"/>
              </w:rPr>
              <w:t>硬盘玻璃基板、光学器件、液晶玻璃基板等的表面抛光处理</w:t>
            </w:r>
            <w:r>
              <w:rPr>
                <w:rFonts w:hint="default" w:ascii="Times New Roman" w:hAnsi="Times New Roman" w:cs="Times New Roman"/>
                <w:snapToGrid w:val="0"/>
                <w:color w:val="auto"/>
                <w:kern w:val="0"/>
                <w:sz w:val="18"/>
                <w:szCs w:val="18"/>
              </w:rPr>
              <w:t>。</w:t>
            </w:r>
          </w:p>
          <w:p w14:paraId="4B4C7BC9">
            <w:pPr>
              <w:spacing w:line="360" w:lineRule="auto"/>
              <w:ind w:firstLine="360" w:firstLineChars="200"/>
              <w:rPr>
                <w:rFonts w:hint="default" w:ascii="Times New Roman" w:hAnsi="Times New Roman" w:cs="Times New Roman"/>
                <w:snapToGrid w:val="0"/>
                <w:color w:val="auto"/>
                <w:kern w:val="0"/>
                <w:sz w:val="18"/>
                <w:szCs w:val="18"/>
              </w:rPr>
            </w:pPr>
            <w:r>
              <w:rPr>
                <w:rFonts w:hint="default" w:ascii="Times New Roman" w:hAnsi="Times New Roman" w:cs="Times New Roman"/>
                <w:snapToGrid w:val="0"/>
                <w:color w:val="auto"/>
                <w:kern w:val="0"/>
                <w:sz w:val="18"/>
                <w:szCs w:val="18"/>
              </w:rPr>
              <w:t>本项目稀土抛光粉对照《稀土抛光粉》（GB/T20165-20</w:t>
            </w:r>
            <w:r>
              <w:rPr>
                <w:rFonts w:hint="eastAsia" w:cs="Times New Roman"/>
                <w:snapToGrid w:val="0"/>
                <w:color w:val="auto"/>
                <w:kern w:val="0"/>
                <w:sz w:val="18"/>
                <w:szCs w:val="18"/>
                <w:lang w:val="en-US" w:eastAsia="zh-CN"/>
              </w:rPr>
              <w:t>25</w:t>
            </w:r>
            <w:r>
              <w:rPr>
                <w:rFonts w:hint="default" w:ascii="Times New Roman" w:hAnsi="Times New Roman" w:cs="Times New Roman"/>
                <w:snapToGrid w:val="0"/>
                <w:color w:val="auto"/>
                <w:kern w:val="0"/>
                <w:sz w:val="18"/>
                <w:szCs w:val="18"/>
              </w:rPr>
              <w:t>），标准牌号为</w:t>
            </w:r>
            <w:r>
              <w:rPr>
                <w:rFonts w:hint="default" w:ascii="Times New Roman" w:hAnsi="Times New Roman" w:cs="Times New Roman"/>
                <w:snapToGrid w:val="0"/>
                <w:color w:val="auto"/>
                <w:kern w:val="0"/>
                <w:sz w:val="18"/>
                <w:szCs w:val="18"/>
                <w:lang w:val="en-US" w:eastAsia="zh-CN"/>
              </w:rPr>
              <w:t>PP-LaCe-65Ce-A</w:t>
            </w:r>
            <w:r>
              <w:rPr>
                <w:rFonts w:hint="default" w:ascii="Times New Roman" w:hAnsi="Times New Roman" w:cs="Times New Roman"/>
                <w:snapToGrid w:val="0"/>
                <w:color w:val="auto"/>
                <w:kern w:val="0"/>
                <w:sz w:val="18"/>
                <w:szCs w:val="18"/>
              </w:rPr>
              <w:t>、</w:t>
            </w:r>
            <w:r>
              <w:rPr>
                <w:rFonts w:hint="default" w:ascii="Times New Roman" w:hAnsi="Times New Roman" w:cs="Times New Roman"/>
                <w:snapToGrid w:val="0"/>
                <w:color w:val="auto"/>
                <w:kern w:val="0"/>
                <w:sz w:val="18"/>
                <w:szCs w:val="18"/>
                <w:lang w:val="en-US" w:eastAsia="zh-CN"/>
              </w:rPr>
              <w:t>PP-LaCe-65Ce-</w:t>
            </w:r>
            <w:r>
              <w:rPr>
                <w:rFonts w:hint="default" w:ascii="Times New Roman" w:hAnsi="Times New Roman" w:cs="Times New Roman"/>
                <w:snapToGrid w:val="0"/>
                <w:color w:val="auto"/>
                <w:kern w:val="0"/>
                <w:sz w:val="18"/>
                <w:szCs w:val="18"/>
              </w:rPr>
              <w:t>B、</w:t>
            </w:r>
            <w:r>
              <w:rPr>
                <w:rFonts w:hint="default" w:ascii="Times New Roman" w:hAnsi="Times New Roman" w:cs="Times New Roman"/>
                <w:snapToGrid w:val="0"/>
                <w:color w:val="auto"/>
                <w:kern w:val="0"/>
                <w:sz w:val="18"/>
                <w:szCs w:val="18"/>
                <w:lang w:val="en-US" w:eastAsia="zh-CN"/>
              </w:rPr>
              <w:t>PP-LaCe-65Ce-</w:t>
            </w:r>
            <w:r>
              <w:rPr>
                <w:rFonts w:hint="default" w:ascii="Times New Roman" w:hAnsi="Times New Roman" w:cs="Times New Roman"/>
                <w:snapToGrid w:val="0"/>
                <w:color w:val="auto"/>
                <w:kern w:val="0"/>
                <w:sz w:val="18"/>
                <w:szCs w:val="18"/>
              </w:rPr>
              <w:t>C</w:t>
            </w:r>
            <w:r>
              <w:rPr>
                <w:rFonts w:hint="eastAsia" w:cs="Times New Roman"/>
                <w:snapToGrid w:val="0"/>
                <w:color w:val="auto"/>
                <w:kern w:val="0"/>
                <w:sz w:val="18"/>
                <w:szCs w:val="18"/>
                <w:lang w:val="en-US" w:eastAsia="zh-CN"/>
              </w:rPr>
              <w:t>三</w:t>
            </w:r>
            <w:r>
              <w:rPr>
                <w:rFonts w:hint="default" w:ascii="Times New Roman" w:hAnsi="Times New Roman" w:cs="Times New Roman"/>
                <w:snapToGrid w:val="0"/>
                <w:color w:val="auto"/>
                <w:kern w:val="0"/>
                <w:sz w:val="18"/>
                <w:szCs w:val="18"/>
              </w:rPr>
              <w:t>种</w:t>
            </w:r>
            <w:r>
              <w:rPr>
                <w:rFonts w:hint="eastAsia" w:cs="Times New Roman"/>
                <w:snapToGrid w:val="0"/>
                <w:color w:val="auto"/>
                <w:kern w:val="0"/>
                <w:sz w:val="18"/>
                <w:szCs w:val="18"/>
                <w:lang w:eastAsia="zh-CN"/>
              </w:rPr>
              <w:t>，</w:t>
            </w:r>
            <w:r>
              <w:rPr>
                <w:rFonts w:hint="eastAsia" w:cs="Times New Roman"/>
                <w:snapToGrid w:val="0"/>
                <w:color w:val="auto"/>
                <w:kern w:val="0"/>
                <w:sz w:val="18"/>
                <w:szCs w:val="18"/>
                <w:lang w:val="en-US" w:eastAsia="zh-CN"/>
              </w:rPr>
              <w:t>具体的化学成品和物理性能见下表</w:t>
            </w:r>
            <w:r>
              <w:rPr>
                <w:rFonts w:hint="default" w:ascii="Times New Roman" w:hAnsi="Times New Roman" w:cs="Times New Roman"/>
                <w:snapToGrid w:val="0"/>
                <w:color w:val="auto"/>
                <w:kern w:val="0"/>
                <w:sz w:val="18"/>
                <w:szCs w:val="18"/>
              </w:rPr>
              <w:t>。</w:t>
            </w:r>
          </w:p>
          <w:p w14:paraId="49373557">
            <w:pPr>
              <w:adjustRightInd w:val="0"/>
              <w:snapToGrid w:val="0"/>
              <w:spacing w:line="360" w:lineRule="auto"/>
              <w:jc w:val="center"/>
              <w:rPr>
                <w:rFonts w:hint="default" w:ascii="Times New Roman" w:hAnsi="Times New Roman" w:eastAsia="宋体" w:cs="Times New Roman"/>
                <w:snapToGrid w:val="0"/>
                <w:color w:val="auto"/>
                <w:kern w:val="0"/>
                <w:lang w:val="en-US" w:eastAsia="zh-CN"/>
              </w:rPr>
            </w:pPr>
            <w:r>
              <w:rPr>
                <w:rFonts w:hint="default" w:ascii="Times New Roman" w:hAnsi="Times New Roman" w:cs="Times New Roman"/>
                <w:b/>
                <w:color w:val="auto"/>
                <w:kern w:val="0"/>
              </w:rPr>
              <w:t>表2-</w:t>
            </w:r>
            <w:r>
              <w:rPr>
                <w:rFonts w:hint="eastAsia" w:cs="Times New Roman"/>
                <w:b/>
                <w:color w:val="auto"/>
                <w:kern w:val="0"/>
                <w:lang w:val="en-US" w:eastAsia="zh-CN"/>
              </w:rPr>
              <w:t>3</w:t>
            </w:r>
            <w:r>
              <w:rPr>
                <w:rFonts w:hint="default" w:ascii="Times New Roman" w:hAnsi="Times New Roman" w:cs="Times New Roman"/>
                <w:b/>
                <w:color w:val="auto"/>
                <w:kern w:val="0"/>
              </w:rPr>
              <w:t>项目产品</w:t>
            </w:r>
            <w:r>
              <w:rPr>
                <w:rFonts w:hint="eastAsia" w:cs="Times New Roman"/>
                <w:b/>
                <w:color w:val="auto"/>
                <w:kern w:val="0"/>
                <w:lang w:val="en-US" w:eastAsia="zh-CN"/>
              </w:rPr>
              <w:t>质量标准</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1"/>
              <w:gridCol w:w="1053"/>
              <w:gridCol w:w="1123"/>
              <w:gridCol w:w="1123"/>
              <w:gridCol w:w="1019"/>
              <w:gridCol w:w="1120"/>
              <w:gridCol w:w="1058"/>
              <w:gridCol w:w="1090"/>
            </w:tblGrid>
            <w:tr w14:paraId="14555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8" w:type="pct"/>
                  <w:vMerge w:val="restart"/>
                  <w:tcBorders>
                    <w:tl2br w:val="nil"/>
                    <w:tr2bl w:val="nil"/>
                  </w:tcBorders>
                  <w:vAlign w:val="center"/>
                </w:tcPr>
                <w:p w14:paraId="7E5BA54A">
                  <w:pPr>
                    <w:spacing w:line="360" w:lineRule="exact"/>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产品牌号</w:t>
                  </w:r>
                </w:p>
              </w:tc>
              <w:tc>
                <w:tcPr>
                  <w:tcW w:w="4511" w:type="pct"/>
                  <w:gridSpan w:val="7"/>
                  <w:tcBorders>
                    <w:tl2br w:val="nil"/>
                    <w:tr2bl w:val="nil"/>
                  </w:tcBorders>
                  <w:vAlign w:val="center"/>
                </w:tcPr>
                <w:p w14:paraId="4AFC9F2F">
                  <w:pPr>
                    <w:spacing w:line="360" w:lineRule="exact"/>
                    <w:jc w:val="center"/>
                    <w:rPr>
                      <w:rFonts w:hint="default" w:ascii="Times New Roman" w:hAnsi="Times New Roman" w:cs="Times New Roman"/>
                      <w:b/>
                      <w:color w:val="auto"/>
                      <w:sz w:val="18"/>
                      <w:szCs w:val="18"/>
                      <w:lang w:val="en-US" w:eastAsia="zh-CN"/>
                    </w:rPr>
                  </w:pPr>
                  <w:r>
                    <w:rPr>
                      <w:rFonts w:hint="default" w:ascii="Times New Roman" w:hAnsi="Times New Roman" w:cs="Times New Roman"/>
                      <w:b/>
                      <w:color w:val="auto"/>
                      <w:sz w:val="18"/>
                      <w:szCs w:val="18"/>
                      <w:lang w:val="en-US" w:eastAsia="zh-CN"/>
                    </w:rPr>
                    <w:t>化学成分(质量分数)%</w:t>
                  </w:r>
                </w:p>
              </w:tc>
            </w:tr>
            <w:tr w14:paraId="55556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88" w:type="pct"/>
                  <w:vMerge w:val="continue"/>
                  <w:tcBorders>
                    <w:tl2br w:val="nil"/>
                    <w:tr2bl w:val="nil"/>
                  </w:tcBorders>
                  <w:vAlign w:val="center"/>
                </w:tcPr>
                <w:p w14:paraId="15A49020">
                  <w:pPr>
                    <w:pStyle w:val="11"/>
                    <w:jc w:val="center"/>
                    <w:rPr>
                      <w:rFonts w:hint="default" w:ascii="Times New Roman" w:hAnsi="Times New Roman" w:cs="Times New Roman"/>
                      <w:color w:val="auto"/>
                      <w:sz w:val="18"/>
                      <w:szCs w:val="18"/>
                    </w:rPr>
                  </w:pPr>
                </w:p>
              </w:tc>
              <w:tc>
                <w:tcPr>
                  <w:tcW w:w="626" w:type="pct"/>
                  <w:tcBorders>
                    <w:tl2br w:val="nil"/>
                    <w:tr2bl w:val="nil"/>
                  </w:tcBorders>
                  <w:vAlign w:val="center"/>
                </w:tcPr>
                <w:p w14:paraId="111F5B8F">
                  <w:pPr>
                    <w:pStyle w:val="11"/>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REO</w:t>
                  </w:r>
                </w:p>
              </w:tc>
              <w:tc>
                <w:tcPr>
                  <w:tcW w:w="668" w:type="pct"/>
                  <w:tcBorders>
                    <w:tl2br w:val="nil"/>
                    <w:tr2bl w:val="nil"/>
                  </w:tcBorders>
                  <w:vAlign w:val="center"/>
                </w:tcPr>
                <w:p w14:paraId="054BE29F">
                  <w:pPr>
                    <w:pStyle w:val="11"/>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CeO</w:t>
                  </w:r>
                  <w:r>
                    <w:rPr>
                      <w:rFonts w:hint="default" w:ascii="Times New Roman" w:hAnsi="Times New Roman" w:cs="Times New Roman"/>
                      <w:color w:val="auto"/>
                      <w:sz w:val="18"/>
                      <w:szCs w:val="18"/>
                      <w:vertAlign w:val="subscript"/>
                      <w:lang w:val="en-US" w:eastAsia="zh-CN"/>
                    </w:rPr>
                    <w:t>2</w:t>
                  </w:r>
                  <w:r>
                    <w:rPr>
                      <w:rFonts w:hint="default" w:ascii="Times New Roman" w:hAnsi="Times New Roman" w:cs="Times New Roman"/>
                      <w:color w:val="auto"/>
                      <w:sz w:val="18"/>
                      <w:szCs w:val="18"/>
                      <w:lang w:val="en-US" w:eastAsia="zh-CN"/>
                    </w:rPr>
                    <w:t>/REO</w:t>
                  </w:r>
                </w:p>
              </w:tc>
              <w:tc>
                <w:tcPr>
                  <w:tcW w:w="668" w:type="pct"/>
                  <w:tcBorders>
                    <w:tl2br w:val="nil"/>
                    <w:tr2bl w:val="nil"/>
                  </w:tcBorders>
                  <w:vAlign w:val="center"/>
                </w:tcPr>
                <w:p w14:paraId="5A0C4C2D">
                  <w:pPr>
                    <w:pStyle w:val="11"/>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La</w:t>
                  </w:r>
                  <w:r>
                    <w:rPr>
                      <w:rFonts w:hint="eastAsia" w:ascii="Times New Roman" w:hAnsi="Times New Roman" w:cs="Times New Roman"/>
                      <w:color w:val="auto"/>
                      <w:sz w:val="18"/>
                      <w:szCs w:val="18"/>
                      <w:vertAlign w:val="subscript"/>
                      <w:lang w:val="en-US" w:eastAsia="zh-CN"/>
                    </w:rPr>
                    <w:t>2</w:t>
                  </w:r>
                  <w:r>
                    <w:rPr>
                      <w:rFonts w:hint="eastAsia" w:ascii="Times New Roman" w:hAnsi="Times New Roman" w:cs="Times New Roman"/>
                      <w:color w:val="auto"/>
                      <w:sz w:val="18"/>
                      <w:szCs w:val="18"/>
                      <w:lang w:val="en-US" w:eastAsia="zh-CN"/>
                    </w:rPr>
                    <w:t>O</w:t>
                  </w:r>
                  <w:r>
                    <w:rPr>
                      <w:rFonts w:hint="eastAsia" w:ascii="Times New Roman" w:hAnsi="Times New Roman" w:cs="Times New Roman"/>
                      <w:color w:val="auto"/>
                      <w:sz w:val="18"/>
                      <w:szCs w:val="18"/>
                      <w:vertAlign w:val="subscript"/>
                      <w:lang w:val="en-US" w:eastAsia="zh-CN"/>
                    </w:rPr>
                    <w:t>3</w:t>
                  </w:r>
                  <w:r>
                    <w:rPr>
                      <w:rFonts w:hint="eastAsia" w:ascii="Times New Roman" w:hAnsi="Times New Roman" w:cs="Times New Roman"/>
                      <w:color w:val="auto"/>
                      <w:sz w:val="18"/>
                      <w:szCs w:val="18"/>
                      <w:lang w:val="en-US" w:eastAsia="zh-CN"/>
                    </w:rPr>
                    <w:t>/REO</w:t>
                  </w:r>
                </w:p>
              </w:tc>
              <w:tc>
                <w:tcPr>
                  <w:tcW w:w="606" w:type="pct"/>
                  <w:tcBorders>
                    <w:tl2br w:val="nil"/>
                    <w:tr2bl w:val="nil"/>
                  </w:tcBorders>
                  <w:vAlign w:val="center"/>
                </w:tcPr>
                <w:p w14:paraId="72883F8F">
                  <w:pPr>
                    <w:pStyle w:val="11"/>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Pr</w:t>
                  </w:r>
                  <w:r>
                    <w:rPr>
                      <w:rFonts w:hint="eastAsia" w:ascii="Times New Roman" w:hAnsi="Times New Roman" w:cs="Times New Roman"/>
                      <w:color w:val="auto"/>
                      <w:sz w:val="18"/>
                      <w:szCs w:val="18"/>
                      <w:vertAlign w:val="subscript"/>
                      <w:lang w:val="en-US" w:eastAsia="zh-CN"/>
                    </w:rPr>
                    <w:t>6</w:t>
                  </w:r>
                  <w:r>
                    <w:rPr>
                      <w:rFonts w:hint="eastAsia" w:ascii="Times New Roman" w:hAnsi="Times New Roman" w:cs="Times New Roman"/>
                      <w:color w:val="auto"/>
                      <w:sz w:val="18"/>
                      <w:szCs w:val="18"/>
                      <w:lang w:val="en-US" w:eastAsia="zh-CN"/>
                    </w:rPr>
                    <w:t>O</w:t>
                  </w:r>
                  <w:r>
                    <w:rPr>
                      <w:rFonts w:hint="eastAsia" w:ascii="Times New Roman" w:hAnsi="Times New Roman" w:cs="Times New Roman"/>
                      <w:color w:val="auto"/>
                      <w:sz w:val="18"/>
                      <w:szCs w:val="18"/>
                      <w:vertAlign w:val="subscript"/>
                      <w:lang w:val="en-US" w:eastAsia="zh-CN"/>
                    </w:rPr>
                    <w:t>11</w:t>
                  </w:r>
                  <w:r>
                    <w:rPr>
                      <w:rFonts w:hint="eastAsia" w:ascii="Times New Roman" w:hAnsi="Times New Roman" w:cs="Times New Roman"/>
                      <w:color w:val="auto"/>
                      <w:sz w:val="18"/>
                      <w:szCs w:val="18"/>
                      <w:lang w:val="en-US" w:eastAsia="zh-CN"/>
                    </w:rPr>
                    <w:t>/REO</w:t>
                  </w:r>
                </w:p>
              </w:tc>
              <w:tc>
                <w:tcPr>
                  <w:tcW w:w="666" w:type="pct"/>
                  <w:tcBorders>
                    <w:tl2br w:val="nil"/>
                    <w:tr2bl w:val="nil"/>
                  </w:tcBorders>
                  <w:vAlign w:val="center"/>
                </w:tcPr>
                <w:p w14:paraId="38EAFCC0">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F</w:t>
                  </w:r>
                </w:p>
              </w:tc>
              <w:tc>
                <w:tcPr>
                  <w:tcW w:w="629" w:type="pct"/>
                  <w:tcBorders>
                    <w:tl2br w:val="nil"/>
                    <w:tr2bl w:val="nil"/>
                  </w:tcBorders>
                  <w:vAlign w:val="center"/>
                </w:tcPr>
                <w:p w14:paraId="014DB1E3">
                  <w:pPr>
                    <w:pStyle w:val="11"/>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灼减量</w:t>
                  </w:r>
                </w:p>
                <w:p w14:paraId="293BAF07">
                  <w:pPr>
                    <w:pStyle w:val="11"/>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w:t>
                  </w:r>
                </w:p>
              </w:tc>
              <w:tc>
                <w:tcPr>
                  <w:tcW w:w="646" w:type="pct"/>
                  <w:tcBorders>
                    <w:tl2br w:val="nil"/>
                    <w:tr2bl w:val="nil"/>
                  </w:tcBorders>
                  <w:vAlign w:val="center"/>
                </w:tcPr>
                <w:p w14:paraId="03EDF2E8">
                  <w:pPr>
                    <w:pStyle w:val="11"/>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水分量</w:t>
                  </w:r>
                </w:p>
                <w:p w14:paraId="17C1666C">
                  <w:pPr>
                    <w:pStyle w:val="11"/>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w:t>
                  </w:r>
                </w:p>
              </w:tc>
            </w:tr>
            <w:tr w14:paraId="62CD2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88" w:type="pct"/>
                  <w:tcBorders>
                    <w:tl2br w:val="nil"/>
                    <w:tr2bl w:val="nil"/>
                  </w:tcBorders>
                  <w:vAlign w:val="center"/>
                </w:tcPr>
                <w:p w14:paraId="5E918E59">
                  <w:pPr>
                    <w:pStyle w:val="11"/>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PP-LaCe-65Ce-A</w:t>
                  </w:r>
                </w:p>
              </w:tc>
              <w:tc>
                <w:tcPr>
                  <w:tcW w:w="626" w:type="pct"/>
                  <w:vMerge w:val="restart"/>
                  <w:tcBorders>
                    <w:tl2br w:val="nil"/>
                    <w:tr2bl w:val="nil"/>
                  </w:tcBorders>
                  <w:vAlign w:val="center"/>
                </w:tcPr>
                <w:p w14:paraId="06019000">
                  <w:pPr>
                    <w:pStyle w:val="11"/>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≥88.00</w:t>
                  </w:r>
                </w:p>
              </w:tc>
              <w:tc>
                <w:tcPr>
                  <w:tcW w:w="668" w:type="pct"/>
                  <w:vMerge w:val="restart"/>
                  <w:tcBorders>
                    <w:tl2br w:val="nil"/>
                    <w:tr2bl w:val="nil"/>
                  </w:tcBorders>
                  <w:vAlign w:val="center"/>
                </w:tcPr>
                <w:p w14:paraId="1FEF0678">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60.00~70.00</w:t>
                  </w:r>
                </w:p>
              </w:tc>
              <w:tc>
                <w:tcPr>
                  <w:tcW w:w="668" w:type="pct"/>
                  <w:vMerge w:val="restart"/>
                  <w:tcBorders>
                    <w:tl2br w:val="nil"/>
                    <w:tr2bl w:val="nil"/>
                  </w:tcBorders>
                  <w:vAlign w:val="center"/>
                </w:tcPr>
                <w:p w14:paraId="62E51264">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30.00~40.90</w:t>
                  </w:r>
                </w:p>
              </w:tc>
              <w:tc>
                <w:tcPr>
                  <w:tcW w:w="606" w:type="pct"/>
                  <w:vMerge w:val="restart"/>
                  <w:tcBorders>
                    <w:tl2br w:val="nil"/>
                    <w:tr2bl w:val="nil"/>
                  </w:tcBorders>
                  <w:vAlign w:val="center"/>
                </w:tcPr>
                <w:p w14:paraId="15F6A46D">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≤0.10</w:t>
                  </w:r>
                </w:p>
              </w:tc>
              <w:tc>
                <w:tcPr>
                  <w:tcW w:w="666" w:type="pct"/>
                  <w:vMerge w:val="restart"/>
                  <w:tcBorders>
                    <w:tl2br w:val="nil"/>
                    <w:tr2bl w:val="nil"/>
                  </w:tcBorders>
                  <w:vAlign w:val="center"/>
                </w:tcPr>
                <w:p w14:paraId="4C3D0123">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≤7.00</w:t>
                  </w:r>
                </w:p>
              </w:tc>
              <w:tc>
                <w:tcPr>
                  <w:tcW w:w="629" w:type="pct"/>
                  <w:vMerge w:val="restart"/>
                  <w:tcBorders>
                    <w:tl2br w:val="nil"/>
                    <w:tr2bl w:val="nil"/>
                  </w:tcBorders>
                  <w:vAlign w:val="center"/>
                </w:tcPr>
                <w:p w14:paraId="69473B4F">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≤5.00</w:t>
                  </w:r>
                </w:p>
              </w:tc>
              <w:tc>
                <w:tcPr>
                  <w:tcW w:w="646" w:type="pct"/>
                  <w:vMerge w:val="restart"/>
                  <w:tcBorders>
                    <w:tl2br w:val="nil"/>
                    <w:tr2bl w:val="nil"/>
                  </w:tcBorders>
                  <w:vAlign w:val="center"/>
                </w:tcPr>
                <w:p w14:paraId="7781467D">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≤3.00</w:t>
                  </w:r>
                </w:p>
              </w:tc>
            </w:tr>
            <w:tr w14:paraId="28269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3" w:hRule="atLeast"/>
                <w:jc w:val="center"/>
              </w:trPr>
              <w:tc>
                <w:tcPr>
                  <w:tcW w:w="488" w:type="pct"/>
                  <w:tcBorders>
                    <w:tl2br w:val="nil"/>
                    <w:tr2bl w:val="nil"/>
                  </w:tcBorders>
                  <w:shd w:val="clear" w:color="auto" w:fill="auto"/>
                  <w:vAlign w:val="center"/>
                </w:tcPr>
                <w:p w14:paraId="22D0B77B">
                  <w:pPr>
                    <w:pStyle w:val="11"/>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PP-LaCe-65Ce-</w:t>
                  </w:r>
                  <w:r>
                    <w:rPr>
                      <w:rFonts w:hint="eastAsia" w:ascii="Times New Roman" w:hAnsi="Times New Roman" w:cs="Times New Roman"/>
                      <w:color w:val="auto"/>
                      <w:sz w:val="18"/>
                      <w:szCs w:val="18"/>
                      <w:lang w:val="en-US" w:eastAsia="zh-CN"/>
                    </w:rPr>
                    <w:t>B</w:t>
                  </w:r>
                </w:p>
              </w:tc>
              <w:tc>
                <w:tcPr>
                  <w:tcW w:w="626" w:type="pct"/>
                  <w:vMerge w:val="continue"/>
                  <w:tcBorders>
                    <w:tl2br w:val="nil"/>
                    <w:tr2bl w:val="nil"/>
                  </w:tcBorders>
                  <w:vAlign w:val="center"/>
                </w:tcPr>
                <w:p w14:paraId="2545DFAD">
                  <w:pPr>
                    <w:pStyle w:val="11"/>
                    <w:jc w:val="center"/>
                    <w:rPr>
                      <w:rFonts w:hint="default" w:ascii="Times New Roman" w:hAnsi="Times New Roman" w:eastAsia="宋体" w:cs="Times New Roman"/>
                      <w:color w:val="auto"/>
                      <w:sz w:val="18"/>
                      <w:szCs w:val="18"/>
                      <w:lang w:eastAsia="zh-CN"/>
                    </w:rPr>
                  </w:pPr>
                </w:p>
              </w:tc>
              <w:tc>
                <w:tcPr>
                  <w:tcW w:w="668" w:type="pct"/>
                  <w:vMerge w:val="continue"/>
                  <w:tcBorders>
                    <w:tl2br w:val="nil"/>
                    <w:tr2bl w:val="nil"/>
                  </w:tcBorders>
                  <w:vAlign w:val="center"/>
                </w:tcPr>
                <w:p w14:paraId="1D72C49E">
                  <w:pPr>
                    <w:pStyle w:val="11"/>
                    <w:jc w:val="center"/>
                    <w:rPr>
                      <w:rFonts w:hint="default" w:ascii="Times New Roman" w:hAnsi="Times New Roman" w:cs="Times New Roman"/>
                      <w:color w:val="auto"/>
                      <w:sz w:val="18"/>
                      <w:szCs w:val="18"/>
                      <w:lang w:val="en-US" w:eastAsia="zh-CN"/>
                    </w:rPr>
                  </w:pPr>
                </w:p>
              </w:tc>
              <w:tc>
                <w:tcPr>
                  <w:tcW w:w="668" w:type="pct"/>
                  <w:vMerge w:val="continue"/>
                  <w:tcBorders>
                    <w:tl2br w:val="nil"/>
                    <w:tr2bl w:val="nil"/>
                  </w:tcBorders>
                  <w:vAlign w:val="center"/>
                </w:tcPr>
                <w:p w14:paraId="732608AC">
                  <w:pPr>
                    <w:pStyle w:val="11"/>
                    <w:jc w:val="center"/>
                    <w:rPr>
                      <w:rFonts w:hint="eastAsia" w:ascii="Times New Roman" w:hAnsi="Times New Roman" w:cs="Times New Roman"/>
                      <w:color w:val="auto"/>
                      <w:sz w:val="18"/>
                      <w:szCs w:val="18"/>
                      <w:lang w:val="en-US" w:eastAsia="zh-CN"/>
                    </w:rPr>
                  </w:pPr>
                </w:p>
              </w:tc>
              <w:tc>
                <w:tcPr>
                  <w:tcW w:w="606" w:type="pct"/>
                  <w:vMerge w:val="continue"/>
                  <w:tcBorders>
                    <w:tl2br w:val="nil"/>
                    <w:tr2bl w:val="nil"/>
                  </w:tcBorders>
                  <w:vAlign w:val="center"/>
                </w:tcPr>
                <w:p w14:paraId="13AFDC7E">
                  <w:pPr>
                    <w:pStyle w:val="11"/>
                    <w:jc w:val="center"/>
                    <w:rPr>
                      <w:rFonts w:hint="eastAsia" w:ascii="Times New Roman" w:hAnsi="Times New Roman" w:cs="Times New Roman"/>
                      <w:color w:val="auto"/>
                      <w:sz w:val="18"/>
                      <w:szCs w:val="18"/>
                      <w:lang w:val="en-US" w:eastAsia="zh-CN"/>
                    </w:rPr>
                  </w:pPr>
                </w:p>
              </w:tc>
              <w:tc>
                <w:tcPr>
                  <w:tcW w:w="666" w:type="pct"/>
                  <w:vMerge w:val="continue"/>
                  <w:tcBorders>
                    <w:tl2br w:val="nil"/>
                    <w:tr2bl w:val="nil"/>
                  </w:tcBorders>
                  <w:vAlign w:val="center"/>
                </w:tcPr>
                <w:p w14:paraId="0237012E">
                  <w:pPr>
                    <w:pStyle w:val="11"/>
                    <w:jc w:val="center"/>
                    <w:rPr>
                      <w:rFonts w:hint="eastAsia" w:ascii="Times New Roman" w:hAnsi="Times New Roman" w:cs="Times New Roman"/>
                      <w:color w:val="auto"/>
                      <w:sz w:val="18"/>
                      <w:szCs w:val="18"/>
                      <w:lang w:val="en-US" w:eastAsia="zh-CN"/>
                    </w:rPr>
                  </w:pPr>
                </w:p>
              </w:tc>
              <w:tc>
                <w:tcPr>
                  <w:tcW w:w="629" w:type="pct"/>
                  <w:vMerge w:val="continue"/>
                  <w:tcBorders>
                    <w:tl2br w:val="nil"/>
                    <w:tr2bl w:val="nil"/>
                  </w:tcBorders>
                  <w:vAlign w:val="center"/>
                </w:tcPr>
                <w:p w14:paraId="7C479C24">
                  <w:pPr>
                    <w:pStyle w:val="11"/>
                    <w:jc w:val="center"/>
                    <w:rPr>
                      <w:rFonts w:hint="eastAsia" w:ascii="Times New Roman" w:hAnsi="Times New Roman" w:cs="Times New Roman"/>
                      <w:color w:val="auto"/>
                      <w:sz w:val="18"/>
                      <w:szCs w:val="18"/>
                      <w:lang w:val="en-US" w:eastAsia="zh-CN"/>
                    </w:rPr>
                  </w:pPr>
                </w:p>
              </w:tc>
              <w:tc>
                <w:tcPr>
                  <w:tcW w:w="646" w:type="pct"/>
                  <w:vMerge w:val="continue"/>
                  <w:tcBorders>
                    <w:tl2br w:val="nil"/>
                    <w:tr2bl w:val="nil"/>
                  </w:tcBorders>
                  <w:vAlign w:val="center"/>
                </w:tcPr>
                <w:p w14:paraId="3998ACE4">
                  <w:pPr>
                    <w:pStyle w:val="11"/>
                    <w:jc w:val="center"/>
                    <w:rPr>
                      <w:rFonts w:hint="eastAsia" w:ascii="Times New Roman" w:hAnsi="Times New Roman" w:cs="Times New Roman"/>
                      <w:color w:val="auto"/>
                      <w:sz w:val="18"/>
                      <w:szCs w:val="18"/>
                      <w:lang w:val="en-US" w:eastAsia="zh-CN"/>
                    </w:rPr>
                  </w:pPr>
                </w:p>
              </w:tc>
            </w:tr>
            <w:tr w14:paraId="6DD45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88" w:type="pct"/>
                  <w:tcBorders>
                    <w:tl2br w:val="nil"/>
                    <w:tr2bl w:val="nil"/>
                  </w:tcBorders>
                  <w:shd w:val="clear" w:color="auto" w:fill="auto"/>
                  <w:vAlign w:val="center"/>
                </w:tcPr>
                <w:p w14:paraId="665DC647">
                  <w:pPr>
                    <w:pStyle w:val="11"/>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PP-LaCe-65Ce-</w:t>
                  </w:r>
                  <w:r>
                    <w:rPr>
                      <w:rFonts w:hint="eastAsia" w:ascii="Times New Roman" w:hAnsi="Times New Roman" w:cs="Times New Roman"/>
                      <w:color w:val="auto"/>
                      <w:sz w:val="18"/>
                      <w:szCs w:val="18"/>
                      <w:lang w:val="en-US" w:eastAsia="zh-CN"/>
                    </w:rPr>
                    <w:t>C</w:t>
                  </w:r>
                </w:p>
              </w:tc>
              <w:tc>
                <w:tcPr>
                  <w:tcW w:w="626" w:type="pct"/>
                  <w:vMerge w:val="continue"/>
                  <w:tcBorders>
                    <w:tl2br w:val="nil"/>
                    <w:tr2bl w:val="nil"/>
                  </w:tcBorders>
                  <w:vAlign w:val="center"/>
                </w:tcPr>
                <w:p w14:paraId="6901925E">
                  <w:pPr>
                    <w:pStyle w:val="11"/>
                    <w:jc w:val="center"/>
                    <w:rPr>
                      <w:rFonts w:hint="default" w:ascii="Times New Roman" w:hAnsi="Times New Roman" w:eastAsia="宋体" w:cs="Times New Roman"/>
                      <w:color w:val="auto"/>
                      <w:sz w:val="18"/>
                      <w:szCs w:val="18"/>
                      <w:lang w:eastAsia="zh-CN"/>
                    </w:rPr>
                  </w:pPr>
                </w:p>
              </w:tc>
              <w:tc>
                <w:tcPr>
                  <w:tcW w:w="668" w:type="pct"/>
                  <w:vMerge w:val="continue"/>
                  <w:tcBorders>
                    <w:tl2br w:val="nil"/>
                    <w:tr2bl w:val="nil"/>
                  </w:tcBorders>
                  <w:vAlign w:val="center"/>
                </w:tcPr>
                <w:p w14:paraId="7A938DF1">
                  <w:pPr>
                    <w:pStyle w:val="11"/>
                    <w:jc w:val="center"/>
                    <w:rPr>
                      <w:rFonts w:hint="default" w:ascii="Times New Roman" w:hAnsi="Times New Roman" w:cs="Times New Roman"/>
                      <w:color w:val="auto"/>
                      <w:sz w:val="18"/>
                      <w:szCs w:val="18"/>
                      <w:lang w:val="en-US" w:eastAsia="zh-CN"/>
                    </w:rPr>
                  </w:pPr>
                </w:p>
              </w:tc>
              <w:tc>
                <w:tcPr>
                  <w:tcW w:w="668" w:type="pct"/>
                  <w:vMerge w:val="continue"/>
                  <w:tcBorders>
                    <w:tl2br w:val="nil"/>
                    <w:tr2bl w:val="nil"/>
                  </w:tcBorders>
                  <w:vAlign w:val="center"/>
                </w:tcPr>
                <w:p w14:paraId="0E4FC447">
                  <w:pPr>
                    <w:pStyle w:val="11"/>
                    <w:jc w:val="center"/>
                    <w:rPr>
                      <w:rFonts w:hint="eastAsia" w:ascii="Times New Roman" w:hAnsi="Times New Roman" w:cs="Times New Roman"/>
                      <w:color w:val="auto"/>
                      <w:sz w:val="18"/>
                      <w:szCs w:val="18"/>
                      <w:lang w:val="en-US" w:eastAsia="zh-CN"/>
                    </w:rPr>
                  </w:pPr>
                </w:p>
              </w:tc>
              <w:tc>
                <w:tcPr>
                  <w:tcW w:w="606" w:type="pct"/>
                  <w:vMerge w:val="continue"/>
                  <w:tcBorders>
                    <w:tl2br w:val="nil"/>
                    <w:tr2bl w:val="nil"/>
                  </w:tcBorders>
                  <w:vAlign w:val="center"/>
                </w:tcPr>
                <w:p w14:paraId="7132B679">
                  <w:pPr>
                    <w:pStyle w:val="11"/>
                    <w:jc w:val="center"/>
                    <w:rPr>
                      <w:rFonts w:hint="eastAsia" w:ascii="Times New Roman" w:hAnsi="Times New Roman" w:cs="Times New Roman"/>
                      <w:color w:val="auto"/>
                      <w:sz w:val="18"/>
                      <w:szCs w:val="18"/>
                      <w:lang w:val="en-US" w:eastAsia="zh-CN"/>
                    </w:rPr>
                  </w:pPr>
                </w:p>
              </w:tc>
              <w:tc>
                <w:tcPr>
                  <w:tcW w:w="666" w:type="pct"/>
                  <w:vMerge w:val="continue"/>
                  <w:tcBorders>
                    <w:tl2br w:val="nil"/>
                    <w:tr2bl w:val="nil"/>
                  </w:tcBorders>
                  <w:vAlign w:val="center"/>
                </w:tcPr>
                <w:p w14:paraId="645BBEFA">
                  <w:pPr>
                    <w:pStyle w:val="11"/>
                    <w:jc w:val="center"/>
                    <w:rPr>
                      <w:rFonts w:hint="eastAsia" w:ascii="Times New Roman" w:hAnsi="Times New Roman" w:cs="Times New Roman"/>
                      <w:color w:val="auto"/>
                      <w:sz w:val="18"/>
                      <w:szCs w:val="18"/>
                      <w:lang w:val="en-US" w:eastAsia="zh-CN"/>
                    </w:rPr>
                  </w:pPr>
                </w:p>
              </w:tc>
              <w:tc>
                <w:tcPr>
                  <w:tcW w:w="629" w:type="pct"/>
                  <w:vMerge w:val="continue"/>
                  <w:tcBorders>
                    <w:tl2br w:val="nil"/>
                    <w:tr2bl w:val="nil"/>
                  </w:tcBorders>
                  <w:vAlign w:val="center"/>
                </w:tcPr>
                <w:p w14:paraId="79AB75AF">
                  <w:pPr>
                    <w:pStyle w:val="11"/>
                    <w:jc w:val="center"/>
                    <w:rPr>
                      <w:rFonts w:hint="eastAsia" w:ascii="Times New Roman" w:hAnsi="Times New Roman" w:cs="Times New Roman"/>
                      <w:color w:val="auto"/>
                      <w:sz w:val="18"/>
                      <w:szCs w:val="18"/>
                      <w:lang w:val="en-US" w:eastAsia="zh-CN"/>
                    </w:rPr>
                  </w:pPr>
                </w:p>
              </w:tc>
              <w:tc>
                <w:tcPr>
                  <w:tcW w:w="646" w:type="pct"/>
                  <w:vMerge w:val="continue"/>
                  <w:tcBorders>
                    <w:tl2br w:val="nil"/>
                    <w:tr2bl w:val="nil"/>
                  </w:tcBorders>
                  <w:vAlign w:val="center"/>
                </w:tcPr>
                <w:p w14:paraId="19B9BEF2">
                  <w:pPr>
                    <w:pStyle w:val="11"/>
                    <w:jc w:val="center"/>
                    <w:rPr>
                      <w:rFonts w:hint="eastAsia" w:ascii="Times New Roman" w:hAnsi="Times New Roman" w:cs="Times New Roman"/>
                      <w:color w:val="auto"/>
                      <w:sz w:val="18"/>
                      <w:szCs w:val="18"/>
                      <w:lang w:val="en-US" w:eastAsia="zh-CN"/>
                    </w:rPr>
                  </w:pPr>
                </w:p>
              </w:tc>
            </w:tr>
          </w:tbl>
          <w:p w14:paraId="2CABF125">
            <w:pPr>
              <w:adjustRightInd w:val="0"/>
              <w:snapToGrid w:val="0"/>
              <w:spacing w:line="360" w:lineRule="auto"/>
              <w:jc w:val="center"/>
              <w:rPr>
                <w:rFonts w:hint="default" w:ascii="Times New Roman" w:hAnsi="Times New Roman" w:cs="Times New Roman"/>
                <w:b/>
                <w:color w:val="auto"/>
                <w:kern w:val="0"/>
              </w:rPr>
            </w:pPr>
          </w:p>
          <w:p w14:paraId="3734E2C2">
            <w:pPr>
              <w:adjustRightInd w:val="0"/>
              <w:snapToGrid w:val="0"/>
              <w:spacing w:line="360" w:lineRule="auto"/>
              <w:jc w:val="center"/>
              <w:rPr>
                <w:rFonts w:hint="default" w:ascii="Times New Roman" w:hAnsi="Times New Roman" w:cs="Times New Roman"/>
                <w:b/>
                <w:color w:val="auto"/>
                <w:kern w:val="0"/>
              </w:rPr>
            </w:pPr>
          </w:p>
          <w:p w14:paraId="715DBBCE">
            <w:pPr>
              <w:adjustRightInd w:val="0"/>
              <w:snapToGrid w:val="0"/>
              <w:spacing w:line="360" w:lineRule="auto"/>
              <w:jc w:val="center"/>
              <w:rPr>
                <w:rFonts w:hint="default" w:ascii="Times New Roman" w:hAnsi="Times New Roman" w:eastAsia="宋体" w:cs="Times New Roman"/>
                <w:snapToGrid w:val="0"/>
                <w:color w:val="auto"/>
                <w:kern w:val="0"/>
                <w:lang w:val="en-US" w:eastAsia="zh-CN"/>
              </w:rPr>
            </w:pPr>
            <w:r>
              <w:rPr>
                <w:rFonts w:hint="default" w:ascii="Times New Roman" w:hAnsi="Times New Roman" w:cs="Times New Roman"/>
                <w:b/>
                <w:color w:val="auto"/>
                <w:kern w:val="0"/>
              </w:rPr>
              <w:t>表2-</w:t>
            </w:r>
            <w:r>
              <w:rPr>
                <w:rFonts w:hint="eastAsia" w:cs="Times New Roman"/>
                <w:b/>
                <w:color w:val="auto"/>
                <w:kern w:val="0"/>
                <w:lang w:val="en-US" w:eastAsia="zh-CN"/>
              </w:rPr>
              <w:t>4</w:t>
            </w:r>
            <w:r>
              <w:rPr>
                <w:rFonts w:hint="default" w:ascii="Times New Roman" w:hAnsi="Times New Roman" w:cs="Times New Roman"/>
                <w:b/>
                <w:color w:val="auto"/>
                <w:kern w:val="0"/>
              </w:rPr>
              <w:t>项目产品</w:t>
            </w:r>
            <w:r>
              <w:rPr>
                <w:rFonts w:hint="eastAsia" w:cs="Times New Roman"/>
                <w:b/>
                <w:color w:val="auto"/>
                <w:kern w:val="0"/>
                <w:lang w:val="en-US" w:eastAsia="zh-CN"/>
              </w:rPr>
              <w:t>物理性能</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9"/>
              <w:gridCol w:w="1091"/>
              <w:gridCol w:w="1068"/>
              <w:gridCol w:w="1186"/>
              <w:gridCol w:w="1381"/>
              <w:gridCol w:w="1293"/>
              <w:gridCol w:w="1009"/>
            </w:tblGrid>
            <w:tr w14:paraId="63962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0" w:type="pct"/>
                  <w:vMerge w:val="restart"/>
                  <w:tcBorders>
                    <w:tl2br w:val="nil"/>
                    <w:tr2bl w:val="nil"/>
                  </w:tcBorders>
                  <w:vAlign w:val="center"/>
                </w:tcPr>
                <w:p w14:paraId="5C2CCA6C">
                  <w:pPr>
                    <w:spacing w:line="360" w:lineRule="exact"/>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产品牌号</w:t>
                  </w:r>
                </w:p>
              </w:tc>
              <w:tc>
                <w:tcPr>
                  <w:tcW w:w="4179" w:type="pct"/>
                  <w:gridSpan w:val="6"/>
                  <w:tcBorders>
                    <w:tl2br w:val="nil"/>
                    <w:tr2bl w:val="nil"/>
                  </w:tcBorders>
                  <w:vAlign w:val="center"/>
                </w:tcPr>
                <w:p w14:paraId="61597103">
                  <w:pPr>
                    <w:spacing w:line="360" w:lineRule="exact"/>
                    <w:jc w:val="center"/>
                    <w:rPr>
                      <w:rFonts w:hint="default" w:ascii="Times New Roman" w:hAnsi="Times New Roman" w:cs="Times New Roman"/>
                      <w:b/>
                      <w:color w:val="auto"/>
                      <w:sz w:val="18"/>
                      <w:szCs w:val="18"/>
                      <w:lang w:val="en-US" w:eastAsia="zh-CN"/>
                    </w:rPr>
                  </w:pPr>
                  <w:r>
                    <w:rPr>
                      <w:rFonts w:hint="default" w:ascii="Times New Roman" w:hAnsi="Times New Roman" w:cs="Times New Roman"/>
                      <w:b/>
                      <w:color w:val="auto"/>
                      <w:sz w:val="18"/>
                      <w:szCs w:val="18"/>
                      <w:lang w:val="en-US" w:eastAsia="zh-CN"/>
                    </w:rPr>
                    <w:t>物理性能</w:t>
                  </w:r>
                </w:p>
              </w:tc>
            </w:tr>
            <w:tr w14:paraId="02E69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820" w:type="pct"/>
                  <w:vMerge w:val="continue"/>
                  <w:tcBorders>
                    <w:tl2br w:val="nil"/>
                    <w:tr2bl w:val="nil"/>
                  </w:tcBorders>
                  <w:vAlign w:val="center"/>
                </w:tcPr>
                <w:p w14:paraId="583CBD80">
                  <w:pPr>
                    <w:pStyle w:val="11"/>
                    <w:jc w:val="center"/>
                    <w:rPr>
                      <w:rFonts w:hint="default" w:ascii="Times New Roman" w:hAnsi="Times New Roman" w:cs="Times New Roman"/>
                      <w:color w:val="auto"/>
                      <w:sz w:val="18"/>
                      <w:szCs w:val="18"/>
                    </w:rPr>
                  </w:pPr>
                </w:p>
              </w:tc>
              <w:tc>
                <w:tcPr>
                  <w:tcW w:w="648" w:type="pct"/>
                  <w:vMerge w:val="restart"/>
                  <w:tcBorders>
                    <w:tl2br w:val="nil"/>
                    <w:tr2bl w:val="nil"/>
                  </w:tcBorders>
                  <w:vAlign w:val="center"/>
                </w:tcPr>
                <w:p w14:paraId="1BB45C94">
                  <w:pPr>
                    <w:pStyle w:val="11"/>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中心粒径</w:t>
                  </w:r>
                </w:p>
                <w:p w14:paraId="6A2B1FCA">
                  <w:pPr>
                    <w:pStyle w:val="11"/>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D</w:t>
                  </w:r>
                  <w:r>
                    <w:rPr>
                      <w:rFonts w:hint="default" w:ascii="Times New Roman" w:hAnsi="Times New Roman" w:eastAsia="宋体" w:cs="Times New Roman"/>
                      <w:color w:val="auto"/>
                      <w:sz w:val="18"/>
                      <w:szCs w:val="18"/>
                      <w:vertAlign w:val="subscript"/>
                      <w:lang w:val="en-US" w:eastAsia="zh-CN"/>
                    </w:rPr>
                    <w:t>50</w:t>
                  </w:r>
                </w:p>
                <w:p w14:paraId="5AF97B0D">
                  <w:pPr>
                    <w:pStyle w:val="11"/>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μm</w:t>
                  </w:r>
                </w:p>
              </w:tc>
              <w:tc>
                <w:tcPr>
                  <w:tcW w:w="635" w:type="pct"/>
                  <w:vMerge w:val="restart"/>
                  <w:tcBorders>
                    <w:tl2br w:val="nil"/>
                    <w:tr2bl w:val="nil"/>
                  </w:tcBorders>
                  <w:vAlign w:val="center"/>
                </w:tcPr>
                <w:p w14:paraId="5557C885">
                  <w:pPr>
                    <w:pStyle w:val="11"/>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 xml:space="preserve">最大粒径 </w:t>
                  </w:r>
                </w:p>
                <w:p w14:paraId="1DD63E92">
                  <w:pPr>
                    <w:pStyle w:val="11"/>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D</w:t>
                  </w:r>
                  <w:r>
                    <w:rPr>
                      <w:rFonts w:hint="default" w:ascii="Times New Roman" w:hAnsi="Times New Roman" w:cs="Times New Roman"/>
                      <w:color w:val="auto"/>
                      <w:sz w:val="18"/>
                      <w:szCs w:val="18"/>
                      <w:vertAlign w:val="subscript"/>
                      <w:lang w:val="en-US" w:eastAsia="zh-CN"/>
                    </w:rPr>
                    <w:t xml:space="preserve">100 </w:t>
                  </w:r>
                </w:p>
                <w:p w14:paraId="406B1877">
                  <w:pPr>
                    <w:pStyle w:val="11"/>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μm</w:t>
                  </w:r>
                </w:p>
              </w:tc>
              <w:tc>
                <w:tcPr>
                  <w:tcW w:w="705" w:type="pct"/>
                  <w:vMerge w:val="restart"/>
                  <w:tcBorders>
                    <w:tl2br w:val="nil"/>
                    <w:tr2bl w:val="nil"/>
                  </w:tcBorders>
                  <w:vAlign w:val="center"/>
                </w:tcPr>
                <w:p w14:paraId="7F11A99C">
                  <w:pPr>
                    <w:pStyle w:val="11"/>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松装密度</w:t>
                  </w:r>
                </w:p>
                <w:p w14:paraId="1F6AC101">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g/cm</w:t>
                  </w:r>
                  <w:r>
                    <w:rPr>
                      <w:rFonts w:hint="eastAsia" w:ascii="Times New Roman" w:hAnsi="Times New Roman" w:cs="Times New Roman"/>
                      <w:color w:val="auto"/>
                      <w:sz w:val="18"/>
                      <w:szCs w:val="18"/>
                      <w:vertAlign w:val="superscript"/>
                      <w:lang w:val="en-US" w:eastAsia="zh-CN"/>
                    </w:rPr>
                    <w:t>3</w:t>
                  </w:r>
                </w:p>
              </w:tc>
              <w:tc>
                <w:tcPr>
                  <w:tcW w:w="821" w:type="pct"/>
                  <w:vMerge w:val="restart"/>
                  <w:tcBorders>
                    <w:tl2br w:val="nil"/>
                    <w:tr2bl w:val="nil"/>
                  </w:tcBorders>
                  <w:vAlign w:val="center"/>
                </w:tcPr>
                <w:p w14:paraId="33E65D27">
                  <w:pPr>
                    <w:pStyle w:val="11"/>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比表面积</w:t>
                  </w:r>
                </w:p>
                <w:p w14:paraId="2B670CBF">
                  <w:pPr>
                    <w:pStyle w:val="11"/>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m</w:t>
                  </w:r>
                  <w:r>
                    <w:rPr>
                      <w:rFonts w:hint="eastAsia" w:ascii="Times New Roman" w:hAnsi="Times New Roman" w:cs="Times New Roman"/>
                      <w:color w:val="auto"/>
                      <w:sz w:val="18"/>
                      <w:szCs w:val="18"/>
                      <w:vertAlign w:val="superscript"/>
                      <w:lang w:val="en-US" w:eastAsia="zh-CN"/>
                    </w:rPr>
                    <w:t>2</w:t>
                  </w:r>
                  <w:r>
                    <w:rPr>
                      <w:rFonts w:hint="eastAsia" w:ascii="Times New Roman" w:hAnsi="Times New Roman" w:cs="Times New Roman"/>
                      <w:color w:val="auto"/>
                      <w:sz w:val="18"/>
                      <w:szCs w:val="18"/>
                      <w:lang w:val="en-US" w:eastAsia="zh-CN"/>
                    </w:rPr>
                    <w:t>/g</w:t>
                  </w:r>
                </w:p>
              </w:tc>
              <w:tc>
                <w:tcPr>
                  <w:tcW w:w="1369" w:type="pct"/>
                  <w:gridSpan w:val="2"/>
                  <w:tcBorders>
                    <w:tl2br w:val="nil"/>
                    <w:tr2bl w:val="nil"/>
                  </w:tcBorders>
                  <w:vAlign w:val="center"/>
                </w:tcPr>
                <w:p w14:paraId="4A550C4E">
                  <w:pPr>
                    <w:pStyle w:val="11"/>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研磨效果</w:t>
                  </w:r>
                </w:p>
              </w:tc>
            </w:tr>
            <w:tr w14:paraId="66425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820" w:type="pct"/>
                  <w:vMerge w:val="continue"/>
                  <w:tcBorders>
                    <w:tl2br w:val="nil"/>
                    <w:tr2bl w:val="nil"/>
                  </w:tcBorders>
                  <w:vAlign w:val="center"/>
                </w:tcPr>
                <w:p w14:paraId="672C7518">
                  <w:pPr>
                    <w:pStyle w:val="11"/>
                    <w:jc w:val="center"/>
                    <w:rPr>
                      <w:color w:val="auto"/>
                    </w:rPr>
                  </w:pPr>
                </w:p>
              </w:tc>
              <w:tc>
                <w:tcPr>
                  <w:tcW w:w="648" w:type="pct"/>
                  <w:vMerge w:val="continue"/>
                  <w:tcBorders>
                    <w:tl2br w:val="nil"/>
                    <w:tr2bl w:val="nil"/>
                  </w:tcBorders>
                  <w:vAlign w:val="center"/>
                </w:tcPr>
                <w:p w14:paraId="64562C08">
                  <w:pPr>
                    <w:pStyle w:val="11"/>
                    <w:jc w:val="center"/>
                    <w:rPr>
                      <w:color w:val="auto"/>
                    </w:rPr>
                  </w:pPr>
                </w:p>
              </w:tc>
              <w:tc>
                <w:tcPr>
                  <w:tcW w:w="635" w:type="pct"/>
                  <w:vMerge w:val="continue"/>
                  <w:tcBorders>
                    <w:tl2br w:val="nil"/>
                    <w:tr2bl w:val="nil"/>
                  </w:tcBorders>
                  <w:vAlign w:val="center"/>
                </w:tcPr>
                <w:p w14:paraId="3367F3CD">
                  <w:pPr>
                    <w:pStyle w:val="11"/>
                    <w:jc w:val="center"/>
                    <w:rPr>
                      <w:color w:val="auto"/>
                    </w:rPr>
                  </w:pPr>
                </w:p>
              </w:tc>
              <w:tc>
                <w:tcPr>
                  <w:tcW w:w="705" w:type="pct"/>
                  <w:vMerge w:val="continue"/>
                  <w:tcBorders>
                    <w:tl2br w:val="nil"/>
                    <w:tr2bl w:val="nil"/>
                  </w:tcBorders>
                  <w:vAlign w:val="center"/>
                </w:tcPr>
                <w:p w14:paraId="0AA8EDDF">
                  <w:pPr>
                    <w:pStyle w:val="11"/>
                    <w:jc w:val="center"/>
                    <w:rPr>
                      <w:color w:val="auto"/>
                    </w:rPr>
                  </w:pPr>
                </w:p>
              </w:tc>
              <w:tc>
                <w:tcPr>
                  <w:tcW w:w="821" w:type="pct"/>
                  <w:vMerge w:val="continue"/>
                  <w:tcBorders>
                    <w:tl2br w:val="nil"/>
                    <w:tr2bl w:val="nil"/>
                  </w:tcBorders>
                  <w:vAlign w:val="center"/>
                </w:tcPr>
                <w:p w14:paraId="5B0489BD">
                  <w:pPr>
                    <w:pStyle w:val="11"/>
                    <w:jc w:val="center"/>
                    <w:rPr>
                      <w:color w:val="auto"/>
                    </w:rPr>
                  </w:pPr>
                </w:p>
              </w:tc>
              <w:tc>
                <w:tcPr>
                  <w:tcW w:w="769" w:type="pct"/>
                  <w:tcBorders>
                    <w:tl2br w:val="nil"/>
                    <w:tr2bl w:val="nil"/>
                  </w:tcBorders>
                  <w:vAlign w:val="center"/>
                </w:tcPr>
                <w:p w14:paraId="221E1EFF">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抛蚀量mg/（cm</w:t>
                  </w:r>
                  <w:r>
                    <w:rPr>
                      <w:rFonts w:hint="eastAsia" w:ascii="Times New Roman" w:hAnsi="Times New Roman" w:cs="Times New Roman"/>
                      <w:color w:val="auto"/>
                      <w:sz w:val="18"/>
                      <w:szCs w:val="18"/>
                      <w:vertAlign w:val="superscript"/>
                      <w:lang w:val="en-US" w:eastAsia="zh-CN"/>
                    </w:rPr>
                    <w:t>2</w:t>
                  </w:r>
                  <w:r>
                    <w:rPr>
                      <w:rFonts w:hint="eastAsia" w:ascii="Times New Roman" w:hAnsi="Times New Roman" w:cs="Times New Roman"/>
                      <w:color w:val="auto"/>
                      <w:sz w:val="18"/>
                      <w:szCs w:val="18"/>
                      <w:lang w:val="en-US" w:eastAsia="zh-CN"/>
                    </w:rPr>
                    <w:t>·min）</w:t>
                  </w:r>
                </w:p>
              </w:tc>
              <w:tc>
                <w:tcPr>
                  <w:tcW w:w="600" w:type="pct"/>
                  <w:tcBorders>
                    <w:tl2br w:val="nil"/>
                    <w:tr2bl w:val="nil"/>
                  </w:tcBorders>
                  <w:vAlign w:val="center"/>
                </w:tcPr>
                <w:p w14:paraId="309D7B24">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划伤率%</w:t>
                  </w:r>
                </w:p>
              </w:tc>
            </w:tr>
            <w:tr w14:paraId="4B2F3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820" w:type="pct"/>
                  <w:tcBorders>
                    <w:tl2br w:val="nil"/>
                    <w:tr2bl w:val="nil"/>
                  </w:tcBorders>
                  <w:shd w:val="clear" w:color="auto" w:fill="auto"/>
                  <w:vAlign w:val="center"/>
                </w:tcPr>
                <w:p w14:paraId="681E2C2A">
                  <w:pPr>
                    <w:pStyle w:val="11"/>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PP-LaCe-65Ce-A</w:t>
                  </w:r>
                </w:p>
              </w:tc>
              <w:tc>
                <w:tcPr>
                  <w:tcW w:w="648" w:type="pct"/>
                  <w:tcBorders>
                    <w:tl2br w:val="nil"/>
                    <w:tr2bl w:val="nil"/>
                  </w:tcBorders>
                  <w:vAlign w:val="center"/>
                </w:tcPr>
                <w:p w14:paraId="30E60A64">
                  <w:pPr>
                    <w:pStyle w:val="11"/>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0.5~2.5</w:t>
                  </w:r>
                </w:p>
              </w:tc>
              <w:tc>
                <w:tcPr>
                  <w:tcW w:w="635" w:type="pct"/>
                  <w:tcBorders>
                    <w:tl2br w:val="nil"/>
                    <w:tr2bl w:val="nil"/>
                  </w:tcBorders>
                  <w:vAlign w:val="center"/>
                </w:tcPr>
                <w:p w14:paraId="0D51A5C5">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≤10.0</w:t>
                  </w:r>
                </w:p>
              </w:tc>
              <w:tc>
                <w:tcPr>
                  <w:tcW w:w="705" w:type="pct"/>
                  <w:vMerge w:val="restart"/>
                  <w:tcBorders>
                    <w:tl2br w:val="nil"/>
                    <w:tr2bl w:val="nil"/>
                  </w:tcBorders>
                  <w:vAlign w:val="center"/>
                </w:tcPr>
                <w:p w14:paraId="079B72A2">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0.8~1.5</w:t>
                  </w:r>
                </w:p>
              </w:tc>
              <w:tc>
                <w:tcPr>
                  <w:tcW w:w="821" w:type="pct"/>
                  <w:tcBorders>
                    <w:tl2br w:val="nil"/>
                    <w:tr2bl w:val="nil"/>
                  </w:tcBorders>
                  <w:vAlign w:val="center"/>
                </w:tcPr>
                <w:p w14:paraId="5FC47635">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1.0~12.0</w:t>
                  </w:r>
                </w:p>
              </w:tc>
              <w:tc>
                <w:tcPr>
                  <w:tcW w:w="769" w:type="pct"/>
                  <w:vMerge w:val="restart"/>
                  <w:tcBorders>
                    <w:tl2br w:val="nil"/>
                    <w:tr2bl w:val="nil"/>
                  </w:tcBorders>
                  <w:vAlign w:val="center"/>
                </w:tcPr>
                <w:p w14:paraId="0D9F7CC1">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≥0.10</w:t>
                  </w:r>
                </w:p>
              </w:tc>
              <w:tc>
                <w:tcPr>
                  <w:tcW w:w="600" w:type="pct"/>
                  <w:tcBorders>
                    <w:tl2br w:val="nil"/>
                    <w:tr2bl w:val="nil"/>
                  </w:tcBorders>
                  <w:vAlign w:val="center"/>
                </w:tcPr>
                <w:p w14:paraId="2C56D907">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0</w:t>
                  </w:r>
                </w:p>
              </w:tc>
            </w:tr>
            <w:tr w14:paraId="4F448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820" w:type="pct"/>
                  <w:tcBorders>
                    <w:tl2br w:val="nil"/>
                    <w:tr2bl w:val="nil"/>
                  </w:tcBorders>
                  <w:shd w:val="clear" w:color="auto" w:fill="auto"/>
                  <w:vAlign w:val="center"/>
                </w:tcPr>
                <w:p w14:paraId="30C38DEA">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PP-LaCe-65Ce-</w:t>
                  </w:r>
                  <w:r>
                    <w:rPr>
                      <w:rFonts w:hint="eastAsia" w:ascii="Times New Roman" w:hAnsi="Times New Roman" w:cs="Times New Roman"/>
                      <w:color w:val="auto"/>
                      <w:sz w:val="18"/>
                      <w:szCs w:val="18"/>
                      <w:lang w:val="en-US" w:eastAsia="zh-CN"/>
                    </w:rPr>
                    <w:t>B</w:t>
                  </w:r>
                </w:p>
              </w:tc>
              <w:tc>
                <w:tcPr>
                  <w:tcW w:w="648" w:type="pct"/>
                  <w:tcBorders>
                    <w:tl2br w:val="nil"/>
                    <w:tr2bl w:val="nil"/>
                  </w:tcBorders>
                  <w:vAlign w:val="center"/>
                </w:tcPr>
                <w:p w14:paraId="175FFD3B">
                  <w:pPr>
                    <w:pStyle w:val="11"/>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0.8~3.5</w:t>
                  </w:r>
                </w:p>
              </w:tc>
              <w:tc>
                <w:tcPr>
                  <w:tcW w:w="635" w:type="pct"/>
                  <w:tcBorders>
                    <w:tl2br w:val="nil"/>
                    <w:tr2bl w:val="nil"/>
                  </w:tcBorders>
                  <w:vAlign w:val="center"/>
                </w:tcPr>
                <w:p w14:paraId="519F070E">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10.0~20.0</w:t>
                  </w:r>
                </w:p>
              </w:tc>
              <w:tc>
                <w:tcPr>
                  <w:tcW w:w="705" w:type="pct"/>
                  <w:vMerge w:val="continue"/>
                  <w:tcBorders>
                    <w:tl2br w:val="nil"/>
                    <w:tr2bl w:val="nil"/>
                  </w:tcBorders>
                  <w:vAlign w:val="center"/>
                </w:tcPr>
                <w:p w14:paraId="4E6ED39C">
                  <w:pPr>
                    <w:pStyle w:val="11"/>
                    <w:jc w:val="center"/>
                    <w:rPr>
                      <w:rFonts w:hint="eastAsia" w:ascii="Times New Roman" w:hAnsi="Times New Roman" w:cs="Times New Roman"/>
                      <w:color w:val="auto"/>
                      <w:sz w:val="18"/>
                      <w:szCs w:val="18"/>
                      <w:lang w:val="en-US" w:eastAsia="zh-CN"/>
                    </w:rPr>
                  </w:pPr>
                </w:p>
              </w:tc>
              <w:tc>
                <w:tcPr>
                  <w:tcW w:w="821" w:type="pct"/>
                  <w:tcBorders>
                    <w:tl2br w:val="nil"/>
                    <w:tr2bl w:val="nil"/>
                  </w:tcBorders>
                  <w:vAlign w:val="center"/>
                </w:tcPr>
                <w:p w14:paraId="675D4E30">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1.0~10.0</w:t>
                  </w:r>
                </w:p>
              </w:tc>
              <w:tc>
                <w:tcPr>
                  <w:tcW w:w="769" w:type="pct"/>
                  <w:vMerge w:val="continue"/>
                  <w:tcBorders>
                    <w:tl2br w:val="nil"/>
                    <w:tr2bl w:val="nil"/>
                  </w:tcBorders>
                  <w:vAlign w:val="center"/>
                </w:tcPr>
                <w:p w14:paraId="5DB984DE">
                  <w:pPr>
                    <w:pStyle w:val="11"/>
                    <w:jc w:val="center"/>
                    <w:rPr>
                      <w:rFonts w:hint="eastAsia" w:ascii="Times New Roman" w:hAnsi="Times New Roman" w:cs="Times New Roman"/>
                      <w:color w:val="auto"/>
                      <w:sz w:val="18"/>
                      <w:szCs w:val="18"/>
                      <w:lang w:val="en-US" w:eastAsia="zh-CN"/>
                    </w:rPr>
                  </w:pPr>
                </w:p>
              </w:tc>
              <w:tc>
                <w:tcPr>
                  <w:tcW w:w="600" w:type="pct"/>
                  <w:tcBorders>
                    <w:tl2br w:val="nil"/>
                    <w:tr2bl w:val="nil"/>
                  </w:tcBorders>
                  <w:vAlign w:val="center"/>
                </w:tcPr>
                <w:p w14:paraId="763B3383">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0</w:t>
                  </w:r>
                </w:p>
              </w:tc>
            </w:tr>
            <w:tr w14:paraId="37D14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820" w:type="pct"/>
                  <w:tcBorders>
                    <w:tl2br w:val="nil"/>
                    <w:tr2bl w:val="nil"/>
                  </w:tcBorders>
                  <w:shd w:val="clear" w:color="auto" w:fill="auto"/>
                  <w:vAlign w:val="center"/>
                </w:tcPr>
                <w:p w14:paraId="1A1F2A1E">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PP-LaCe-65Ce-</w:t>
                  </w:r>
                  <w:r>
                    <w:rPr>
                      <w:rFonts w:hint="eastAsia" w:ascii="Times New Roman" w:hAnsi="Times New Roman" w:cs="Times New Roman"/>
                      <w:color w:val="auto"/>
                      <w:sz w:val="18"/>
                      <w:szCs w:val="18"/>
                      <w:lang w:val="en-US" w:eastAsia="zh-CN"/>
                    </w:rPr>
                    <w:t>C</w:t>
                  </w:r>
                </w:p>
              </w:tc>
              <w:tc>
                <w:tcPr>
                  <w:tcW w:w="648" w:type="pct"/>
                  <w:tcBorders>
                    <w:tl2br w:val="nil"/>
                    <w:tr2bl w:val="nil"/>
                  </w:tcBorders>
                  <w:vAlign w:val="center"/>
                </w:tcPr>
                <w:p w14:paraId="0DDAC0E7">
                  <w:pPr>
                    <w:pStyle w:val="11"/>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1.0~5.0</w:t>
                  </w:r>
                </w:p>
              </w:tc>
              <w:tc>
                <w:tcPr>
                  <w:tcW w:w="635" w:type="pct"/>
                  <w:tcBorders>
                    <w:tl2br w:val="nil"/>
                    <w:tr2bl w:val="nil"/>
                  </w:tcBorders>
                  <w:vAlign w:val="center"/>
                </w:tcPr>
                <w:p w14:paraId="62E0438D">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20.0~30.0</w:t>
                  </w:r>
                </w:p>
              </w:tc>
              <w:tc>
                <w:tcPr>
                  <w:tcW w:w="705" w:type="pct"/>
                  <w:vMerge w:val="continue"/>
                  <w:tcBorders>
                    <w:tl2br w:val="nil"/>
                    <w:tr2bl w:val="nil"/>
                  </w:tcBorders>
                  <w:vAlign w:val="center"/>
                </w:tcPr>
                <w:p w14:paraId="7A0761D4">
                  <w:pPr>
                    <w:pStyle w:val="11"/>
                    <w:jc w:val="center"/>
                    <w:rPr>
                      <w:rFonts w:hint="eastAsia" w:ascii="Times New Roman" w:hAnsi="Times New Roman" w:cs="Times New Roman"/>
                      <w:color w:val="auto"/>
                      <w:sz w:val="18"/>
                      <w:szCs w:val="18"/>
                      <w:lang w:val="en-US" w:eastAsia="zh-CN"/>
                    </w:rPr>
                  </w:pPr>
                </w:p>
              </w:tc>
              <w:tc>
                <w:tcPr>
                  <w:tcW w:w="821" w:type="pct"/>
                  <w:tcBorders>
                    <w:tl2br w:val="nil"/>
                    <w:tr2bl w:val="nil"/>
                  </w:tcBorders>
                  <w:vAlign w:val="center"/>
                </w:tcPr>
                <w:p w14:paraId="7EC10F0A">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1.0~8.0</w:t>
                  </w:r>
                </w:p>
              </w:tc>
              <w:tc>
                <w:tcPr>
                  <w:tcW w:w="769" w:type="pct"/>
                  <w:vMerge w:val="continue"/>
                  <w:tcBorders>
                    <w:tl2br w:val="nil"/>
                    <w:tr2bl w:val="nil"/>
                  </w:tcBorders>
                  <w:vAlign w:val="center"/>
                </w:tcPr>
                <w:p w14:paraId="049BA1AE">
                  <w:pPr>
                    <w:pStyle w:val="11"/>
                    <w:jc w:val="center"/>
                    <w:rPr>
                      <w:rFonts w:hint="eastAsia" w:ascii="Times New Roman" w:hAnsi="Times New Roman" w:cs="Times New Roman"/>
                      <w:color w:val="auto"/>
                      <w:sz w:val="18"/>
                      <w:szCs w:val="18"/>
                      <w:lang w:val="en-US" w:eastAsia="zh-CN"/>
                    </w:rPr>
                  </w:pPr>
                </w:p>
              </w:tc>
              <w:tc>
                <w:tcPr>
                  <w:tcW w:w="600" w:type="pct"/>
                  <w:tcBorders>
                    <w:tl2br w:val="nil"/>
                    <w:tr2bl w:val="nil"/>
                  </w:tcBorders>
                  <w:vAlign w:val="center"/>
                </w:tcPr>
                <w:p w14:paraId="3F24CBC0">
                  <w:pPr>
                    <w:pStyle w:val="11"/>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≤20</w:t>
                  </w:r>
                </w:p>
              </w:tc>
            </w:tr>
          </w:tbl>
          <w:p w14:paraId="314D1725">
            <w:pPr>
              <w:spacing w:line="360" w:lineRule="auto"/>
              <w:ind w:firstLine="420" w:firstLineChars="200"/>
              <w:rPr>
                <w:rFonts w:hint="default" w:ascii="Times New Roman" w:hAnsi="Times New Roman" w:cs="Times New Roman"/>
                <w:color w:val="auto"/>
                <w:kern w:val="0"/>
              </w:rPr>
            </w:pPr>
            <w:r>
              <w:rPr>
                <w:rFonts w:hint="default" w:ascii="Times New Roman" w:hAnsi="Times New Roman" w:cs="Times New Roman"/>
                <w:snapToGrid w:val="0"/>
                <w:color w:val="auto"/>
                <w:kern w:val="0"/>
              </w:rPr>
              <w:t>8、主要原辅材料及能源消耗</w:t>
            </w:r>
          </w:p>
          <w:p w14:paraId="52E4DD8E">
            <w:pPr>
              <w:adjustRightInd w:val="0"/>
              <w:snapToGrid w:val="0"/>
              <w:spacing w:line="360" w:lineRule="auto"/>
              <w:ind w:firstLine="420" w:firstLineChars="200"/>
              <w:rPr>
                <w:rFonts w:hint="default" w:ascii="Times New Roman" w:hAnsi="Times New Roman" w:cs="Times New Roman"/>
                <w:snapToGrid w:val="0"/>
                <w:color w:val="auto"/>
                <w:kern w:val="0"/>
              </w:rPr>
            </w:pPr>
            <w:r>
              <w:rPr>
                <w:rFonts w:hint="default" w:ascii="Times New Roman" w:hAnsi="Times New Roman" w:cs="Times New Roman"/>
                <w:snapToGrid w:val="0"/>
                <w:color w:val="auto"/>
                <w:kern w:val="0"/>
              </w:rPr>
              <w:t>本项目主要原辅材料及能源消耗情况见表2-</w:t>
            </w:r>
            <w:r>
              <w:rPr>
                <w:rFonts w:hint="eastAsia" w:cs="Times New Roman"/>
                <w:snapToGrid w:val="0"/>
                <w:color w:val="auto"/>
                <w:kern w:val="0"/>
                <w:lang w:val="en-US" w:eastAsia="zh-CN"/>
              </w:rPr>
              <w:t>5</w:t>
            </w:r>
            <w:r>
              <w:rPr>
                <w:rFonts w:hint="default" w:ascii="Times New Roman" w:hAnsi="Times New Roman" w:cs="Times New Roman"/>
                <w:snapToGrid w:val="0"/>
                <w:color w:val="auto"/>
                <w:kern w:val="0"/>
              </w:rPr>
              <w:t>。</w:t>
            </w:r>
          </w:p>
          <w:p w14:paraId="4F6BCBDA">
            <w:pPr>
              <w:adjustRightInd w:val="0"/>
              <w:snapToGrid w:val="0"/>
              <w:spacing w:line="360" w:lineRule="auto"/>
              <w:jc w:val="center"/>
              <w:rPr>
                <w:rFonts w:hint="default" w:ascii="Times New Roman" w:hAnsi="Times New Roman" w:cs="Times New Roman"/>
                <w:b/>
                <w:color w:val="auto"/>
                <w:kern w:val="0"/>
              </w:rPr>
            </w:pPr>
            <w:r>
              <w:rPr>
                <w:rFonts w:hint="default" w:ascii="Times New Roman" w:hAnsi="Times New Roman" w:cs="Times New Roman"/>
                <w:b/>
                <w:color w:val="auto"/>
                <w:kern w:val="0"/>
              </w:rPr>
              <w:t>表2-</w:t>
            </w:r>
            <w:r>
              <w:rPr>
                <w:rFonts w:hint="eastAsia" w:cs="Times New Roman"/>
                <w:b/>
                <w:color w:val="auto"/>
                <w:kern w:val="0"/>
                <w:lang w:val="en-US" w:eastAsia="zh-CN"/>
              </w:rPr>
              <w:t>5</w:t>
            </w:r>
            <w:r>
              <w:rPr>
                <w:rFonts w:hint="default" w:ascii="Times New Roman" w:hAnsi="Times New Roman" w:cs="Times New Roman"/>
                <w:b/>
                <w:color w:val="auto"/>
                <w:kern w:val="0"/>
              </w:rPr>
              <w:t xml:space="preserve"> 主要原辅料及能源消耗</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0"/>
              <w:gridCol w:w="1984"/>
              <w:gridCol w:w="1610"/>
              <w:gridCol w:w="1526"/>
              <w:gridCol w:w="2787"/>
            </w:tblGrid>
            <w:tr w14:paraId="0A4C1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297" w:type="pct"/>
                  <w:vAlign w:val="center"/>
                </w:tcPr>
                <w:p w14:paraId="008008D6">
                  <w:pPr>
                    <w:tabs>
                      <w:tab w:val="left" w:pos="1680"/>
                    </w:tabs>
                    <w:spacing w:line="0" w:lineRule="atLeast"/>
                    <w:ind w:right="-108"/>
                    <w:jc w:val="center"/>
                    <w:rPr>
                      <w:rFonts w:hint="default" w:ascii="Times New Roman" w:hAnsi="Times New Roman" w:cs="Times New Roman" w:eastAsiaTheme="minorEastAsia"/>
                      <w:b/>
                      <w:color w:val="auto"/>
                      <w:sz w:val="18"/>
                      <w:szCs w:val="18"/>
                    </w:rPr>
                  </w:pPr>
                  <w:r>
                    <w:rPr>
                      <w:rFonts w:hint="default" w:ascii="Times New Roman" w:hAnsi="Times New Roman" w:cs="Times New Roman" w:eastAsiaTheme="minorEastAsia"/>
                      <w:b/>
                      <w:color w:val="auto"/>
                      <w:sz w:val="18"/>
                      <w:szCs w:val="18"/>
                    </w:rPr>
                    <w:t>序号</w:t>
                  </w:r>
                </w:p>
              </w:tc>
              <w:tc>
                <w:tcPr>
                  <w:tcW w:w="1179" w:type="pct"/>
                  <w:vAlign w:val="center"/>
                </w:tcPr>
                <w:p w14:paraId="68822EB1">
                  <w:pPr>
                    <w:tabs>
                      <w:tab w:val="left" w:pos="1680"/>
                    </w:tabs>
                    <w:spacing w:line="0" w:lineRule="atLeast"/>
                    <w:ind w:right="-108"/>
                    <w:jc w:val="center"/>
                    <w:rPr>
                      <w:rFonts w:hint="default" w:ascii="Times New Roman" w:hAnsi="Times New Roman" w:cs="Times New Roman" w:eastAsiaTheme="minorEastAsia"/>
                      <w:b/>
                      <w:color w:val="auto"/>
                      <w:sz w:val="18"/>
                      <w:szCs w:val="18"/>
                    </w:rPr>
                  </w:pPr>
                  <w:r>
                    <w:rPr>
                      <w:rFonts w:hint="default" w:ascii="Times New Roman" w:hAnsi="Times New Roman" w:cs="Times New Roman" w:eastAsiaTheme="minorEastAsia"/>
                      <w:b/>
                      <w:color w:val="auto"/>
                      <w:sz w:val="18"/>
                      <w:szCs w:val="18"/>
                    </w:rPr>
                    <w:t>名称</w:t>
                  </w:r>
                </w:p>
              </w:tc>
              <w:tc>
                <w:tcPr>
                  <w:tcW w:w="957" w:type="pct"/>
                  <w:vAlign w:val="center"/>
                </w:tcPr>
                <w:p w14:paraId="5B9CD4B1">
                  <w:pPr>
                    <w:tabs>
                      <w:tab w:val="left" w:pos="1680"/>
                    </w:tabs>
                    <w:spacing w:line="0" w:lineRule="atLeast"/>
                    <w:ind w:right="-108"/>
                    <w:jc w:val="center"/>
                    <w:rPr>
                      <w:rFonts w:hint="default" w:ascii="Times New Roman" w:hAnsi="Times New Roman" w:cs="Times New Roman" w:eastAsiaTheme="minorEastAsia"/>
                      <w:b/>
                      <w:color w:val="auto"/>
                      <w:sz w:val="18"/>
                      <w:szCs w:val="18"/>
                      <w:lang w:val="en-US" w:eastAsia="zh-CN"/>
                    </w:rPr>
                  </w:pPr>
                  <w:r>
                    <w:rPr>
                      <w:rFonts w:hint="default" w:ascii="Times New Roman" w:hAnsi="Times New Roman" w:cs="Times New Roman" w:eastAsiaTheme="minorEastAsia"/>
                      <w:b/>
                      <w:color w:val="auto"/>
                      <w:sz w:val="18"/>
                      <w:szCs w:val="18"/>
                      <w:lang w:val="en-US" w:eastAsia="zh-CN"/>
                    </w:rPr>
                    <w:t>用量</w:t>
                  </w:r>
                </w:p>
              </w:tc>
              <w:tc>
                <w:tcPr>
                  <w:tcW w:w="907" w:type="pct"/>
                  <w:vAlign w:val="center"/>
                </w:tcPr>
                <w:p w14:paraId="3A6E543D">
                  <w:pPr>
                    <w:tabs>
                      <w:tab w:val="left" w:pos="1680"/>
                    </w:tabs>
                    <w:spacing w:line="0" w:lineRule="atLeast"/>
                    <w:ind w:right="-108"/>
                    <w:jc w:val="center"/>
                    <w:rPr>
                      <w:rFonts w:hint="default" w:ascii="Times New Roman" w:hAnsi="Times New Roman" w:cs="Times New Roman" w:eastAsiaTheme="minorEastAsia"/>
                      <w:b/>
                      <w:color w:val="auto"/>
                      <w:sz w:val="18"/>
                      <w:szCs w:val="18"/>
                      <w:lang w:eastAsia="zh-CN"/>
                    </w:rPr>
                  </w:pPr>
                  <w:r>
                    <w:rPr>
                      <w:rFonts w:hint="default" w:ascii="Times New Roman" w:hAnsi="Times New Roman" w:cs="Times New Roman" w:eastAsiaTheme="minorEastAsia"/>
                      <w:b/>
                      <w:color w:val="auto"/>
                      <w:sz w:val="18"/>
                      <w:szCs w:val="18"/>
                      <w:lang w:eastAsia="zh-CN"/>
                    </w:rPr>
                    <w:t>单位</w:t>
                  </w:r>
                </w:p>
              </w:tc>
              <w:tc>
                <w:tcPr>
                  <w:tcW w:w="1656" w:type="pct"/>
                  <w:vAlign w:val="center"/>
                </w:tcPr>
                <w:p w14:paraId="44D6A699">
                  <w:pPr>
                    <w:tabs>
                      <w:tab w:val="left" w:pos="1680"/>
                    </w:tabs>
                    <w:spacing w:line="0" w:lineRule="atLeast"/>
                    <w:ind w:right="-108"/>
                    <w:jc w:val="center"/>
                    <w:rPr>
                      <w:rFonts w:hint="default" w:ascii="Times New Roman" w:hAnsi="Times New Roman" w:cs="Times New Roman" w:eastAsiaTheme="minorEastAsia"/>
                      <w:b/>
                      <w:color w:val="auto"/>
                      <w:sz w:val="18"/>
                      <w:szCs w:val="18"/>
                    </w:rPr>
                  </w:pPr>
                  <w:r>
                    <w:rPr>
                      <w:rFonts w:hint="default" w:ascii="Times New Roman" w:hAnsi="Times New Roman" w:cs="Times New Roman" w:eastAsiaTheme="minorEastAsia"/>
                      <w:b/>
                      <w:color w:val="auto"/>
                      <w:sz w:val="18"/>
                      <w:szCs w:val="18"/>
                    </w:rPr>
                    <w:t>备注</w:t>
                  </w:r>
                </w:p>
              </w:tc>
            </w:tr>
            <w:tr w14:paraId="2AF2F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Align w:val="center"/>
                </w:tcPr>
                <w:p w14:paraId="64C55980">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79" w:type="pct"/>
                  <w:shd w:val="clear" w:color="auto" w:fill="auto"/>
                  <w:vAlign w:val="center"/>
                </w:tcPr>
                <w:p w14:paraId="1769B709">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ascii="Times New Roman" w:hAnsi="Times New Roman" w:cs="Times New Roman" w:eastAsiaTheme="minorEastAsia"/>
                      <w:bCs/>
                      <w:color w:val="auto"/>
                      <w:sz w:val="18"/>
                      <w:szCs w:val="18"/>
                      <w:highlight w:val="none"/>
                    </w:rPr>
                    <w:t>氧化镧铈</w:t>
                  </w:r>
                </w:p>
              </w:tc>
              <w:tc>
                <w:tcPr>
                  <w:tcW w:w="957" w:type="pct"/>
                  <w:vAlign w:val="center"/>
                </w:tcPr>
                <w:p w14:paraId="28EE5A3B">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2286</w:t>
                  </w:r>
                </w:p>
              </w:tc>
              <w:tc>
                <w:tcPr>
                  <w:tcW w:w="907" w:type="pct"/>
                  <w:vAlign w:val="center"/>
                </w:tcPr>
                <w:p w14:paraId="58CD57D2">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656" w:type="pct"/>
                  <w:vAlign w:val="center"/>
                </w:tcPr>
                <w:p w14:paraId="6AFB83CF">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袋装，1t/袋，含水率为0.1%，主要来源于中国北方稀土(集团)高科技股份有限公司、包头稀土研究院、山东盛和新材料科技有限公司</w:t>
                  </w:r>
                </w:p>
              </w:tc>
            </w:tr>
            <w:tr w14:paraId="441A4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Align w:val="center"/>
                </w:tcPr>
                <w:p w14:paraId="75C6EB7B">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79" w:type="pct"/>
                  <w:shd w:val="clear" w:color="auto" w:fill="auto"/>
                  <w:vAlign w:val="center"/>
                </w:tcPr>
                <w:p w14:paraId="7DE8FA3D">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ascii="Times New Roman" w:hAnsi="Times New Roman" w:cs="Times New Roman" w:eastAsiaTheme="minorEastAsia"/>
                      <w:bCs/>
                      <w:color w:val="auto"/>
                      <w:sz w:val="18"/>
                      <w:szCs w:val="18"/>
                      <w:highlight w:val="none"/>
                    </w:rPr>
                    <w:t>氧化硅</w:t>
                  </w:r>
                </w:p>
              </w:tc>
              <w:tc>
                <w:tcPr>
                  <w:tcW w:w="957" w:type="pct"/>
                  <w:vAlign w:val="center"/>
                </w:tcPr>
                <w:p w14:paraId="65D55242">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54</w:t>
                  </w:r>
                </w:p>
              </w:tc>
              <w:tc>
                <w:tcPr>
                  <w:tcW w:w="907" w:type="pct"/>
                  <w:vAlign w:val="center"/>
                </w:tcPr>
                <w:p w14:paraId="752B5668">
                  <w:pPr>
                    <w:jc w:val="center"/>
                    <w:rPr>
                      <w:rFonts w:hint="default" w:ascii="Times New Roman" w:hAnsi="Times New Roman" w:cs="Times New Roman" w:eastAsiaTheme="minorEastAsia"/>
                      <w:bCs/>
                      <w:color w:val="auto"/>
                      <w:sz w:val="18"/>
                      <w:szCs w:val="18"/>
                      <w:highlight w:val="none"/>
                    </w:rPr>
                  </w:pPr>
                  <w:r>
                    <w:rPr>
                      <w:rFonts w:hint="default" w:ascii="Times New Roman" w:hAnsi="Times New Roman" w:cs="Times New Roman" w:eastAsiaTheme="minorEastAsia"/>
                      <w:bCs/>
                      <w:color w:val="auto"/>
                      <w:sz w:val="18"/>
                      <w:szCs w:val="18"/>
                      <w:highlight w:val="none"/>
                      <w:lang w:val="en-US" w:eastAsia="zh-CN"/>
                    </w:rPr>
                    <w:t>t/a</w:t>
                  </w:r>
                </w:p>
              </w:tc>
              <w:tc>
                <w:tcPr>
                  <w:tcW w:w="1656" w:type="pct"/>
                  <w:vAlign w:val="center"/>
                </w:tcPr>
                <w:p w14:paraId="47784FC4">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袋装，50kg/袋，含水率为0.8%</w:t>
                  </w:r>
                </w:p>
              </w:tc>
            </w:tr>
            <w:tr w14:paraId="2906B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97" w:type="pct"/>
                  <w:vAlign w:val="center"/>
                </w:tcPr>
                <w:p w14:paraId="4C04AF17">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79" w:type="pct"/>
                  <w:shd w:val="clear" w:color="auto" w:fill="auto"/>
                  <w:vAlign w:val="center"/>
                </w:tcPr>
                <w:p w14:paraId="6214A99F">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ascii="Times New Roman" w:hAnsi="Times New Roman" w:cs="Times New Roman" w:eastAsiaTheme="minorEastAsia"/>
                      <w:bCs/>
                      <w:color w:val="auto"/>
                      <w:sz w:val="18"/>
                      <w:szCs w:val="18"/>
                      <w:highlight w:val="none"/>
                    </w:rPr>
                    <w:t>氧化钙</w:t>
                  </w:r>
                </w:p>
              </w:tc>
              <w:tc>
                <w:tcPr>
                  <w:tcW w:w="957" w:type="pct"/>
                  <w:vAlign w:val="center"/>
                </w:tcPr>
                <w:p w14:paraId="1326A880">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43</w:t>
                  </w:r>
                </w:p>
              </w:tc>
              <w:tc>
                <w:tcPr>
                  <w:tcW w:w="907" w:type="pct"/>
                  <w:vAlign w:val="center"/>
                </w:tcPr>
                <w:p w14:paraId="76440A6D">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656" w:type="pct"/>
                  <w:vAlign w:val="center"/>
                </w:tcPr>
                <w:p w14:paraId="3485109E">
                  <w:pPr>
                    <w:jc w:val="center"/>
                    <w:rPr>
                      <w:rFonts w:hint="default" w:ascii="Times New Roman" w:hAnsi="Times New Roman" w:cs="Times New Roman" w:eastAsiaTheme="minorEastAsia"/>
                      <w:bCs/>
                      <w:color w:val="auto"/>
                      <w:sz w:val="18"/>
                      <w:szCs w:val="18"/>
                      <w:highlight w:val="none"/>
                      <w:lang w:eastAsia="zh-CN"/>
                    </w:rPr>
                  </w:pPr>
                  <w:r>
                    <w:rPr>
                      <w:rFonts w:hint="eastAsia" w:cs="Times New Roman" w:eastAsiaTheme="minorEastAsia"/>
                      <w:bCs/>
                      <w:color w:val="auto"/>
                      <w:sz w:val="18"/>
                      <w:szCs w:val="18"/>
                      <w:highlight w:val="none"/>
                      <w:lang w:val="en-US" w:eastAsia="zh-CN"/>
                    </w:rPr>
                    <w:t>袋装，50kg/袋，含水率为0.1%</w:t>
                  </w:r>
                </w:p>
              </w:tc>
            </w:tr>
            <w:tr w14:paraId="0B365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Align w:val="center"/>
                </w:tcPr>
                <w:p w14:paraId="68582E9A">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79" w:type="pct"/>
                  <w:shd w:val="clear" w:color="auto" w:fill="auto"/>
                  <w:vAlign w:val="center"/>
                </w:tcPr>
                <w:p w14:paraId="7CF847FC">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ascii="Times New Roman" w:hAnsi="Times New Roman" w:cs="Times New Roman" w:eastAsiaTheme="minorEastAsia"/>
                      <w:bCs/>
                      <w:color w:val="auto"/>
                      <w:sz w:val="18"/>
                      <w:szCs w:val="18"/>
                      <w:highlight w:val="none"/>
                    </w:rPr>
                    <w:t>氧化铝</w:t>
                  </w:r>
                </w:p>
              </w:tc>
              <w:tc>
                <w:tcPr>
                  <w:tcW w:w="957" w:type="pct"/>
                  <w:vAlign w:val="center"/>
                </w:tcPr>
                <w:p w14:paraId="35614788">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86</w:t>
                  </w:r>
                </w:p>
              </w:tc>
              <w:tc>
                <w:tcPr>
                  <w:tcW w:w="907" w:type="pct"/>
                  <w:vAlign w:val="center"/>
                </w:tcPr>
                <w:p w14:paraId="26AB8EAA">
                  <w:pPr>
                    <w:jc w:val="center"/>
                    <w:rPr>
                      <w:rFonts w:hint="default" w:ascii="Times New Roman" w:hAnsi="Times New Roman" w:cs="Times New Roman" w:eastAsiaTheme="minorEastAsia"/>
                      <w:bCs/>
                      <w:color w:val="auto"/>
                      <w:sz w:val="18"/>
                      <w:szCs w:val="18"/>
                      <w:highlight w:val="none"/>
                    </w:rPr>
                  </w:pPr>
                  <w:r>
                    <w:rPr>
                      <w:rFonts w:hint="default" w:ascii="Times New Roman" w:hAnsi="Times New Roman" w:cs="Times New Roman" w:eastAsiaTheme="minorEastAsia"/>
                      <w:bCs/>
                      <w:color w:val="auto"/>
                      <w:sz w:val="18"/>
                      <w:szCs w:val="18"/>
                      <w:highlight w:val="none"/>
                      <w:lang w:val="en-US" w:eastAsia="zh-CN"/>
                    </w:rPr>
                    <w:t>t/a</w:t>
                  </w:r>
                </w:p>
              </w:tc>
              <w:tc>
                <w:tcPr>
                  <w:tcW w:w="1656" w:type="pct"/>
                  <w:vAlign w:val="center"/>
                </w:tcPr>
                <w:p w14:paraId="0A4D80AE">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袋装，50kg/袋，含水率为0.8%</w:t>
                  </w:r>
                </w:p>
              </w:tc>
            </w:tr>
            <w:tr w14:paraId="4FA73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Align w:val="center"/>
                </w:tcPr>
                <w:p w14:paraId="473DB028">
                  <w:pPr>
                    <w:pStyle w:val="1042"/>
                    <w:numPr>
                      <w:ilvl w:val="0"/>
                      <w:numId w:val="18"/>
                    </w:numPr>
                    <w:ind w:firstLineChars="0"/>
                    <w:jc w:val="center"/>
                    <w:rPr>
                      <w:rFonts w:hint="default" w:ascii="Times New Roman" w:hAnsi="Times New Roman" w:cs="Times New Roman" w:eastAsiaTheme="minorEastAsia"/>
                      <w:color w:val="auto"/>
                      <w:sz w:val="18"/>
                      <w:szCs w:val="18"/>
                      <w:highlight w:val="none"/>
                    </w:rPr>
                  </w:pPr>
                </w:p>
              </w:tc>
              <w:tc>
                <w:tcPr>
                  <w:tcW w:w="1179" w:type="pct"/>
                  <w:shd w:val="clear" w:color="auto" w:fill="auto"/>
                  <w:vAlign w:val="center"/>
                </w:tcPr>
                <w:p w14:paraId="0AE1AD1B">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ascii="Times New Roman" w:hAnsi="Times New Roman" w:cs="Times New Roman" w:eastAsiaTheme="minorEastAsia"/>
                      <w:bCs/>
                      <w:color w:val="auto"/>
                      <w:sz w:val="18"/>
                      <w:szCs w:val="18"/>
                      <w:highlight w:val="none"/>
                    </w:rPr>
                    <w:t>硼酸锌</w:t>
                  </w:r>
                </w:p>
              </w:tc>
              <w:tc>
                <w:tcPr>
                  <w:tcW w:w="957" w:type="pct"/>
                  <w:vAlign w:val="center"/>
                </w:tcPr>
                <w:p w14:paraId="7779C6D5">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55</w:t>
                  </w:r>
                </w:p>
              </w:tc>
              <w:tc>
                <w:tcPr>
                  <w:tcW w:w="907" w:type="pct"/>
                  <w:vAlign w:val="center"/>
                </w:tcPr>
                <w:p w14:paraId="6CE96FC0">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656" w:type="pct"/>
                  <w:vAlign w:val="center"/>
                </w:tcPr>
                <w:p w14:paraId="5B7E3758">
                  <w:pPr>
                    <w:tabs>
                      <w:tab w:val="left" w:pos="1680"/>
                    </w:tabs>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bCs/>
                      <w:color w:val="auto"/>
                      <w:sz w:val="18"/>
                      <w:szCs w:val="18"/>
                      <w:highlight w:val="none"/>
                      <w:lang w:val="en-US" w:eastAsia="zh-CN"/>
                    </w:rPr>
                    <w:t>袋装，50kg/袋，含水率为0.5%</w:t>
                  </w:r>
                </w:p>
              </w:tc>
            </w:tr>
            <w:tr w14:paraId="43586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Align w:val="center"/>
                </w:tcPr>
                <w:p w14:paraId="4899FCE7">
                  <w:pPr>
                    <w:pStyle w:val="1042"/>
                    <w:numPr>
                      <w:ilvl w:val="0"/>
                      <w:numId w:val="18"/>
                    </w:numPr>
                    <w:ind w:firstLineChars="0"/>
                    <w:jc w:val="center"/>
                    <w:rPr>
                      <w:rFonts w:hint="default" w:ascii="Times New Roman" w:hAnsi="Times New Roman" w:cs="Times New Roman" w:eastAsiaTheme="minorEastAsia"/>
                      <w:color w:val="auto"/>
                      <w:sz w:val="18"/>
                      <w:szCs w:val="18"/>
                      <w:highlight w:val="none"/>
                    </w:rPr>
                  </w:pPr>
                </w:p>
              </w:tc>
              <w:tc>
                <w:tcPr>
                  <w:tcW w:w="1179" w:type="pct"/>
                  <w:vAlign w:val="center"/>
                </w:tcPr>
                <w:p w14:paraId="55964BFB">
                  <w:pPr>
                    <w:tabs>
                      <w:tab w:val="left" w:pos="1680"/>
                    </w:tabs>
                    <w:jc w:val="center"/>
                    <w:rPr>
                      <w:rFonts w:hint="eastAsia"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包装袋</w:t>
                  </w:r>
                </w:p>
              </w:tc>
              <w:tc>
                <w:tcPr>
                  <w:tcW w:w="957" w:type="pct"/>
                  <w:vAlign w:val="center"/>
                </w:tcPr>
                <w:p w14:paraId="526A6C65">
                  <w:pPr>
                    <w:tabs>
                      <w:tab w:val="left" w:pos="1680"/>
                    </w:tabs>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2</w:t>
                  </w:r>
                </w:p>
              </w:tc>
              <w:tc>
                <w:tcPr>
                  <w:tcW w:w="907" w:type="pct"/>
                  <w:vAlign w:val="center"/>
                </w:tcPr>
                <w:p w14:paraId="57EB0337">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656" w:type="pct"/>
                  <w:vAlign w:val="center"/>
                </w:tcPr>
                <w:p w14:paraId="03F851B4">
                  <w:pPr>
                    <w:tabs>
                      <w:tab w:val="left" w:pos="1680"/>
                    </w:tabs>
                    <w:jc w:val="center"/>
                    <w:rPr>
                      <w:rFonts w:hint="eastAsia"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外购</w:t>
                  </w:r>
                </w:p>
              </w:tc>
            </w:tr>
            <w:tr w14:paraId="039B8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97" w:type="pct"/>
                  <w:vAlign w:val="center"/>
                </w:tcPr>
                <w:p w14:paraId="0F03B823">
                  <w:pPr>
                    <w:pStyle w:val="1042"/>
                    <w:numPr>
                      <w:ilvl w:val="0"/>
                      <w:numId w:val="18"/>
                    </w:numPr>
                    <w:ind w:firstLineChars="0"/>
                    <w:jc w:val="center"/>
                    <w:rPr>
                      <w:rFonts w:hint="default" w:ascii="Times New Roman" w:hAnsi="Times New Roman" w:cs="Times New Roman" w:eastAsiaTheme="minorEastAsia"/>
                      <w:color w:val="auto"/>
                      <w:sz w:val="18"/>
                      <w:szCs w:val="18"/>
                      <w:highlight w:val="none"/>
                    </w:rPr>
                  </w:pPr>
                </w:p>
              </w:tc>
              <w:tc>
                <w:tcPr>
                  <w:tcW w:w="1179" w:type="pct"/>
                  <w:vAlign w:val="center"/>
                </w:tcPr>
                <w:p w14:paraId="156304CF">
                  <w:pPr>
                    <w:tabs>
                      <w:tab w:val="left" w:pos="1680"/>
                    </w:tabs>
                    <w:jc w:val="center"/>
                    <w:rPr>
                      <w:rFonts w:hint="eastAsia"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尿素</w:t>
                  </w:r>
                </w:p>
              </w:tc>
              <w:tc>
                <w:tcPr>
                  <w:tcW w:w="957" w:type="pct"/>
                  <w:vAlign w:val="center"/>
                </w:tcPr>
                <w:p w14:paraId="37E2AD08">
                  <w:pPr>
                    <w:tabs>
                      <w:tab w:val="left" w:pos="1680"/>
                    </w:tabs>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907" w:type="pct"/>
                  <w:vAlign w:val="center"/>
                </w:tcPr>
                <w:p w14:paraId="7C598443">
                  <w:pPr>
                    <w:tabs>
                      <w:tab w:val="left" w:pos="1680"/>
                    </w:tabs>
                    <w:jc w:val="center"/>
                    <w:rPr>
                      <w:rFonts w:hint="default" w:ascii="Times New Roman" w:hAnsi="Times New Roman" w:cs="Times New Roman" w:eastAsiaTheme="minorEastAsia"/>
                      <w:bCs/>
                      <w:color w:val="auto"/>
                      <w:sz w:val="18"/>
                      <w:szCs w:val="18"/>
                      <w:highlight w:val="yellow"/>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656" w:type="pct"/>
                  <w:vAlign w:val="center"/>
                </w:tcPr>
                <w:p w14:paraId="77FAC375">
                  <w:pPr>
                    <w:tabs>
                      <w:tab w:val="left" w:pos="1680"/>
                    </w:tabs>
                    <w:jc w:val="center"/>
                    <w:rPr>
                      <w:rFonts w:hint="default" w:ascii="Times New Roman" w:hAnsi="Times New Roman" w:cs="Times New Roman" w:eastAsiaTheme="minorEastAsia"/>
                      <w:color w:val="auto"/>
                      <w:sz w:val="18"/>
                      <w:szCs w:val="18"/>
                      <w:highlight w:val="none"/>
                    </w:rPr>
                  </w:pPr>
                  <w:r>
                    <w:rPr>
                      <w:rFonts w:hint="eastAsia" w:cs="Times New Roman" w:eastAsiaTheme="minorEastAsia"/>
                      <w:color w:val="auto"/>
                      <w:sz w:val="18"/>
                      <w:szCs w:val="18"/>
                      <w:highlight w:val="none"/>
                      <w:lang w:val="en-US" w:eastAsia="zh-CN"/>
                    </w:rPr>
                    <w:t>外购，</w:t>
                  </w:r>
                  <w:r>
                    <w:rPr>
                      <w:rFonts w:hint="eastAsia" w:cs="Times New Roman" w:eastAsiaTheme="minorEastAsia"/>
                      <w:bCs/>
                      <w:color w:val="auto"/>
                      <w:sz w:val="18"/>
                      <w:szCs w:val="18"/>
                      <w:highlight w:val="none"/>
                      <w:lang w:val="en-US" w:eastAsia="zh-CN"/>
                    </w:rPr>
                    <w:t>袋装，50kg/袋</w:t>
                  </w:r>
                </w:p>
              </w:tc>
            </w:tr>
            <w:tr w14:paraId="49912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Align w:val="center"/>
                </w:tcPr>
                <w:p w14:paraId="0810DAF2">
                  <w:pPr>
                    <w:pStyle w:val="1042"/>
                    <w:numPr>
                      <w:ilvl w:val="0"/>
                      <w:numId w:val="18"/>
                    </w:numPr>
                    <w:ind w:firstLineChars="0"/>
                    <w:jc w:val="center"/>
                    <w:rPr>
                      <w:rFonts w:hint="default" w:ascii="Times New Roman" w:hAnsi="Times New Roman" w:cs="Times New Roman" w:eastAsiaTheme="minorEastAsia"/>
                      <w:color w:val="auto"/>
                      <w:sz w:val="18"/>
                      <w:szCs w:val="18"/>
                      <w:highlight w:val="none"/>
                    </w:rPr>
                  </w:pPr>
                </w:p>
              </w:tc>
              <w:tc>
                <w:tcPr>
                  <w:tcW w:w="1179" w:type="pct"/>
                  <w:vAlign w:val="center"/>
                </w:tcPr>
                <w:p w14:paraId="185B451C">
                  <w:pPr>
                    <w:tabs>
                      <w:tab w:val="left" w:pos="1680"/>
                    </w:tabs>
                    <w:jc w:val="center"/>
                    <w:rPr>
                      <w:rFonts w:hint="default" w:ascii="Times New Roman" w:hAnsi="Times New Roman" w:cs="Times New Roman" w:eastAsiaTheme="minorEastAsia"/>
                      <w:bCs/>
                      <w:color w:val="auto"/>
                      <w:sz w:val="18"/>
                      <w:szCs w:val="18"/>
                      <w:highlight w:val="none"/>
                    </w:rPr>
                  </w:pPr>
                  <w:r>
                    <w:rPr>
                      <w:rFonts w:hint="default" w:ascii="Times New Roman" w:hAnsi="Times New Roman" w:cs="Times New Roman" w:eastAsiaTheme="minorEastAsia"/>
                      <w:bCs/>
                      <w:color w:val="auto"/>
                      <w:sz w:val="18"/>
                      <w:szCs w:val="18"/>
                      <w:highlight w:val="none"/>
                    </w:rPr>
                    <w:t>水</w:t>
                  </w:r>
                </w:p>
              </w:tc>
              <w:tc>
                <w:tcPr>
                  <w:tcW w:w="957" w:type="pct"/>
                  <w:vAlign w:val="center"/>
                </w:tcPr>
                <w:p w14:paraId="21D9B9FD">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color w:val="auto"/>
                      <w:sz w:val="18"/>
                      <w:szCs w:val="18"/>
                      <w:highlight w:val="none"/>
                      <w:lang w:val="en-US" w:eastAsia="zh-CN"/>
                    </w:rPr>
                    <w:t>666.7</w:t>
                  </w:r>
                </w:p>
              </w:tc>
              <w:tc>
                <w:tcPr>
                  <w:tcW w:w="907" w:type="pct"/>
                  <w:vAlign w:val="center"/>
                </w:tcPr>
                <w:p w14:paraId="1992F74F">
                  <w:pPr>
                    <w:tabs>
                      <w:tab w:val="left" w:pos="1680"/>
                    </w:tabs>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bCs/>
                      <w:color w:val="auto"/>
                      <w:sz w:val="18"/>
                      <w:szCs w:val="18"/>
                      <w:highlight w:val="none"/>
                      <w:lang w:val="en-US" w:eastAsia="zh-CN"/>
                    </w:rPr>
                    <w:t>m</w:t>
                  </w:r>
                  <w:r>
                    <w:rPr>
                      <w:rFonts w:hint="default" w:ascii="Times New Roman" w:hAnsi="Times New Roman" w:cs="Times New Roman" w:eastAsiaTheme="minorEastAsia"/>
                      <w:bCs/>
                      <w:color w:val="auto"/>
                      <w:sz w:val="18"/>
                      <w:szCs w:val="18"/>
                      <w:highlight w:val="none"/>
                      <w:vertAlign w:val="superscript"/>
                      <w:lang w:val="en-US" w:eastAsia="zh-CN"/>
                    </w:rPr>
                    <w:t>3</w:t>
                  </w:r>
                  <w:r>
                    <w:rPr>
                      <w:rFonts w:hint="default" w:ascii="Times New Roman" w:hAnsi="Times New Roman" w:cs="Times New Roman" w:eastAsiaTheme="minorEastAsia"/>
                      <w:bCs/>
                      <w:color w:val="auto"/>
                      <w:sz w:val="18"/>
                      <w:szCs w:val="18"/>
                      <w:highlight w:val="none"/>
                      <w:lang w:val="en-US" w:eastAsia="zh-CN"/>
                    </w:rPr>
                    <w:t>/a</w:t>
                  </w:r>
                </w:p>
              </w:tc>
              <w:tc>
                <w:tcPr>
                  <w:tcW w:w="1656" w:type="pct"/>
                  <w:vAlign w:val="center"/>
                </w:tcPr>
                <w:p w14:paraId="2BB019DB">
                  <w:pPr>
                    <w:tabs>
                      <w:tab w:val="left" w:pos="1680"/>
                    </w:tabs>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由</w:t>
                  </w:r>
                  <w:r>
                    <w:rPr>
                      <w:rFonts w:hint="default" w:ascii="Times New Roman" w:hAnsi="Times New Roman" w:cs="Times New Roman" w:eastAsiaTheme="minorEastAsia"/>
                      <w:color w:val="auto"/>
                      <w:sz w:val="18"/>
                      <w:szCs w:val="18"/>
                      <w:highlight w:val="none"/>
                      <w:lang w:eastAsia="zh-CN"/>
                    </w:rPr>
                    <w:t>经开区</w:t>
                  </w:r>
                  <w:r>
                    <w:rPr>
                      <w:rFonts w:hint="default" w:ascii="Times New Roman" w:hAnsi="Times New Roman" w:cs="Times New Roman" w:eastAsiaTheme="minorEastAsia"/>
                      <w:color w:val="auto"/>
                      <w:sz w:val="18"/>
                      <w:szCs w:val="18"/>
                      <w:highlight w:val="none"/>
                    </w:rPr>
                    <w:t>自来水管网提供</w:t>
                  </w:r>
                </w:p>
              </w:tc>
            </w:tr>
            <w:tr w14:paraId="14320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Align w:val="center"/>
                </w:tcPr>
                <w:p w14:paraId="192ED6F3">
                  <w:pPr>
                    <w:pStyle w:val="1042"/>
                    <w:numPr>
                      <w:ilvl w:val="0"/>
                      <w:numId w:val="18"/>
                    </w:numPr>
                    <w:ind w:firstLineChars="0"/>
                    <w:jc w:val="center"/>
                    <w:rPr>
                      <w:rFonts w:hint="default" w:ascii="Times New Roman" w:hAnsi="Times New Roman" w:cs="Times New Roman" w:eastAsiaTheme="minorEastAsia"/>
                      <w:color w:val="auto"/>
                      <w:sz w:val="18"/>
                      <w:szCs w:val="18"/>
                      <w:highlight w:val="none"/>
                    </w:rPr>
                  </w:pPr>
                </w:p>
              </w:tc>
              <w:tc>
                <w:tcPr>
                  <w:tcW w:w="1179" w:type="pct"/>
                  <w:vAlign w:val="center"/>
                </w:tcPr>
                <w:p w14:paraId="2BA07C82">
                  <w:pPr>
                    <w:tabs>
                      <w:tab w:val="left" w:pos="1680"/>
                    </w:tabs>
                    <w:jc w:val="center"/>
                    <w:rPr>
                      <w:rFonts w:hint="default" w:ascii="Times New Roman" w:hAnsi="Times New Roman" w:cs="Times New Roman" w:eastAsiaTheme="minorEastAsia"/>
                      <w:bCs/>
                      <w:color w:val="auto"/>
                      <w:sz w:val="18"/>
                      <w:szCs w:val="18"/>
                      <w:highlight w:val="none"/>
                    </w:rPr>
                  </w:pPr>
                  <w:r>
                    <w:rPr>
                      <w:rFonts w:hint="default" w:ascii="Times New Roman" w:hAnsi="Times New Roman" w:cs="Times New Roman" w:eastAsiaTheme="minorEastAsia"/>
                      <w:bCs/>
                      <w:color w:val="auto"/>
                      <w:sz w:val="18"/>
                      <w:szCs w:val="18"/>
                      <w:highlight w:val="none"/>
                    </w:rPr>
                    <w:t>电</w:t>
                  </w:r>
                </w:p>
              </w:tc>
              <w:tc>
                <w:tcPr>
                  <w:tcW w:w="957" w:type="pct"/>
                  <w:vAlign w:val="center"/>
                </w:tcPr>
                <w:p w14:paraId="05956FED">
                  <w:pPr>
                    <w:tabs>
                      <w:tab w:val="left" w:pos="1680"/>
                    </w:tabs>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3</w:t>
                  </w:r>
                  <w:r>
                    <w:rPr>
                      <w:rFonts w:hint="default" w:ascii="Times New Roman" w:hAnsi="Times New Roman" w:cs="Times New Roman" w:eastAsiaTheme="minorEastAsia"/>
                      <w:color w:val="auto"/>
                      <w:sz w:val="18"/>
                      <w:szCs w:val="18"/>
                      <w:highlight w:val="none"/>
                      <w:lang w:val="en-US" w:eastAsia="zh-CN"/>
                    </w:rPr>
                    <w:t>0</w:t>
                  </w:r>
                </w:p>
              </w:tc>
              <w:tc>
                <w:tcPr>
                  <w:tcW w:w="907" w:type="pct"/>
                  <w:vAlign w:val="center"/>
                </w:tcPr>
                <w:p w14:paraId="0F51C70D">
                  <w:pPr>
                    <w:tabs>
                      <w:tab w:val="left" w:pos="1680"/>
                    </w:tabs>
                    <w:jc w:val="center"/>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万kWh/a</w:t>
                  </w:r>
                </w:p>
              </w:tc>
              <w:tc>
                <w:tcPr>
                  <w:tcW w:w="1656" w:type="pct"/>
                  <w:vAlign w:val="center"/>
                </w:tcPr>
                <w:p w14:paraId="4D9E9EF0">
                  <w:pPr>
                    <w:tabs>
                      <w:tab w:val="left" w:pos="1680"/>
                    </w:tabs>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由</w:t>
                  </w:r>
                  <w:r>
                    <w:rPr>
                      <w:rFonts w:hint="default" w:ascii="Times New Roman" w:hAnsi="Times New Roman" w:cs="Times New Roman" w:eastAsiaTheme="minorEastAsia"/>
                      <w:color w:val="auto"/>
                      <w:sz w:val="18"/>
                      <w:szCs w:val="18"/>
                      <w:highlight w:val="none"/>
                      <w:lang w:eastAsia="zh-CN"/>
                    </w:rPr>
                    <w:t>经开区</w:t>
                  </w:r>
                  <w:r>
                    <w:rPr>
                      <w:rFonts w:hint="default" w:ascii="Times New Roman" w:hAnsi="Times New Roman" w:cs="Times New Roman" w:eastAsiaTheme="minorEastAsia"/>
                      <w:color w:val="auto"/>
                      <w:sz w:val="18"/>
                      <w:szCs w:val="18"/>
                      <w:highlight w:val="none"/>
                    </w:rPr>
                    <w:t>供电所线路</w:t>
                  </w:r>
                  <w:r>
                    <w:rPr>
                      <w:rFonts w:hint="default" w:ascii="Times New Roman" w:hAnsi="Times New Roman" w:cs="Times New Roman" w:eastAsiaTheme="minorEastAsia"/>
                      <w:bCs/>
                      <w:color w:val="auto"/>
                      <w:sz w:val="18"/>
                      <w:szCs w:val="18"/>
                      <w:highlight w:val="none"/>
                      <w:lang w:val="de-DE"/>
                    </w:rPr>
                    <w:t>供给</w:t>
                  </w:r>
                </w:p>
              </w:tc>
            </w:tr>
            <w:tr w14:paraId="021C8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Align w:val="center"/>
                </w:tcPr>
                <w:p w14:paraId="2EC1EF93">
                  <w:pPr>
                    <w:pStyle w:val="1042"/>
                    <w:numPr>
                      <w:ilvl w:val="0"/>
                      <w:numId w:val="18"/>
                    </w:numPr>
                    <w:ind w:firstLineChars="0"/>
                    <w:jc w:val="center"/>
                    <w:rPr>
                      <w:rFonts w:hint="default" w:ascii="Times New Roman" w:hAnsi="Times New Roman" w:cs="Times New Roman" w:eastAsiaTheme="minorEastAsia"/>
                      <w:color w:val="auto"/>
                      <w:sz w:val="18"/>
                      <w:szCs w:val="18"/>
                      <w:highlight w:val="none"/>
                    </w:rPr>
                  </w:pPr>
                </w:p>
              </w:tc>
              <w:tc>
                <w:tcPr>
                  <w:tcW w:w="1179" w:type="pct"/>
                  <w:vAlign w:val="center"/>
                </w:tcPr>
                <w:p w14:paraId="4B237622">
                  <w:pPr>
                    <w:tabs>
                      <w:tab w:val="left" w:pos="1680"/>
                    </w:tabs>
                    <w:jc w:val="center"/>
                    <w:rPr>
                      <w:rFonts w:hint="eastAsia"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天然气</w:t>
                  </w:r>
                </w:p>
              </w:tc>
              <w:tc>
                <w:tcPr>
                  <w:tcW w:w="957" w:type="pct"/>
                  <w:vAlign w:val="center"/>
                </w:tcPr>
                <w:p w14:paraId="1ADFD5C5">
                  <w:pPr>
                    <w:tabs>
                      <w:tab w:val="left" w:pos="1680"/>
                    </w:tabs>
                    <w:jc w:val="center"/>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27</w:t>
                  </w:r>
                </w:p>
              </w:tc>
              <w:tc>
                <w:tcPr>
                  <w:tcW w:w="907" w:type="pct"/>
                  <w:vAlign w:val="center"/>
                </w:tcPr>
                <w:p w14:paraId="5E0B7699">
                  <w:pPr>
                    <w:tabs>
                      <w:tab w:val="left" w:pos="1680"/>
                    </w:tabs>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万</w:t>
                  </w:r>
                  <w:r>
                    <w:rPr>
                      <w:rFonts w:hint="default" w:ascii="Times New Roman" w:hAnsi="Times New Roman" w:cs="Times New Roman" w:eastAsiaTheme="minorEastAsia"/>
                      <w:bCs/>
                      <w:color w:val="auto"/>
                      <w:sz w:val="18"/>
                      <w:szCs w:val="18"/>
                      <w:highlight w:val="none"/>
                      <w:lang w:val="en-US" w:eastAsia="zh-CN"/>
                    </w:rPr>
                    <w:t>m</w:t>
                  </w:r>
                  <w:r>
                    <w:rPr>
                      <w:rFonts w:hint="default" w:ascii="Times New Roman" w:hAnsi="Times New Roman" w:cs="Times New Roman" w:eastAsiaTheme="minorEastAsia"/>
                      <w:bCs/>
                      <w:color w:val="auto"/>
                      <w:sz w:val="18"/>
                      <w:szCs w:val="18"/>
                      <w:highlight w:val="none"/>
                      <w:vertAlign w:val="superscript"/>
                      <w:lang w:val="en-US" w:eastAsia="zh-CN"/>
                    </w:rPr>
                    <w:t>3</w:t>
                  </w:r>
                  <w:r>
                    <w:rPr>
                      <w:rFonts w:hint="default" w:ascii="Times New Roman" w:hAnsi="Times New Roman" w:cs="Times New Roman" w:eastAsiaTheme="minorEastAsia"/>
                      <w:bCs/>
                      <w:color w:val="auto"/>
                      <w:sz w:val="18"/>
                      <w:szCs w:val="18"/>
                      <w:highlight w:val="none"/>
                      <w:lang w:val="en-US" w:eastAsia="zh-CN"/>
                    </w:rPr>
                    <w:t>/a</w:t>
                  </w:r>
                </w:p>
              </w:tc>
              <w:tc>
                <w:tcPr>
                  <w:tcW w:w="1656" w:type="pct"/>
                  <w:vAlign w:val="center"/>
                </w:tcPr>
                <w:p w14:paraId="1B0CB834">
                  <w:pPr>
                    <w:tabs>
                      <w:tab w:val="left" w:pos="1680"/>
                    </w:tabs>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管道输送</w:t>
                  </w:r>
                </w:p>
              </w:tc>
            </w:tr>
            <w:tr w14:paraId="67A32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97" w:type="pct"/>
                  <w:vAlign w:val="center"/>
                </w:tcPr>
                <w:p w14:paraId="7E3D102D">
                  <w:pPr>
                    <w:pStyle w:val="1042"/>
                    <w:numPr>
                      <w:ilvl w:val="0"/>
                      <w:numId w:val="18"/>
                    </w:numPr>
                    <w:ind w:firstLineChars="0"/>
                    <w:jc w:val="center"/>
                    <w:rPr>
                      <w:rFonts w:hint="default" w:ascii="Times New Roman" w:hAnsi="Times New Roman" w:cs="Times New Roman" w:eastAsiaTheme="minorEastAsia"/>
                      <w:color w:val="auto"/>
                      <w:sz w:val="18"/>
                      <w:szCs w:val="18"/>
                      <w:highlight w:val="none"/>
                    </w:rPr>
                  </w:pPr>
                </w:p>
              </w:tc>
              <w:tc>
                <w:tcPr>
                  <w:tcW w:w="1179" w:type="pct"/>
                  <w:vAlign w:val="center"/>
                </w:tcPr>
                <w:p w14:paraId="66DA42E7">
                  <w:pPr>
                    <w:tabs>
                      <w:tab w:val="left" w:pos="1680"/>
                    </w:tabs>
                    <w:jc w:val="center"/>
                    <w:rPr>
                      <w:rFonts w:hint="default"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润滑油</w:t>
                  </w:r>
                </w:p>
              </w:tc>
              <w:tc>
                <w:tcPr>
                  <w:tcW w:w="957" w:type="pct"/>
                  <w:vAlign w:val="center"/>
                </w:tcPr>
                <w:p w14:paraId="19B700D2">
                  <w:pPr>
                    <w:tabs>
                      <w:tab w:val="left" w:pos="1680"/>
                    </w:tabs>
                    <w:jc w:val="center"/>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0.3</w:t>
                  </w:r>
                </w:p>
              </w:tc>
              <w:tc>
                <w:tcPr>
                  <w:tcW w:w="907" w:type="pct"/>
                  <w:vAlign w:val="center"/>
                </w:tcPr>
                <w:p w14:paraId="78AB01E6">
                  <w:pPr>
                    <w:tabs>
                      <w:tab w:val="left" w:pos="1680"/>
                    </w:tabs>
                    <w:jc w:val="center"/>
                    <w:rPr>
                      <w:rFonts w:hint="eastAsia" w:cs="Times New Roman" w:eastAsiaTheme="minorEastAsia"/>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656" w:type="pct"/>
                  <w:vAlign w:val="center"/>
                </w:tcPr>
                <w:p w14:paraId="62604FD4">
                  <w:pPr>
                    <w:tabs>
                      <w:tab w:val="left" w:pos="1680"/>
                    </w:tabs>
                    <w:jc w:val="center"/>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外购，桶装，170kg/桶，最大储存量为0.17t</w:t>
                  </w:r>
                </w:p>
              </w:tc>
            </w:tr>
          </w:tbl>
          <w:p w14:paraId="717B6F03">
            <w:pPr>
              <w:pStyle w:val="1042"/>
              <w:adjustRightInd w:val="0"/>
              <w:snapToGrid w:val="0"/>
              <w:spacing w:line="360" w:lineRule="auto"/>
              <w:ind w:left="0" w:leftChars="0" w:firstLine="0" w:firstLineChars="0"/>
              <w:jc w:val="center"/>
              <w:rPr>
                <w:rFonts w:hint="default" w:ascii="Times New Roman" w:hAnsi="Times New Roman" w:cs="Times New Roman"/>
                <w:b/>
                <w:color w:val="auto"/>
                <w:szCs w:val="21"/>
                <w:highlight w:val="none"/>
              </w:rPr>
            </w:pPr>
            <w:r>
              <w:rPr>
                <w:rFonts w:hint="default" w:ascii="Times New Roman" w:hAnsi="Times New Roman" w:cs="Times New Roman" w:eastAsiaTheme="minorEastAsia"/>
                <w:b/>
                <w:color w:val="auto"/>
                <w:szCs w:val="18"/>
                <w:highlight w:val="none"/>
              </w:rPr>
              <w:object>
                <v:shape id="_x0000_i1025" o:spt="75" type="#_x0000_t75" style="height:317.45pt;width:420.8pt;" o:ole="t" filled="f" o:preferrelative="t" stroked="f" coordsize="21600,21600">
                  <v:path/>
                  <v:fill on="f" focussize="0,0"/>
                  <v:stroke on="f"/>
                  <v:imagedata r:id="rId12" o:title=""/>
                  <o:lock v:ext="edit" aspectratio="f"/>
                  <w10:wrap type="none"/>
                  <w10:anchorlock/>
                </v:shape>
                <o:OLEObject Type="Embed" ProgID="Visio.Drawing.15" ShapeID="_x0000_i1025" DrawAspect="Content" ObjectID="_1468075725" r:id="rId11">
                  <o:LockedField>false</o:LockedField>
                </o:OLEObject>
              </w:object>
            </w:r>
            <w:r>
              <w:rPr>
                <w:rFonts w:hint="default" w:ascii="Times New Roman" w:hAnsi="Times New Roman" w:cs="Times New Roman" w:eastAsiaTheme="minorEastAsia"/>
                <w:b/>
                <w:color w:val="auto"/>
                <w:szCs w:val="18"/>
                <w:highlight w:val="none"/>
              </w:rPr>
              <w:t>图2-</w:t>
            </w:r>
            <w:r>
              <w:rPr>
                <w:rFonts w:hint="eastAsia" w:cs="Times New Roman" w:eastAsiaTheme="minorEastAsia"/>
                <w:b/>
                <w:color w:val="auto"/>
                <w:szCs w:val="18"/>
                <w:highlight w:val="none"/>
                <w:lang w:val="en-US" w:eastAsia="zh-CN"/>
              </w:rPr>
              <w:t>1</w:t>
            </w:r>
            <w:r>
              <w:rPr>
                <w:rFonts w:hint="default" w:ascii="Times New Roman" w:hAnsi="Times New Roman" w:cs="Times New Roman" w:eastAsiaTheme="minorEastAsia"/>
                <w:b/>
                <w:color w:val="auto"/>
                <w:szCs w:val="18"/>
                <w:highlight w:val="none"/>
                <w:lang w:val="en-US" w:eastAsia="zh-CN"/>
              </w:rPr>
              <w:t>项目</w:t>
            </w:r>
            <w:r>
              <w:rPr>
                <w:rFonts w:hint="eastAsia" w:cs="Times New Roman" w:eastAsiaTheme="minorEastAsia"/>
                <w:b/>
                <w:color w:val="auto"/>
                <w:szCs w:val="18"/>
                <w:highlight w:val="none"/>
                <w:lang w:val="en-US" w:eastAsia="zh-CN"/>
              </w:rPr>
              <w:t>物料平衡</w:t>
            </w:r>
            <w:r>
              <w:rPr>
                <w:rFonts w:hint="default" w:ascii="Times New Roman" w:hAnsi="Times New Roman" w:cs="Times New Roman" w:eastAsiaTheme="minorEastAsia"/>
                <w:b/>
                <w:color w:val="auto"/>
                <w:szCs w:val="18"/>
                <w:highlight w:val="none"/>
              </w:rPr>
              <w:t>图</w:t>
            </w:r>
            <w:r>
              <w:rPr>
                <w:rFonts w:hint="eastAsia" w:cs="Times New Roman" w:eastAsiaTheme="minorEastAsia"/>
                <w:b/>
                <w:color w:val="auto"/>
                <w:szCs w:val="18"/>
                <w:highlight w:val="none"/>
                <w:lang w:eastAsia="zh-CN"/>
              </w:rPr>
              <w:t>（</w:t>
            </w:r>
            <w:r>
              <w:rPr>
                <w:rFonts w:hint="eastAsia" w:cs="Times New Roman" w:eastAsiaTheme="minorEastAsia"/>
                <w:b/>
                <w:color w:val="auto"/>
                <w:szCs w:val="18"/>
                <w:highlight w:val="none"/>
                <w:lang w:val="en-US" w:eastAsia="zh-CN"/>
              </w:rPr>
              <w:t>t/a</w:t>
            </w:r>
            <w:r>
              <w:rPr>
                <w:rFonts w:hint="eastAsia" w:cs="Times New Roman" w:eastAsiaTheme="minorEastAsia"/>
                <w:b/>
                <w:color w:val="auto"/>
                <w:szCs w:val="18"/>
                <w:highlight w:val="none"/>
                <w:lang w:eastAsia="zh-CN"/>
              </w:rPr>
              <w:t>）</w:t>
            </w:r>
          </w:p>
          <w:p w14:paraId="006D874B">
            <w:pPr>
              <w:spacing w:line="420" w:lineRule="exact"/>
              <w:ind w:firstLine="420" w:firstLineChars="200"/>
              <w:rPr>
                <w:rFonts w:hint="default" w:ascii="Times New Roman" w:hAnsi="Times New Roman" w:eastAsia="宋体" w:cs="Times New Roman"/>
                <w:color w:val="auto"/>
                <w:highlight w:val="none"/>
                <w:lang w:val="en-US" w:eastAsia="zh-CN"/>
              </w:rPr>
            </w:pPr>
            <w:r>
              <w:rPr>
                <w:rFonts w:hint="default" w:ascii="宋体" w:hAnsi="宋体" w:eastAsia="宋体" w:cs="宋体"/>
                <w:color w:val="auto"/>
                <w:highlight w:val="none"/>
                <w:lang w:val="en-US" w:eastAsia="zh-CN"/>
              </w:rPr>
              <w:t>①</w:t>
            </w:r>
            <w:r>
              <w:rPr>
                <w:rFonts w:hint="eastAsia" w:ascii="宋体" w:hAnsi="宋体" w:eastAsia="宋体" w:cs="宋体"/>
                <w:color w:val="auto"/>
                <w:highlight w:val="none"/>
                <w:lang w:val="en-US" w:eastAsia="zh-CN"/>
              </w:rPr>
              <w:t>氧化镧</w:t>
            </w:r>
            <w:r>
              <w:rPr>
                <w:rFonts w:hint="default" w:ascii="Times New Roman" w:hAnsi="Times New Roman" w:eastAsia="宋体" w:cs="Times New Roman"/>
                <w:color w:val="auto"/>
                <w:highlight w:val="none"/>
                <w:lang w:val="en-US" w:eastAsia="zh-CN"/>
              </w:rPr>
              <w:t>铈：氧化镧铈是一种稀土化合物，主要由镧和铈两种稀土元素组成</w:t>
            </w:r>
            <w:r>
              <w:rPr>
                <w:rFonts w:hint="default" w:ascii="Times New Roman" w:hAnsi="Times New Roman" w:cs="Times New Roman"/>
                <w:color w:val="auto"/>
                <w:highlight w:val="none"/>
                <w:lang w:val="en-US" w:eastAsia="zh-CN"/>
              </w:rPr>
              <w:t>。氧化镧铈通常表现为白色或微黄色的结晶粉末。这种化合物具有较高的熔点和沸点，这使得它在高温环境下具有良好的稳定性。氧化镧铈的密度相对较高，约为6.51 g/cm³，在25℃下的测量值。它的溶解性较差，不溶于水，但在稀酸溶液中可以溶解。此外，氧化镧铈在空气中容易吸收二氧化碳和水，逐渐变成碳酸镧。氧化镧铈具有出色的化学稳定性，不易与其他物质发生反应，因此它在高温环境中特别稳定</w:t>
            </w:r>
            <w:r>
              <w:rPr>
                <w:rFonts w:hint="eastAsia" w:cs="Times New Roman"/>
                <w:color w:val="auto"/>
                <w:highlight w:val="none"/>
                <w:lang w:val="en-US" w:eastAsia="zh-CN"/>
              </w:rPr>
              <w:t>。</w:t>
            </w:r>
          </w:p>
          <w:p w14:paraId="3AEB2148">
            <w:pPr>
              <w:spacing w:line="420" w:lineRule="exact"/>
              <w:ind w:firstLine="420" w:firstLineChars="200"/>
              <w:rPr>
                <w:rFonts w:hint="eastAsia" w:ascii="宋体" w:hAnsi="宋体" w:eastAsia="宋体" w:cs="宋体"/>
                <w:color w:val="auto"/>
                <w:highlight w:val="none"/>
                <w:lang w:val="en-US" w:eastAsia="zh-CN"/>
              </w:rPr>
            </w:pPr>
            <w:r>
              <w:rPr>
                <w:rFonts w:hint="default" w:ascii="宋体" w:hAnsi="宋体" w:eastAsia="宋体" w:cs="宋体"/>
                <w:color w:val="auto"/>
                <w:highlight w:val="none"/>
                <w:lang w:val="en-US" w:eastAsia="zh-CN"/>
              </w:rPr>
              <w:t>②</w:t>
            </w:r>
            <w:r>
              <w:rPr>
                <w:rFonts w:hint="eastAsia" w:ascii="宋体" w:hAnsi="宋体" w:eastAsia="宋体" w:cs="宋体"/>
                <w:color w:val="auto"/>
                <w:highlight w:val="none"/>
                <w:lang w:val="en-US" w:eastAsia="zh-CN"/>
              </w:rPr>
              <w:t>氧化硅：无色透明晶体或白色粉末，熔点高、硬度大、难溶于水。氧化硅不与水反应，具有较高的耐火、耐高温、热膨胀系数小、高度绝缘、耐腐蚀、压电效应、谐振效应以及其独特的光学特性</w:t>
            </w:r>
            <w:r>
              <w:rPr>
                <w:rFonts w:hint="eastAsia" w:ascii="宋体" w:hAnsi="宋体" w:cs="宋体"/>
                <w:color w:val="auto"/>
                <w:highlight w:val="none"/>
                <w:lang w:val="en-US" w:eastAsia="zh-CN"/>
              </w:rPr>
              <w:t>。</w:t>
            </w:r>
          </w:p>
          <w:p w14:paraId="57930FE3">
            <w:pPr>
              <w:spacing w:line="420" w:lineRule="exact"/>
              <w:ind w:firstLine="420" w:firstLineChars="200"/>
              <w:rPr>
                <w:rFonts w:hint="eastAsia" w:cs="Times New Roman"/>
                <w:color w:val="auto"/>
                <w:highlight w:val="none"/>
                <w:lang w:val="en-US" w:eastAsia="zh-CN"/>
              </w:rPr>
            </w:pPr>
            <w:r>
              <w:rPr>
                <w:rFonts w:hint="default" w:ascii="宋体" w:hAnsi="宋体" w:eastAsia="宋体" w:cs="宋体"/>
                <w:color w:val="auto"/>
                <w:highlight w:val="none"/>
                <w:lang w:val="en-US" w:eastAsia="zh-CN"/>
              </w:rPr>
              <w:t>③</w:t>
            </w:r>
            <w:r>
              <w:rPr>
                <w:rFonts w:hint="eastAsia" w:ascii="宋体" w:hAnsi="宋体" w:eastAsia="宋体" w:cs="宋体"/>
                <w:color w:val="auto"/>
                <w:highlight w:val="none"/>
                <w:lang w:val="en-US" w:eastAsia="zh-CN"/>
              </w:rPr>
              <w:t>氧</w:t>
            </w:r>
            <w:r>
              <w:rPr>
                <w:rFonts w:hint="eastAsia" w:cs="Times New Roman"/>
                <w:color w:val="auto"/>
                <w:highlight w:val="none"/>
                <w:lang w:val="en-US" w:eastAsia="zh-CN"/>
              </w:rPr>
              <w:t>化钙：白色粉末状物质，具有强烈的碱性，在常温常压下为稳定物质，但在高温下易分解，放出氧气；是一种强烈的脱水剂，可以吸收水分，与水反应产生热量，生成氢氧化钙；具有良好的耐火性能，在高温下不易熔化，是一种重要的耐火材料；具有良好的抗腐蚀性能，在一些化学反应和制药工业中也有广泛应用。</w:t>
            </w:r>
          </w:p>
          <w:p w14:paraId="65BF009A">
            <w:pPr>
              <w:spacing w:line="420" w:lineRule="exact"/>
              <w:ind w:firstLine="420" w:firstLineChars="200"/>
              <w:rPr>
                <w:rFonts w:hint="eastAsia" w:cs="Times New Roman"/>
                <w:color w:val="auto"/>
                <w:highlight w:val="none"/>
                <w:lang w:val="en-US" w:eastAsia="zh-CN"/>
              </w:rPr>
            </w:pPr>
            <w:r>
              <w:rPr>
                <w:rFonts w:hint="eastAsia" w:ascii="宋体" w:hAnsi="宋体" w:eastAsia="宋体" w:cs="宋体"/>
                <w:color w:val="auto"/>
                <w:highlight w:val="none"/>
                <w:lang w:val="en-US" w:eastAsia="zh-CN"/>
              </w:rPr>
              <w:t>④</w:t>
            </w:r>
            <w:r>
              <w:rPr>
                <w:rFonts w:hint="eastAsia" w:cs="Times New Roman"/>
                <w:color w:val="auto"/>
                <w:highlight w:val="none"/>
                <w:lang w:val="en-US" w:eastAsia="zh-CN"/>
              </w:rPr>
              <w:t>氧化铝：化学式Al</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O</w:t>
            </w:r>
            <w:r>
              <w:rPr>
                <w:rFonts w:hint="eastAsia" w:cs="Times New Roman"/>
                <w:color w:val="auto"/>
                <w:highlight w:val="none"/>
                <w:vertAlign w:val="subscript"/>
                <w:lang w:val="en-US" w:eastAsia="zh-CN"/>
              </w:rPr>
              <w:t>3</w:t>
            </w:r>
            <w:r>
              <w:rPr>
                <w:rFonts w:hint="eastAsia" w:cs="Times New Roman"/>
                <w:color w:val="auto"/>
                <w:highlight w:val="none"/>
                <w:lang w:val="en-US" w:eastAsia="zh-CN"/>
              </w:rPr>
              <w:t>。是一种高硬度的化合物，难溶于水的白色固体，无臭、无味、质极硬，易吸潮而不潮解（灼烧过的不吸湿）。两性氧化物，能溶于无机酸和碱性溶液中，几乎不溶于水及非极性有机溶剂；相对密度4.0；熔点2050℃，沸点为2980℃，在高温下可电离的离子晶体，常用于制造耐火材料。</w:t>
            </w:r>
          </w:p>
          <w:p w14:paraId="343B5805">
            <w:pPr>
              <w:spacing w:line="420" w:lineRule="exact"/>
              <w:ind w:firstLine="420" w:firstLineChars="200"/>
              <w:rPr>
                <w:rFonts w:hint="default" w:ascii="Times New Roman" w:hAnsi="Times New Roman" w:cs="Times New Roman"/>
                <w:color w:val="auto"/>
              </w:rPr>
            </w:pPr>
            <w:r>
              <w:rPr>
                <w:rFonts w:hint="eastAsia" w:ascii="宋体" w:hAnsi="宋体" w:eastAsia="宋体" w:cs="宋体"/>
                <w:color w:val="auto"/>
                <w:highlight w:val="none"/>
                <w:lang w:val="en-US" w:eastAsia="zh-CN"/>
              </w:rPr>
              <w:t>⑤</w:t>
            </w:r>
            <w:r>
              <w:rPr>
                <w:rFonts w:hint="eastAsia" w:cs="Times New Roman"/>
                <w:color w:val="auto"/>
                <w:highlight w:val="none"/>
                <w:lang w:val="en-US" w:eastAsia="zh-CN"/>
              </w:rPr>
              <w:t>硼酸锌：分子式为HBO</w:t>
            </w:r>
            <w:r>
              <w:rPr>
                <w:rFonts w:hint="eastAsia" w:cs="Times New Roman"/>
                <w:color w:val="auto"/>
                <w:highlight w:val="none"/>
                <w:vertAlign w:val="subscript"/>
                <w:lang w:val="en-US" w:eastAsia="zh-CN"/>
              </w:rPr>
              <w:t>3</w:t>
            </w:r>
            <w:r>
              <w:rPr>
                <w:rFonts w:hint="eastAsia" w:cs="Times New Roman"/>
                <w:color w:val="auto"/>
                <w:highlight w:val="none"/>
                <w:lang w:val="en-US" w:eastAsia="zh-CN"/>
              </w:rPr>
              <w:t>Zn，分子量为125.2261，白色三斜晶体或无定形粉末，微溶于水，晶体不溶于盐酸，无定形粉末则溶于盐酸。硼酸锌主要用作无机类添加剂、无毒阻燃剂，用于塑料、橡胶、纺织、涂料等行业。</w:t>
            </w:r>
          </w:p>
          <w:p w14:paraId="702890D5">
            <w:pPr>
              <w:spacing w:line="42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9、主要生产设备</w:t>
            </w:r>
          </w:p>
          <w:p w14:paraId="76A531EF">
            <w:pPr>
              <w:spacing w:line="42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lang w:eastAsia="zh-CN"/>
              </w:rPr>
              <w:t>本项目</w:t>
            </w:r>
            <w:r>
              <w:rPr>
                <w:rFonts w:hint="default" w:ascii="Times New Roman" w:hAnsi="Times New Roman" w:cs="Times New Roman"/>
                <w:color w:val="auto"/>
                <w:kern w:val="0"/>
              </w:rPr>
              <w:t>主要设备见表2-</w:t>
            </w:r>
            <w:r>
              <w:rPr>
                <w:rFonts w:hint="eastAsia" w:cs="Times New Roman"/>
                <w:color w:val="auto"/>
                <w:kern w:val="0"/>
                <w:lang w:val="en-US" w:eastAsia="zh-CN"/>
              </w:rPr>
              <w:t>6</w:t>
            </w:r>
            <w:r>
              <w:rPr>
                <w:rFonts w:hint="default" w:ascii="Times New Roman" w:hAnsi="Times New Roman" w:cs="Times New Roman"/>
                <w:color w:val="auto"/>
                <w:kern w:val="0"/>
              </w:rPr>
              <w:t>。</w:t>
            </w:r>
          </w:p>
          <w:p w14:paraId="3699DCFD">
            <w:pPr>
              <w:spacing w:line="420" w:lineRule="exact"/>
              <w:jc w:val="center"/>
              <w:rPr>
                <w:rFonts w:hint="default" w:ascii="Times New Roman" w:hAnsi="Times New Roman" w:eastAsia="宋体" w:cs="Times New Roman"/>
                <w:b/>
                <w:bCs/>
                <w:color w:val="auto"/>
                <w:lang w:eastAsia="zh-CN"/>
              </w:rPr>
            </w:pPr>
            <w:r>
              <w:rPr>
                <w:rFonts w:hint="default" w:ascii="Times New Roman" w:hAnsi="Times New Roman" w:cs="Times New Roman"/>
                <w:b/>
                <w:bCs/>
                <w:color w:val="auto"/>
              </w:rPr>
              <w:t>表2-</w:t>
            </w:r>
            <w:r>
              <w:rPr>
                <w:rFonts w:hint="eastAsia" w:cs="Times New Roman"/>
                <w:b/>
                <w:bCs/>
                <w:color w:val="auto"/>
                <w:lang w:val="en-US" w:eastAsia="zh-CN"/>
              </w:rPr>
              <w:t>6</w:t>
            </w:r>
            <w:r>
              <w:rPr>
                <w:rFonts w:hint="default" w:ascii="Times New Roman" w:hAnsi="Times New Roman" w:cs="Times New Roman"/>
                <w:b/>
                <w:bCs/>
                <w:color w:val="auto"/>
              </w:rPr>
              <w:t>项目主要设备</w:t>
            </w:r>
            <w:r>
              <w:rPr>
                <w:rFonts w:hint="default" w:ascii="Times New Roman" w:hAnsi="Times New Roman" w:cs="Times New Roman"/>
                <w:b/>
                <w:bCs/>
                <w:color w:val="auto"/>
                <w:lang w:eastAsia="zh-CN"/>
              </w:rPr>
              <w:t>清单</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905"/>
              <w:gridCol w:w="905"/>
              <w:gridCol w:w="1810"/>
              <w:gridCol w:w="974"/>
              <w:gridCol w:w="1725"/>
              <w:gridCol w:w="1370"/>
            </w:tblGrid>
            <w:tr w14:paraId="768F4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blHeader/>
                <w:jc w:val="center"/>
              </w:trPr>
              <w:tc>
                <w:tcPr>
                  <w:tcW w:w="427" w:type="pct"/>
                  <w:vAlign w:val="center"/>
                </w:tcPr>
                <w:p w14:paraId="51A1622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序号</w:t>
                  </w:r>
                </w:p>
              </w:tc>
              <w:tc>
                <w:tcPr>
                  <w:tcW w:w="538" w:type="pct"/>
                  <w:shd w:val="clear" w:color="auto" w:fill="auto"/>
                  <w:vAlign w:val="center"/>
                </w:tcPr>
                <w:p w14:paraId="0AF6F00C">
                  <w:pPr>
                    <w:pStyle w:val="11"/>
                    <w:adjustRightInd w:val="0"/>
                    <w:snapToGrid w:val="0"/>
                    <w:jc w:val="center"/>
                    <w:rPr>
                      <w:rFonts w:hint="default" w:ascii="Times New Roman" w:hAnsi="Times New Roman" w:eastAsia="宋体" w:cs="Times New Roman"/>
                      <w:b/>
                      <w:color w:val="auto"/>
                      <w:kern w:val="2"/>
                      <w:sz w:val="18"/>
                      <w:szCs w:val="18"/>
                      <w:highlight w:val="none"/>
                      <w:lang w:val="en-US" w:eastAsia="zh-CN" w:bidi="ar-SA"/>
                    </w:rPr>
                  </w:pPr>
                  <w:r>
                    <w:rPr>
                      <w:rFonts w:hint="default" w:ascii="Times New Roman" w:hAnsi="Times New Roman" w:cs="Times New Roman"/>
                      <w:b/>
                      <w:color w:val="auto"/>
                      <w:sz w:val="18"/>
                      <w:szCs w:val="18"/>
                      <w:highlight w:val="none"/>
                    </w:rPr>
                    <w:t>主要生产单元</w:t>
                  </w:r>
                </w:p>
              </w:tc>
              <w:tc>
                <w:tcPr>
                  <w:tcW w:w="538" w:type="pct"/>
                  <w:shd w:val="clear" w:color="auto" w:fill="auto"/>
                  <w:vAlign w:val="center"/>
                </w:tcPr>
                <w:p w14:paraId="688DE378">
                  <w:pPr>
                    <w:pStyle w:val="11"/>
                    <w:adjustRightInd w:val="0"/>
                    <w:snapToGrid w:val="0"/>
                    <w:jc w:val="center"/>
                    <w:rPr>
                      <w:rFonts w:hint="default" w:ascii="Times New Roman" w:hAnsi="Times New Roman" w:eastAsia="宋体" w:cs="Times New Roman"/>
                      <w:b/>
                      <w:color w:val="auto"/>
                      <w:kern w:val="2"/>
                      <w:sz w:val="18"/>
                      <w:szCs w:val="18"/>
                      <w:highlight w:val="none"/>
                      <w:lang w:val="en-US" w:eastAsia="zh-CN" w:bidi="ar-SA"/>
                    </w:rPr>
                  </w:pPr>
                  <w:r>
                    <w:rPr>
                      <w:rFonts w:hint="default" w:ascii="Times New Roman" w:hAnsi="Times New Roman" w:cs="Times New Roman"/>
                      <w:b/>
                      <w:color w:val="auto"/>
                      <w:sz w:val="18"/>
                      <w:szCs w:val="18"/>
                      <w:highlight w:val="none"/>
                    </w:rPr>
                    <w:t>主要工艺</w:t>
                  </w:r>
                </w:p>
              </w:tc>
              <w:tc>
                <w:tcPr>
                  <w:tcW w:w="1076" w:type="pct"/>
                  <w:shd w:val="clear" w:color="auto" w:fill="auto"/>
                  <w:vAlign w:val="center"/>
                </w:tcPr>
                <w:p w14:paraId="0FBEB886">
                  <w:pPr>
                    <w:pStyle w:val="11"/>
                    <w:adjustRightInd w:val="0"/>
                    <w:snapToGrid w:val="0"/>
                    <w:jc w:val="center"/>
                    <w:rPr>
                      <w:rFonts w:hint="default" w:ascii="Times New Roman" w:hAnsi="Times New Roman" w:eastAsia="宋体" w:cs="Times New Roman"/>
                      <w:b/>
                      <w:color w:val="auto"/>
                      <w:kern w:val="2"/>
                      <w:sz w:val="18"/>
                      <w:szCs w:val="18"/>
                      <w:highlight w:val="none"/>
                      <w:lang w:val="en-US" w:eastAsia="zh-CN" w:bidi="ar-SA"/>
                    </w:rPr>
                  </w:pPr>
                  <w:r>
                    <w:rPr>
                      <w:rFonts w:hint="default" w:ascii="Times New Roman" w:hAnsi="Times New Roman" w:cs="Times New Roman"/>
                      <w:b/>
                      <w:color w:val="auto"/>
                      <w:sz w:val="18"/>
                      <w:szCs w:val="18"/>
                      <w:highlight w:val="none"/>
                    </w:rPr>
                    <w:t>生产设施</w:t>
                  </w:r>
                </w:p>
              </w:tc>
              <w:tc>
                <w:tcPr>
                  <w:tcW w:w="579" w:type="pct"/>
                  <w:vAlign w:val="center"/>
                </w:tcPr>
                <w:p w14:paraId="1669154D">
                  <w:pPr>
                    <w:jc w:val="center"/>
                    <w:rPr>
                      <w:rFonts w:hint="default" w:ascii="Times New Roman" w:hAnsi="Times New Roman" w:cs="Times New Roman"/>
                      <w:b/>
                      <w:color w:val="auto"/>
                      <w:sz w:val="18"/>
                      <w:szCs w:val="18"/>
                      <w:lang w:eastAsia="zh-CN"/>
                    </w:rPr>
                  </w:pPr>
                  <w:r>
                    <w:rPr>
                      <w:rFonts w:hint="default" w:ascii="Times New Roman" w:hAnsi="Times New Roman" w:cs="Times New Roman"/>
                      <w:b/>
                      <w:color w:val="auto"/>
                      <w:sz w:val="18"/>
                      <w:szCs w:val="18"/>
                      <w:lang w:eastAsia="zh-CN"/>
                    </w:rPr>
                    <w:t>型号</w:t>
                  </w:r>
                </w:p>
              </w:tc>
              <w:tc>
                <w:tcPr>
                  <w:tcW w:w="1025" w:type="pct"/>
                  <w:vAlign w:val="center"/>
                </w:tcPr>
                <w:p w14:paraId="2EB60953">
                  <w:pPr>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lang w:eastAsia="zh-CN"/>
                    </w:rPr>
                    <w:t>数量（台</w:t>
                  </w:r>
                  <w:r>
                    <w:rPr>
                      <w:rFonts w:hint="default" w:ascii="Times New Roman" w:hAnsi="Times New Roman" w:cs="Times New Roman"/>
                      <w:b/>
                      <w:color w:val="auto"/>
                      <w:sz w:val="18"/>
                      <w:szCs w:val="18"/>
                      <w:lang w:val="en-US" w:eastAsia="zh-CN"/>
                    </w:rPr>
                    <w:t>/套</w:t>
                  </w:r>
                  <w:r>
                    <w:rPr>
                      <w:rFonts w:hint="default" w:ascii="Times New Roman" w:hAnsi="Times New Roman" w:cs="Times New Roman"/>
                      <w:b/>
                      <w:color w:val="auto"/>
                      <w:sz w:val="18"/>
                      <w:szCs w:val="18"/>
                      <w:lang w:eastAsia="zh-CN"/>
                    </w:rPr>
                    <w:t>）</w:t>
                  </w:r>
                </w:p>
              </w:tc>
              <w:tc>
                <w:tcPr>
                  <w:tcW w:w="814" w:type="pct"/>
                  <w:vAlign w:val="center"/>
                </w:tcPr>
                <w:p w14:paraId="3FBB6A96">
                  <w:pPr>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备注</w:t>
                  </w:r>
                </w:p>
              </w:tc>
            </w:tr>
            <w:tr w14:paraId="5891D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6" w:hRule="atLeast"/>
                <w:jc w:val="center"/>
              </w:trPr>
              <w:tc>
                <w:tcPr>
                  <w:tcW w:w="427" w:type="pct"/>
                  <w:vAlign w:val="center"/>
                </w:tcPr>
                <w:p w14:paraId="18A85A53">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w:t>
                  </w:r>
                </w:p>
              </w:tc>
              <w:tc>
                <w:tcPr>
                  <w:tcW w:w="538" w:type="pct"/>
                  <w:vMerge w:val="restart"/>
                  <w:shd w:val="clear" w:color="auto" w:fill="auto"/>
                  <w:vAlign w:val="center"/>
                </w:tcPr>
                <w:p w14:paraId="252487C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高性能抛光粉体生产单元</w:t>
                  </w:r>
                </w:p>
              </w:tc>
              <w:tc>
                <w:tcPr>
                  <w:tcW w:w="538" w:type="pct"/>
                  <w:shd w:val="clear" w:color="auto" w:fill="auto"/>
                  <w:vAlign w:val="center"/>
                </w:tcPr>
                <w:p w14:paraId="24CF4FD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烧制</w:t>
                  </w:r>
                </w:p>
              </w:tc>
              <w:tc>
                <w:tcPr>
                  <w:tcW w:w="1076" w:type="pct"/>
                  <w:shd w:val="clear" w:color="auto" w:fill="auto"/>
                  <w:vAlign w:val="center"/>
                </w:tcPr>
                <w:p w14:paraId="656593A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隧道窑</w:t>
                  </w:r>
                </w:p>
              </w:tc>
              <w:tc>
                <w:tcPr>
                  <w:tcW w:w="579" w:type="pct"/>
                  <w:shd w:val="clear" w:color="auto" w:fill="auto"/>
                  <w:vAlign w:val="center"/>
                </w:tcPr>
                <w:p w14:paraId="1892622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60m</w:t>
                  </w:r>
                </w:p>
              </w:tc>
              <w:tc>
                <w:tcPr>
                  <w:tcW w:w="1025" w:type="pct"/>
                  <w:shd w:val="clear" w:color="auto" w:fill="auto"/>
                  <w:vAlign w:val="center"/>
                </w:tcPr>
                <w:p w14:paraId="7FC1D21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814" w:type="pct"/>
                  <w:vAlign w:val="center"/>
                </w:tcPr>
                <w:p w14:paraId="52AEF884">
                  <w:pPr>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利用现有设备</w:t>
                  </w:r>
                </w:p>
              </w:tc>
            </w:tr>
            <w:tr w14:paraId="7F242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427" w:type="pct"/>
                  <w:vAlign w:val="center"/>
                </w:tcPr>
                <w:p w14:paraId="371C25EE">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w:t>
                  </w:r>
                </w:p>
              </w:tc>
              <w:tc>
                <w:tcPr>
                  <w:tcW w:w="538" w:type="pct"/>
                  <w:vMerge w:val="continue"/>
                  <w:shd w:val="clear" w:color="auto" w:fill="auto"/>
                  <w:vAlign w:val="center"/>
                </w:tcPr>
                <w:p w14:paraId="67EC29D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538" w:type="pct"/>
                  <w:shd w:val="clear" w:color="auto" w:fill="auto"/>
                  <w:vAlign w:val="center"/>
                </w:tcPr>
                <w:p w14:paraId="237C550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筛分</w:t>
                  </w:r>
                </w:p>
              </w:tc>
              <w:tc>
                <w:tcPr>
                  <w:tcW w:w="1076" w:type="pct"/>
                  <w:shd w:val="clear" w:color="auto" w:fill="auto"/>
                  <w:vAlign w:val="center"/>
                </w:tcPr>
                <w:p w14:paraId="1964473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振动筛</w:t>
                  </w:r>
                </w:p>
              </w:tc>
              <w:tc>
                <w:tcPr>
                  <w:tcW w:w="579" w:type="pct"/>
                  <w:shd w:val="clear" w:color="auto" w:fill="auto"/>
                  <w:vAlign w:val="center"/>
                </w:tcPr>
                <w:p w14:paraId="29751C9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XZ-1000</w:t>
                  </w:r>
                </w:p>
              </w:tc>
              <w:tc>
                <w:tcPr>
                  <w:tcW w:w="1025" w:type="pct"/>
                  <w:shd w:val="clear" w:color="auto" w:fill="auto"/>
                  <w:vAlign w:val="center"/>
                </w:tcPr>
                <w:p w14:paraId="0E200ED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w:t>
                  </w:r>
                </w:p>
              </w:tc>
              <w:tc>
                <w:tcPr>
                  <w:tcW w:w="814" w:type="pct"/>
                  <w:vAlign w:val="center"/>
                </w:tcPr>
                <w:p w14:paraId="64FD7958">
                  <w:pPr>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新增</w:t>
                  </w:r>
                </w:p>
              </w:tc>
            </w:tr>
            <w:tr w14:paraId="3D4F2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6" w:hRule="atLeast"/>
                <w:jc w:val="center"/>
              </w:trPr>
              <w:tc>
                <w:tcPr>
                  <w:tcW w:w="427" w:type="pct"/>
                  <w:vAlign w:val="center"/>
                </w:tcPr>
                <w:p w14:paraId="73D9E1B0">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3</w:t>
                  </w:r>
                </w:p>
              </w:tc>
              <w:tc>
                <w:tcPr>
                  <w:tcW w:w="538" w:type="pct"/>
                  <w:vMerge w:val="continue"/>
                  <w:shd w:val="clear" w:color="auto" w:fill="auto"/>
                  <w:vAlign w:val="center"/>
                </w:tcPr>
                <w:p w14:paraId="47607E3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538" w:type="pct"/>
                  <w:shd w:val="clear" w:color="auto" w:fill="auto"/>
                  <w:vAlign w:val="center"/>
                </w:tcPr>
                <w:p w14:paraId="4940321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上料</w:t>
                  </w:r>
                </w:p>
              </w:tc>
              <w:tc>
                <w:tcPr>
                  <w:tcW w:w="1076" w:type="pct"/>
                  <w:shd w:val="clear" w:color="auto" w:fill="auto"/>
                  <w:vAlign w:val="center"/>
                </w:tcPr>
                <w:p w14:paraId="73B2334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螺旋上料机</w:t>
                  </w:r>
                </w:p>
              </w:tc>
              <w:tc>
                <w:tcPr>
                  <w:tcW w:w="579" w:type="pct"/>
                  <w:shd w:val="clear" w:color="auto" w:fill="auto"/>
                  <w:vAlign w:val="center"/>
                </w:tcPr>
                <w:p w14:paraId="4083AC8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Φ110mm</w:t>
                  </w:r>
                </w:p>
              </w:tc>
              <w:tc>
                <w:tcPr>
                  <w:tcW w:w="1025" w:type="pct"/>
                  <w:shd w:val="clear" w:color="auto" w:fill="auto"/>
                  <w:vAlign w:val="center"/>
                </w:tcPr>
                <w:p w14:paraId="129856C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w:t>
                  </w:r>
                </w:p>
              </w:tc>
              <w:tc>
                <w:tcPr>
                  <w:tcW w:w="814" w:type="pct"/>
                  <w:vAlign w:val="center"/>
                </w:tcPr>
                <w:p w14:paraId="09ED4CD6">
                  <w:pPr>
                    <w:jc w:val="center"/>
                    <w:rPr>
                      <w:rFonts w:hint="default" w:ascii="Times New Roman" w:hAnsi="Times New Roman" w:cs="Times New Roman"/>
                      <w:color w:val="auto"/>
                      <w:sz w:val="18"/>
                      <w:szCs w:val="18"/>
                      <w:lang w:eastAsia="zh-CN"/>
                    </w:rPr>
                  </w:pPr>
                  <w:r>
                    <w:rPr>
                      <w:rFonts w:hint="eastAsia" w:cs="Times New Roman"/>
                      <w:color w:val="auto"/>
                      <w:sz w:val="18"/>
                      <w:szCs w:val="18"/>
                      <w:lang w:val="en-US" w:eastAsia="zh-CN"/>
                    </w:rPr>
                    <w:t>新增</w:t>
                  </w:r>
                </w:p>
              </w:tc>
            </w:tr>
            <w:tr w14:paraId="53867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427" w:type="pct"/>
                  <w:vAlign w:val="center"/>
                </w:tcPr>
                <w:p w14:paraId="24A180FE">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4</w:t>
                  </w:r>
                </w:p>
              </w:tc>
              <w:tc>
                <w:tcPr>
                  <w:tcW w:w="538" w:type="pct"/>
                  <w:vMerge w:val="continue"/>
                  <w:shd w:val="clear" w:color="auto" w:fill="auto"/>
                  <w:vAlign w:val="center"/>
                </w:tcPr>
                <w:p w14:paraId="48C3969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538" w:type="pct"/>
                  <w:shd w:val="clear" w:color="auto" w:fill="auto"/>
                  <w:vAlign w:val="center"/>
                </w:tcPr>
                <w:p w14:paraId="01AB814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混料</w:t>
                  </w:r>
                </w:p>
              </w:tc>
              <w:tc>
                <w:tcPr>
                  <w:tcW w:w="1076" w:type="pct"/>
                  <w:shd w:val="clear" w:color="auto" w:fill="auto"/>
                  <w:vAlign w:val="center"/>
                </w:tcPr>
                <w:p w14:paraId="7040D8C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行星混料机</w:t>
                  </w:r>
                </w:p>
              </w:tc>
              <w:tc>
                <w:tcPr>
                  <w:tcW w:w="579" w:type="pct"/>
                  <w:shd w:val="clear" w:color="auto" w:fill="auto"/>
                  <w:vAlign w:val="center"/>
                </w:tcPr>
                <w:p w14:paraId="7EA8062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500kg</w:t>
                  </w:r>
                </w:p>
              </w:tc>
              <w:tc>
                <w:tcPr>
                  <w:tcW w:w="1025" w:type="pct"/>
                  <w:shd w:val="clear" w:color="auto" w:fill="auto"/>
                  <w:vAlign w:val="center"/>
                </w:tcPr>
                <w:p w14:paraId="6F6F811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814" w:type="pct"/>
                  <w:vAlign w:val="center"/>
                </w:tcPr>
                <w:p w14:paraId="4B941324">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新增</w:t>
                  </w:r>
                </w:p>
              </w:tc>
            </w:tr>
            <w:tr w14:paraId="6FF55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6" w:hRule="atLeast"/>
                <w:jc w:val="center"/>
              </w:trPr>
              <w:tc>
                <w:tcPr>
                  <w:tcW w:w="427" w:type="pct"/>
                  <w:vAlign w:val="center"/>
                </w:tcPr>
                <w:p w14:paraId="1C39223F">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5</w:t>
                  </w:r>
                </w:p>
              </w:tc>
              <w:tc>
                <w:tcPr>
                  <w:tcW w:w="538" w:type="pct"/>
                  <w:vMerge w:val="continue"/>
                  <w:shd w:val="clear" w:color="auto" w:fill="auto"/>
                  <w:vAlign w:val="center"/>
                </w:tcPr>
                <w:p w14:paraId="4918038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538" w:type="pct"/>
                  <w:shd w:val="clear" w:color="auto" w:fill="auto"/>
                  <w:vAlign w:val="center"/>
                </w:tcPr>
                <w:p w14:paraId="21D3B63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自动搬运</w:t>
                  </w:r>
                </w:p>
              </w:tc>
              <w:tc>
                <w:tcPr>
                  <w:tcW w:w="1076" w:type="pct"/>
                  <w:shd w:val="clear" w:color="auto" w:fill="auto"/>
                  <w:vAlign w:val="center"/>
                </w:tcPr>
                <w:p w14:paraId="47A8A2B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机械臂</w:t>
                  </w:r>
                </w:p>
              </w:tc>
              <w:tc>
                <w:tcPr>
                  <w:tcW w:w="579" w:type="pct"/>
                  <w:shd w:val="clear" w:color="auto" w:fill="auto"/>
                  <w:vAlign w:val="center"/>
                </w:tcPr>
                <w:p w14:paraId="51653E2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定制</w:t>
                  </w:r>
                </w:p>
              </w:tc>
              <w:tc>
                <w:tcPr>
                  <w:tcW w:w="1025" w:type="pct"/>
                  <w:shd w:val="clear" w:color="auto" w:fill="auto"/>
                  <w:vAlign w:val="center"/>
                </w:tcPr>
                <w:p w14:paraId="2E7F293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2</w:t>
                  </w:r>
                </w:p>
              </w:tc>
              <w:tc>
                <w:tcPr>
                  <w:tcW w:w="814" w:type="pct"/>
                  <w:vAlign w:val="center"/>
                </w:tcPr>
                <w:p w14:paraId="3E7684F4">
                  <w:pPr>
                    <w:jc w:val="center"/>
                    <w:rPr>
                      <w:rFonts w:hint="default" w:ascii="Times New Roman" w:hAnsi="Times New Roman" w:cs="Times New Roman"/>
                      <w:color w:val="auto"/>
                      <w:sz w:val="18"/>
                      <w:szCs w:val="18"/>
                      <w:lang w:eastAsia="zh-CN"/>
                    </w:rPr>
                  </w:pPr>
                  <w:r>
                    <w:rPr>
                      <w:rFonts w:hint="eastAsia" w:cs="Times New Roman"/>
                      <w:color w:val="auto"/>
                      <w:sz w:val="18"/>
                      <w:szCs w:val="18"/>
                      <w:lang w:val="en-US" w:eastAsia="zh-CN"/>
                    </w:rPr>
                    <w:t>新增</w:t>
                  </w:r>
                </w:p>
              </w:tc>
            </w:tr>
            <w:tr w14:paraId="12E20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427" w:type="pct"/>
                  <w:vAlign w:val="center"/>
                </w:tcPr>
                <w:p w14:paraId="3768676E">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6</w:t>
                  </w:r>
                </w:p>
              </w:tc>
              <w:tc>
                <w:tcPr>
                  <w:tcW w:w="538" w:type="pct"/>
                  <w:vMerge w:val="continue"/>
                  <w:shd w:val="clear" w:color="auto" w:fill="auto"/>
                  <w:vAlign w:val="center"/>
                </w:tcPr>
                <w:p w14:paraId="7FBAF6B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538" w:type="pct"/>
                  <w:shd w:val="clear" w:color="auto" w:fill="auto"/>
                  <w:vAlign w:val="center"/>
                </w:tcPr>
                <w:p w14:paraId="36588B8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包装</w:t>
                  </w:r>
                </w:p>
              </w:tc>
              <w:tc>
                <w:tcPr>
                  <w:tcW w:w="1076" w:type="pct"/>
                  <w:shd w:val="clear" w:color="auto" w:fill="auto"/>
                  <w:vAlign w:val="center"/>
                </w:tcPr>
                <w:p w14:paraId="71DC213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装粉机</w:t>
                  </w:r>
                </w:p>
              </w:tc>
              <w:tc>
                <w:tcPr>
                  <w:tcW w:w="579" w:type="pct"/>
                  <w:shd w:val="clear" w:color="auto" w:fill="auto"/>
                  <w:vAlign w:val="center"/>
                </w:tcPr>
                <w:p w14:paraId="26B437B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定制</w:t>
                  </w:r>
                </w:p>
              </w:tc>
              <w:tc>
                <w:tcPr>
                  <w:tcW w:w="1025" w:type="pct"/>
                  <w:shd w:val="clear" w:color="auto" w:fill="auto"/>
                  <w:vAlign w:val="center"/>
                </w:tcPr>
                <w:p w14:paraId="21C6C9D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w:t>
                  </w:r>
                </w:p>
              </w:tc>
              <w:tc>
                <w:tcPr>
                  <w:tcW w:w="814" w:type="pct"/>
                  <w:vAlign w:val="center"/>
                </w:tcPr>
                <w:p w14:paraId="19CD6263">
                  <w:pPr>
                    <w:jc w:val="center"/>
                    <w:rPr>
                      <w:rFonts w:hint="default" w:ascii="Times New Roman" w:hAnsi="Times New Roman" w:cs="Times New Roman"/>
                      <w:color w:val="auto"/>
                      <w:sz w:val="18"/>
                      <w:szCs w:val="18"/>
                      <w:lang w:eastAsia="zh-CN"/>
                    </w:rPr>
                  </w:pPr>
                  <w:r>
                    <w:rPr>
                      <w:rFonts w:hint="eastAsia" w:cs="Times New Roman"/>
                      <w:color w:val="auto"/>
                      <w:sz w:val="18"/>
                      <w:szCs w:val="18"/>
                      <w:lang w:val="en-US" w:eastAsia="zh-CN"/>
                    </w:rPr>
                    <w:t>新增</w:t>
                  </w:r>
                </w:p>
              </w:tc>
            </w:tr>
            <w:tr w14:paraId="62C1B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6" w:hRule="atLeast"/>
                <w:jc w:val="center"/>
              </w:trPr>
              <w:tc>
                <w:tcPr>
                  <w:tcW w:w="427" w:type="pct"/>
                  <w:vAlign w:val="center"/>
                </w:tcPr>
                <w:p w14:paraId="023FAC50">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7</w:t>
                  </w:r>
                </w:p>
              </w:tc>
              <w:tc>
                <w:tcPr>
                  <w:tcW w:w="538" w:type="pct"/>
                  <w:vMerge w:val="continue"/>
                  <w:shd w:val="clear" w:color="auto" w:fill="auto"/>
                  <w:vAlign w:val="center"/>
                </w:tcPr>
                <w:p w14:paraId="6E70FC9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p>
              </w:tc>
              <w:tc>
                <w:tcPr>
                  <w:tcW w:w="538" w:type="pct"/>
                  <w:shd w:val="clear" w:color="auto" w:fill="auto"/>
                  <w:vAlign w:val="center"/>
                </w:tcPr>
                <w:p w14:paraId="1E0BA0D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辅助打气</w:t>
                  </w:r>
                </w:p>
              </w:tc>
              <w:tc>
                <w:tcPr>
                  <w:tcW w:w="1076" w:type="pct"/>
                  <w:shd w:val="clear" w:color="auto" w:fill="auto"/>
                  <w:vAlign w:val="center"/>
                </w:tcPr>
                <w:p w14:paraId="10E5593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空压机</w:t>
                  </w:r>
                </w:p>
              </w:tc>
              <w:tc>
                <w:tcPr>
                  <w:tcW w:w="579" w:type="pct"/>
                  <w:shd w:val="clear" w:color="auto" w:fill="auto"/>
                  <w:vAlign w:val="center"/>
                </w:tcPr>
                <w:p w14:paraId="3CA6387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HZ-22k</w:t>
                  </w:r>
                  <w:r>
                    <w:rPr>
                      <w:rFonts w:hint="eastAsia" w:cs="Times New Roman"/>
                      <w:color w:val="auto"/>
                      <w:sz w:val="18"/>
                      <w:szCs w:val="18"/>
                      <w:lang w:val="en-US" w:eastAsia="zh-CN"/>
                    </w:rPr>
                    <w:t>W</w:t>
                  </w:r>
                </w:p>
              </w:tc>
              <w:tc>
                <w:tcPr>
                  <w:tcW w:w="1025" w:type="pct"/>
                  <w:shd w:val="clear" w:color="auto" w:fill="auto"/>
                  <w:vAlign w:val="center"/>
                </w:tcPr>
                <w:p w14:paraId="660C530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w:t>
                  </w:r>
                </w:p>
              </w:tc>
              <w:tc>
                <w:tcPr>
                  <w:tcW w:w="814" w:type="pct"/>
                  <w:vAlign w:val="center"/>
                </w:tcPr>
                <w:p w14:paraId="44462FD5">
                  <w:pPr>
                    <w:jc w:val="center"/>
                    <w:rPr>
                      <w:rFonts w:hint="default" w:ascii="Times New Roman" w:hAnsi="Times New Roman" w:cs="Times New Roman"/>
                      <w:color w:val="auto"/>
                      <w:sz w:val="18"/>
                      <w:szCs w:val="18"/>
                      <w:lang w:eastAsia="zh-CN"/>
                    </w:rPr>
                  </w:pPr>
                  <w:r>
                    <w:rPr>
                      <w:rFonts w:hint="eastAsia" w:cs="Times New Roman"/>
                      <w:color w:val="auto"/>
                      <w:sz w:val="18"/>
                      <w:szCs w:val="18"/>
                      <w:lang w:val="en-US" w:eastAsia="zh-CN"/>
                    </w:rPr>
                    <w:t>新增</w:t>
                  </w:r>
                </w:p>
              </w:tc>
            </w:tr>
            <w:tr w14:paraId="19C17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427" w:type="pct"/>
                  <w:vAlign w:val="center"/>
                </w:tcPr>
                <w:p w14:paraId="2D2F866B">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8</w:t>
                  </w:r>
                </w:p>
              </w:tc>
              <w:tc>
                <w:tcPr>
                  <w:tcW w:w="538" w:type="pct"/>
                  <w:shd w:val="clear" w:color="auto" w:fill="auto"/>
                  <w:vAlign w:val="center"/>
                </w:tcPr>
                <w:p w14:paraId="3984DF8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废气治理</w:t>
                  </w:r>
                </w:p>
              </w:tc>
              <w:tc>
                <w:tcPr>
                  <w:tcW w:w="538" w:type="pct"/>
                  <w:shd w:val="clear" w:color="auto" w:fill="auto"/>
                  <w:vAlign w:val="center"/>
                </w:tcPr>
                <w:p w14:paraId="42CD966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处理NOx</w:t>
                  </w:r>
                </w:p>
              </w:tc>
              <w:tc>
                <w:tcPr>
                  <w:tcW w:w="1076" w:type="pct"/>
                  <w:vAlign w:val="center"/>
                </w:tcPr>
                <w:p w14:paraId="2FA9247A">
                  <w:pPr>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SNCR脱硝设备</w:t>
                  </w:r>
                </w:p>
              </w:tc>
              <w:tc>
                <w:tcPr>
                  <w:tcW w:w="579" w:type="pct"/>
                  <w:vAlign w:val="center"/>
                </w:tcPr>
                <w:p w14:paraId="26D5B135">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1025" w:type="pct"/>
                  <w:shd w:val="clear" w:color="auto" w:fill="auto"/>
                  <w:vAlign w:val="center"/>
                </w:tcPr>
                <w:p w14:paraId="04891A5C">
                  <w:pPr>
                    <w:jc w:val="center"/>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cs="Times New Roman"/>
                      <w:color w:val="auto"/>
                      <w:sz w:val="18"/>
                      <w:szCs w:val="18"/>
                      <w:lang w:val="en-US" w:eastAsia="zh-CN"/>
                    </w:rPr>
                    <w:t>1</w:t>
                  </w:r>
                </w:p>
              </w:tc>
              <w:tc>
                <w:tcPr>
                  <w:tcW w:w="814" w:type="pct"/>
                  <w:vAlign w:val="center"/>
                </w:tcPr>
                <w:p w14:paraId="42F61FBD">
                  <w:pPr>
                    <w:jc w:val="center"/>
                    <w:rPr>
                      <w:rFonts w:hint="default" w:ascii="Times New Roman" w:hAnsi="Times New Roman" w:cs="Times New Roman"/>
                      <w:color w:val="auto"/>
                      <w:sz w:val="18"/>
                      <w:szCs w:val="18"/>
                      <w:lang w:eastAsia="zh-CN"/>
                    </w:rPr>
                  </w:pPr>
                  <w:r>
                    <w:rPr>
                      <w:rFonts w:hint="eastAsia" w:cs="Times New Roman"/>
                      <w:color w:val="auto"/>
                      <w:sz w:val="18"/>
                      <w:szCs w:val="18"/>
                      <w:lang w:val="en-US" w:eastAsia="zh-CN"/>
                    </w:rPr>
                    <w:t>新增</w:t>
                  </w:r>
                </w:p>
              </w:tc>
            </w:tr>
            <w:tr w14:paraId="77C1C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6" w:hRule="atLeast"/>
                <w:jc w:val="center"/>
              </w:trPr>
              <w:tc>
                <w:tcPr>
                  <w:tcW w:w="427" w:type="pct"/>
                  <w:vAlign w:val="center"/>
                </w:tcPr>
                <w:p w14:paraId="6F94133F">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9</w:t>
                  </w:r>
                </w:p>
              </w:tc>
              <w:tc>
                <w:tcPr>
                  <w:tcW w:w="538" w:type="pct"/>
                  <w:shd w:val="clear" w:color="auto" w:fill="auto"/>
                  <w:vAlign w:val="center"/>
                </w:tcPr>
                <w:p w14:paraId="5597F88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废气治理</w:t>
                  </w:r>
                </w:p>
              </w:tc>
              <w:tc>
                <w:tcPr>
                  <w:tcW w:w="538" w:type="pct"/>
                  <w:shd w:val="clear" w:color="auto" w:fill="auto"/>
                  <w:vAlign w:val="center"/>
                </w:tcPr>
                <w:p w14:paraId="6355477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处理</w:t>
                  </w:r>
                  <w:r>
                    <w:rPr>
                      <w:rFonts w:hint="default" w:ascii="Times New Roman" w:hAnsi="Times New Roman" w:eastAsia="宋体" w:cs="Times New Roman"/>
                      <w:color w:val="auto"/>
                      <w:sz w:val="18"/>
                      <w:szCs w:val="18"/>
                      <w:lang w:val="en-US" w:eastAsia="zh-CN"/>
                    </w:rPr>
                    <w:t>粉尘</w:t>
                  </w:r>
                </w:p>
              </w:tc>
              <w:tc>
                <w:tcPr>
                  <w:tcW w:w="1076" w:type="pct"/>
                  <w:vAlign w:val="center"/>
                </w:tcPr>
                <w:p w14:paraId="0DFFD41C">
                  <w:pPr>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布袋除尘器</w:t>
                  </w:r>
                </w:p>
              </w:tc>
              <w:tc>
                <w:tcPr>
                  <w:tcW w:w="579" w:type="pct"/>
                  <w:vAlign w:val="center"/>
                </w:tcPr>
                <w:p w14:paraId="26D7829A">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1025" w:type="pct"/>
                  <w:vAlign w:val="center"/>
                </w:tcPr>
                <w:p w14:paraId="6BEE2740">
                  <w:pPr>
                    <w:jc w:val="center"/>
                    <w:rPr>
                      <w:rFonts w:hint="default" w:ascii="Times New Roman" w:hAnsi="Times New Roman" w:cs="Times New Roman"/>
                      <w:color w:val="auto"/>
                      <w:sz w:val="18"/>
                      <w:szCs w:val="18"/>
                      <w:vertAlign w:val="baseline"/>
                      <w:lang w:val="en-US" w:eastAsia="zh-CN"/>
                    </w:rPr>
                  </w:pPr>
                  <w:r>
                    <w:rPr>
                      <w:rFonts w:hint="eastAsia" w:cs="Times New Roman"/>
                      <w:color w:val="auto"/>
                      <w:sz w:val="18"/>
                      <w:szCs w:val="18"/>
                      <w:vertAlign w:val="baseline"/>
                      <w:lang w:val="en-US" w:eastAsia="zh-CN"/>
                    </w:rPr>
                    <w:t>2</w:t>
                  </w:r>
                </w:p>
              </w:tc>
              <w:tc>
                <w:tcPr>
                  <w:tcW w:w="814" w:type="pct"/>
                  <w:vAlign w:val="center"/>
                </w:tcPr>
                <w:p w14:paraId="40A435F1">
                  <w:pPr>
                    <w:jc w:val="center"/>
                    <w:rPr>
                      <w:rFonts w:hint="default" w:ascii="Times New Roman" w:hAnsi="Times New Roman" w:cs="Times New Roman"/>
                      <w:color w:val="auto"/>
                      <w:sz w:val="18"/>
                      <w:szCs w:val="18"/>
                      <w:lang w:eastAsia="zh-CN"/>
                    </w:rPr>
                  </w:pPr>
                  <w:r>
                    <w:rPr>
                      <w:rFonts w:hint="eastAsia" w:cs="Times New Roman"/>
                      <w:color w:val="auto"/>
                      <w:sz w:val="18"/>
                      <w:szCs w:val="18"/>
                      <w:lang w:val="en-US" w:eastAsia="zh-CN"/>
                    </w:rPr>
                    <w:t>新增</w:t>
                  </w:r>
                </w:p>
              </w:tc>
            </w:tr>
            <w:tr w14:paraId="51841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427" w:type="pct"/>
                  <w:vAlign w:val="center"/>
                </w:tcPr>
                <w:p w14:paraId="5F391CFA">
                  <w:pPr>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10</w:t>
                  </w:r>
                </w:p>
              </w:tc>
              <w:tc>
                <w:tcPr>
                  <w:tcW w:w="538" w:type="pct"/>
                  <w:shd w:val="clear" w:color="auto" w:fill="auto"/>
                  <w:vAlign w:val="center"/>
                </w:tcPr>
                <w:p w14:paraId="171512B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废气治理</w:t>
                  </w:r>
                </w:p>
              </w:tc>
              <w:tc>
                <w:tcPr>
                  <w:tcW w:w="538" w:type="pct"/>
                  <w:shd w:val="clear" w:color="auto" w:fill="auto"/>
                  <w:vAlign w:val="center"/>
                </w:tcPr>
                <w:p w14:paraId="2A5D732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废气治理</w:t>
                  </w:r>
                </w:p>
              </w:tc>
              <w:tc>
                <w:tcPr>
                  <w:tcW w:w="1076" w:type="pct"/>
                  <w:vAlign w:val="center"/>
                </w:tcPr>
                <w:p w14:paraId="47DD75B0">
                  <w:pPr>
                    <w:jc w:val="center"/>
                    <w:rPr>
                      <w:rFonts w:hint="default" w:cs="Times New Roman"/>
                      <w:color w:val="auto"/>
                      <w:sz w:val="18"/>
                      <w:szCs w:val="18"/>
                      <w:lang w:val="en-US" w:eastAsia="zh-CN"/>
                    </w:rPr>
                  </w:pPr>
                  <w:r>
                    <w:rPr>
                      <w:rFonts w:hint="eastAsia" w:cs="Times New Roman"/>
                      <w:color w:val="auto"/>
                      <w:sz w:val="18"/>
                      <w:szCs w:val="18"/>
                      <w:lang w:val="en-US" w:eastAsia="zh-CN"/>
                    </w:rPr>
                    <w:t>风机</w:t>
                  </w:r>
                </w:p>
              </w:tc>
              <w:tc>
                <w:tcPr>
                  <w:tcW w:w="579" w:type="pct"/>
                  <w:vAlign w:val="center"/>
                </w:tcPr>
                <w:p w14:paraId="14420EA3">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1725" w:type="dxa"/>
                  <w:vAlign w:val="center"/>
                </w:tcPr>
                <w:p w14:paraId="10E29627">
                  <w:pPr>
                    <w:jc w:val="center"/>
                    <w:rPr>
                      <w:rFonts w:hint="eastAsia" w:cs="Times New Roman"/>
                      <w:color w:val="auto"/>
                      <w:sz w:val="18"/>
                      <w:szCs w:val="18"/>
                      <w:vertAlign w:val="baseline"/>
                      <w:lang w:val="en-US" w:eastAsia="zh-CN"/>
                    </w:rPr>
                  </w:pPr>
                  <w:r>
                    <w:rPr>
                      <w:rFonts w:hint="eastAsia" w:cs="Times New Roman"/>
                      <w:color w:val="auto"/>
                      <w:sz w:val="18"/>
                      <w:szCs w:val="18"/>
                      <w:vertAlign w:val="baseline"/>
                      <w:lang w:val="en-US" w:eastAsia="zh-CN"/>
                    </w:rPr>
                    <w:t>2</w:t>
                  </w:r>
                </w:p>
              </w:tc>
              <w:tc>
                <w:tcPr>
                  <w:tcW w:w="1370" w:type="dxa"/>
                  <w:vAlign w:val="center"/>
                </w:tcPr>
                <w:p w14:paraId="091A3C46">
                  <w:pPr>
                    <w:jc w:val="center"/>
                    <w:rPr>
                      <w:rFonts w:hint="eastAsia" w:cs="Times New Roman"/>
                      <w:color w:val="auto"/>
                      <w:sz w:val="18"/>
                      <w:szCs w:val="18"/>
                      <w:lang w:val="en-US" w:eastAsia="zh-CN"/>
                    </w:rPr>
                  </w:pPr>
                  <w:r>
                    <w:rPr>
                      <w:rFonts w:hint="eastAsia" w:cs="Times New Roman"/>
                      <w:color w:val="auto"/>
                      <w:sz w:val="18"/>
                      <w:szCs w:val="18"/>
                      <w:lang w:val="en-US" w:eastAsia="zh-CN"/>
                    </w:rPr>
                    <w:t>新增</w:t>
                  </w:r>
                </w:p>
              </w:tc>
            </w:tr>
            <w:tr w14:paraId="4E284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6" w:hRule="atLeast"/>
                <w:jc w:val="center"/>
              </w:trPr>
              <w:tc>
                <w:tcPr>
                  <w:tcW w:w="427" w:type="pct"/>
                  <w:vAlign w:val="center"/>
                </w:tcPr>
                <w:p w14:paraId="48E9A384">
                  <w:pPr>
                    <w:jc w:val="center"/>
                    <w:rPr>
                      <w:rFonts w:hint="default" w:cs="Times New Roman"/>
                      <w:color w:val="auto"/>
                      <w:sz w:val="18"/>
                      <w:szCs w:val="18"/>
                      <w:lang w:val="en-US" w:eastAsia="zh-CN"/>
                    </w:rPr>
                  </w:pPr>
                  <w:r>
                    <w:rPr>
                      <w:rFonts w:hint="eastAsia" w:cs="Times New Roman"/>
                      <w:color w:val="auto"/>
                      <w:sz w:val="18"/>
                      <w:szCs w:val="18"/>
                      <w:lang w:val="en-US" w:eastAsia="zh-CN"/>
                    </w:rPr>
                    <w:t>11</w:t>
                  </w:r>
                </w:p>
              </w:tc>
              <w:tc>
                <w:tcPr>
                  <w:tcW w:w="538" w:type="pct"/>
                  <w:shd w:val="clear" w:color="auto" w:fill="auto"/>
                  <w:vAlign w:val="center"/>
                </w:tcPr>
                <w:p w14:paraId="0743F12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装运</w:t>
                  </w:r>
                </w:p>
              </w:tc>
              <w:tc>
                <w:tcPr>
                  <w:tcW w:w="538" w:type="pct"/>
                  <w:shd w:val="clear" w:color="auto" w:fill="auto"/>
                  <w:vAlign w:val="center"/>
                </w:tcPr>
                <w:p w14:paraId="51F9A1E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装运</w:t>
                  </w:r>
                </w:p>
              </w:tc>
              <w:tc>
                <w:tcPr>
                  <w:tcW w:w="1076" w:type="pct"/>
                  <w:vAlign w:val="center"/>
                </w:tcPr>
                <w:p w14:paraId="236933BF">
                  <w:pPr>
                    <w:jc w:val="center"/>
                    <w:rPr>
                      <w:rFonts w:hint="default" w:cs="Times New Roman"/>
                      <w:color w:val="auto"/>
                      <w:sz w:val="18"/>
                      <w:szCs w:val="18"/>
                      <w:lang w:val="en-US" w:eastAsia="zh-CN"/>
                    </w:rPr>
                  </w:pPr>
                  <w:r>
                    <w:rPr>
                      <w:rFonts w:hint="eastAsia" w:cs="Times New Roman"/>
                      <w:color w:val="auto"/>
                      <w:sz w:val="18"/>
                      <w:szCs w:val="18"/>
                      <w:lang w:val="en-US" w:eastAsia="zh-CN"/>
                    </w:rPr>
                    <w:t>叉车</w:t>
                  </w:r>
                </w:p>
              </w:tc>
              <w:tc>
                <w:tcPr>
                  <w:tcW w:w="579" w:type="pct"/>
                  <w:vAlign w:val="center"/>
                </w:tcPr>
                <w:p w14:paraId="2B166DB9">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1725" w:type="dxa"/>
                  <w:vAlign w:val="center"/>
                </w:tcPr>
                <w:p w14:paraId="39305631">
                  <w:pPr>
                    <w:jc w:val="center"/>
                    <w:rPr>
                      <w:rFonts w:hint="default" w:cs="Times New Roman"/>
                      <w:color w:val="auto"/>
                      <w:sz w:val="18"/>
                      <w:szCs w:val="18"/>
                      <w:vertAlign w:val="baseline"/>
                      <w:lang w:val="en-US" w:eastAsia="zh-CN"/>
                    </w:rPr>
                  </w:pPr>
                  <w:r>
                    <w:rPr>
                      <w:rFonts w:hint="eastAsia" w:cs="Times New Roman"/>
                      <w:color w:val="auto"/>
                      <w:sz w:val="18"/>
                      <w:szCs w:val="18"/>
                      <w:vertAlign w:val="baseline"/>
                      <w:lang w:val="en-US" w:eastAsia="zh-CN"/>
                    </w:rPr>
                    <w:t>1</w:t>
                  </w:r>
                </w:p>
              </w:tc>
              <w:tc>
                <w:tcPr>
                  <w:tcW w:w="1370" w:type="dxa"/>
                  <w:vAlign w:val="center"/>
                </w:tcPr>
                <w:p w14:paraId="42FD1430">
                  <w:pPr>
                    <w:jc w:val="center"/>
                    <w:rPr>
                      <w:rFonts w:hint="eastAsia" w:cs="Times New Roman"/>
                      <w:color w:val="auto"/>
                      <w:sz w:val="18"/>
                      <w:szCs w:val="18"/>
                      <w:lang w:val="en-US" w:eastAsia="zh-CN"/>
                    </w:rPr>
                  </w:pPr>
                  <w:r>
                    <w:rPr>
                      <w:rFonts w:hint="eastAsia" w:cs="Times New Roman"/>
                      <w:color w:val="auto"/>
                      <w:sz w:val="18"/>
                      <w:szCs w:val="18"/>
                      <w:lang w:val="en-US" w:eastAsia="zh-CN"/>
                    </w:rPr>
                    <w:t>新增</w:t>
                  </w:r>
                </w:p>
              </w:tc>
            </w:tr>
          </w:tbl>
          <w:p w14:paraId="0213B8B4">
            <w:pPr>
              <w:adjustRightInd w:val="0"/>
              <w:snapToGrid w:val="0"/>
              <w:spacing w:line="360" w:lineRule="auto"/>
              <w:ind w:firstLine="361" w:firstLineChars="200"/>
              <w:rPr>
                <w:rFonts w:hint="default" w:ascii="Times New Roman" w:hAnsi="Times New Roman" w:cs="Times New Roman"/>
                <w:b/>
                <w:color w:val="auto"/>
                <w:kern w:val="0"/>
                <w:sz w:val="18"/>
                <w:szCs w:val="18"/>
              </w:rPr>
            </w:pPr>
            <w:r>
              <w:rPr>
                <w:rFonts w:hint="default" w:ascii="Times New Roman" w:hAnsi="Times New Roman" w:cs="Times New Roman"/>
                <w:b/>
                <w:color w:val="auto"/>
                <w:kern w:val="0"/>
                <w:sz w:val="18"/>
                <w:szCs w:val="18"/>
              </w:rPr>
              <w:t>注：</w:t>
            </w:r>
            <w:r>
              <w:rPr>
                <w:rFonts w:hint="default" w:ascii="Times New Roman" w:hAnsi="Times New Roman" w:cs="Times New Roman"/>
                <w:b/>
                <w:color w:val="auto"/>
                <w:sz w:val="18"/>
                <w:szCs w:val="18"/>
              </w:rPr>
              <w:t>以上设备均不属于《产业结构调整指导目录（2024年本）》</w:t>
            </w:r>
            <w:r>
              <w:rPr>
                <w:rFonts w:hint="default" w:ascii="Times New Roman" w:hAnsi="Times New Roman" w:cs="Times New Roman"/>
                <w:b/>
                <w:color w:val="auto"/>
                <w:kern w:val="0"/>
                <w:sz w:val="18"/>
                <w:szCs w:val="18"/>
              </w:rPr>
              <w:t>中规定淘汰类、限制类设备。</w:t>
            </w:r>
          </w:p>
          <w:p w14:paraId="556119B4">
            <w:pPr>
              <w:tabs>
                <w:tab w:val="left" w:pos="1800"/>
              </w:tabs>
              <w:adjustRightInd w:val="0"/>
              <w:snapToGrid w:val="0"/>
              <w:spacing w:line="360" w:lineRule="auto"/>
              <w:ind w:firstLine="420" w:firstLineChars="200"/>
              <w:rPr>
                <w:rFonts w:hint="default" w:ascii="Times New Roman" w:hAnsi="Times New Roman" w:cs="Times New Roman"/>
                <w:color w:val="auto"/>
                <w:kern w:val="24"/>
              </w:rPr>
            </w:pPr>
            <w:r>
              <w:rPr>
                <w:rFonts w:hint="default" w:ascii="Times New Roman" w:hAnsi="Times New Roman" w:cs="Times New Roman"/>
                <w:color w:val="auto"/>
                <w:kern w:val="24"/>
              </w:rPr>
              <w:t>10、给排水</w:t>
            </w:r>
          </w:p>
          <w:p w14:paraId="28FB102E">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（1）给水</w:t>
            </w:r>
          </w:p>
          <w:p w14:paraId="26DF163C">
            <w:pPr>
              <w:adjustRightInd w:val="0"/>
              <w:snapToGrid w:val="0"/>
              <w:spacing w:line="360" w:lineRule="auto"/>
              <w:ind w:firstLine="412" w:firstLineChars="200"/>
              <w:rPr>
                <w:rFonts w:hint="default" w:ascii="Times New Roman" w:hAnsi="Times New Roman" w:cs="Times New Roman"/>
                <w:color w:val="auto"/>
                <w:spacing w:val="-2"/>
                <w:kern w:val="0"/>
                <w:highlight w:val="none"/>
              </w:rPr>
            </w:pPr>
            <w:r>
              <w:rPr>
                <w:rFonts w:hint="eastAsia" w:cs="Times New Roman"/>
                <w:color w:val="auto"/>
                <w:spacing w:val="-2"/>
                <w:kern w:val="0"/>
                <w:highlight w:val="none"/>
                <w:lang w:eastAsia="zh-CN"/>
              </w:rPr>
              <w:t>本项目</w:t>
            </w:r>
            <w:r>
              <w:rPr>
                <w:rFonts w:hint="default" w:ascii="Times New Roman" w:hAnsi="Times New Roman" w:cs="Times New Roman"/>
                <w:color w:val="auto"/>
                <w:spacing w:val="-2"/>
                <w:kern w:val="0"/>
                <w:highlight w:val="none"/>
              </w:rPr>
              <w:t>用水</w:t>
            </w:r>
            <w:r>
              <w:rPr>
                <w:rFonts w:hint="eastAsia" w:cs="Times New Roman"/>
                <w:color w:val="auto"/>
                <w:spacing w:val="-2"/>
                <w:kern w:val="0"/>
                <w:highlight w:val="none"/>
                <w:lang w:val="en-US" w:eastAsia="zh-CN"/>
              </w:rPr>
              <w:t>主要</w:t>
            </w:r>
            <w:r>
              <w:rPr>
                <w:rFonts w:hint="default" w:ascii="Times New Roman" w:hAnsi="Times New Roman" w:cs="Times New Roman"/>
                <w:color w:val="auto"/>
                <w:spacing w:val="-2"/>
                <w:kern w:val="0"/>
                <w:highlight w:val="none"/>
              </w:rPr>
              <w:t>为</w:t>
            </w:r>
            <w:r>
              <w:rPr>
                <w:rFonts w:hint="default" w:ascii="Times New Roman" w:hAnsi="Times New Roman" w:cs="Times New Roman"/>
                <w:color w:val="auto"/>
                <w:spacing w:val="-2"/>
                <w:kern w:val="0"/>
                <w:highlight w:val="none"/>
                <w:lang w:eastAsia="zh-CN"/>
              </w:rPr>
              <w:t>职工生活用水、</w:t>
            </w:r>
            <w:r>
              <w:rPr>
                <w:rFonts w:hint="default" w:ascii="Times New Roman" w:hAnsi="Times New Roman" w:cs="Times New Roman"/>
                <w:color w:val="auto"/>
                <w:spacing w:val="-2"/>
                <w:kern w:val="0"/>
                <w:highlight w:val="none"/>
                <w:lang w:val="en-US" w:eastAsia="zh-CN"/>
              </w:rPr>
              <w:t>车间洒水降尘用水</w:t>
            </w:r>
            <w:r>
              <w:rPr>
                <w:rFonts w:hint="eastAsia" w:cs="Times New Roman"/>
                <w:color w:val="auto"/>
                <w:spacing w:val="-2"/>
                <w:kern w:val="0"/>
                <w:highlight w:val="none"/>
                <w:lang w:val="en-US" w:eastAsia="zh-CN"/>
              </w:rPr>
              <w:t>，尿素溶液配置用水</w:t>
            </w:r>
            <w:r>
              <w:rPr>
                <w:rFonts w:hint="default" w:ascii="Times New Roman" w:hAnsi="Times New Roman" w:cs="Times New Roman"/>
                <w:color w:val="auto"/>
                <w:highlight w:val="none"/>
              </w:rPr>
              <w:t>，</w:t>
            </w:r>
            <w:r>
              <w:rPr>
                <w:rFonts w:hint="default" w:ascii="Times New Roman" w:hAnsi="Times New Roman" w:cs="Times New Roman"/>
                <w:color w:val="auto"/>
                <w:spacing w:val="-2"/>
                <w:kern w:val="0"/>
                <w:highlight w:val="none"/>
              </w:rPr>
              <w:t>用水量为</w:t>
            </w:r>
            <w:r>
              <w:rPr>
                <w:rFonts w:hint="eastAsia" w:cs="Times New Roman"/>
                <w:color w:val="auto"/>
                <w:spacing w:val="-2"/>
                <w:kern w:val="0"/>
                <w:highlight w:val="none"/>
                <w:lang w:val="en-US" w:eastAsia="zh-CN"/>
              </w:rPr>
              <w:t>666.7</w:t>
            </w:r>
            <w:r>
              <w:rPr>
                <w:rFonts w:hint="default" w:ascii="Times New Roman" w:hAnsi="Times New Roman" w:cs="Times New Roman"/>
                <w:color w:val="auto"/>
                <w:spacing w:val="-2"/>
                <w:kern w:val="0"/>
                <w:highlight w:val="none"/>
              </w:rPr>
              <w:t>m</w:t>
            </w:r>
            <w:r>
              <w:rPr>
                <w:rFonts w:hint="default" w:ascii="Times New Roman" w:hAnsi="Times New Roman" w:cs="Times New Roman"/>
                <w:color w:val="auto"/>
                <w:spacing w:val="-2"/>
                <w:kern w:val="0"/>
                <w:highlight w:val="none"/>
                <w:vertAlign w:val="superscript"/>
              </w:rPr>
              <w:t>3</w:t>
            </w:r>
            <w:r>
              <w:rPr>
                <w:rFonts w:hint="default" w:ascii="Times New Roman" w:hAnsi="Times New Roman" w:cs="Times New Roman"/>
                <w:color w:val="auto"/>
                <w:spacing w:val="-2"/>
                <w:kern w:val="0"/>
                <w:highlight w:val="none"/>
              </w:rPr>
              <w:t>/a</w:t>
            </w:r>
            <w:r>
              <w:rPr>
                <w:rFonts w:hint="default" w:ascii="Times New Roman" w:hAnsi="Times New Roman" w:cs="Times New Roman"/>
                <w:color w:val="auto"/>
                <w:spacing w:val="-2"/>
                <w:kern w:val="0"/>
                <w:highlight w:val="none"/>
                <w:lang w:eastAsia="zh-CN"/>
              </w:rPr>
              <w:t>，</w:t>
            </w:r>
            <w:r>
              <w:rPr>
                <w:rFonts w:hint="default" w:ascii="Times New Roman" w:hAnsi="Times New Roman" w:cs="Times New Roman"/>
                <w:color w:val="auto"/>
                <w:spacing w:val="-2"/>
                <w:kern w:val="0"/>
                <w:highlight w:val="none"/>
              </w:rPr>
              <w:t>由</w:t>
            </w:r>
            <w:r>
              <w:rPr>
                <w:rFonts w:hint="default" w:ascii="Times New Roman" w:hAnsi="Times New Roman" w:cs="Times New Roman"/>
                <w:color w:val="auto"/>
                <w:spacing w:val="-2"/>
                <w:kern w:val="0"/>
                <w:highlight w:val="none"/>
                <w:lang w:eastAsia="zh-CN"/>
              </w:rPr>
              <w:t>经开区</w:t>
            </w:r>
            <w:r>
              <w:rPr>
                <w:rFonts w:hint="default" w:ascii="Times New Roman" w:hAnsi="Times New Roman" w:cs="Times New Roman"/>
                <w:color w:val="auto"/>
                <w:spacing w:val="-2"/>
                <w:kern w:val="0"/>
                <w:highlight w:val="none"/>
              </w:rPr>
              <w:t>自来水管网供给。</w:t>
            </w:r>
          </w:p>
          <w:p w14:paraId="1DC62F49">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①生活用水：</w:t>
            </w:r>
            <w:r>
              <w:rPr>
                <w:rFonts w:hint="default" w:ascii="Times New Roman" w:hAnsi="Times New Roman" w:cs="Times New Roman"/>
                <w:color w:val="auto"/>
                <w:highlight w:val="none"/>
                <w:lang w:eastAsia="zh-CN"/>
              </w:rPr>
              <w:t>本项目</w:t>
            </w:r>
            <w:r>
              <w:rPr>
                <w:rFonts w:hint="default" w:ascii="Times New Roman" w:hAnsi="Times New Roman" w:cs="Times New Roman"/>
                <w:bCs/>
                <w:color w:val="auto"/>
                <w:highlight w:val="none"/>
                <w:lang w:val="de-DE"/>
              </w:rPr>
              <w:t>职工定员</w:t>
            </w:r>
            <w:r>
              <w:rPr>
                <w:rFonts w:hint="eastAsia" w:cs="Times New Roman"/>
                <w:bCs/>
                <w:color w:val="auto"/>
                <w:highlight w:val="none"/>
                <w:lang w:val="en-US" w:eastAsia="zh-CN"/>
              </w:rPr>
              <w:t>15</w:t>
            </w:r>
            <w:r>
              <w:rPr>
                <w:rFonts w:hint="default" w:ascii="Times New Roman" w:hAnsi="Times New Roman" w:cs="Times New Roman"/>
                <w:bCs/>
                <w:color w:val="auto"/>
                <w:highlight w:val="none"/>
                <w:lang w:val="de-DE"/>
              </w:rPr>
              <w:t>人，全年工作</w:t>
            </w:r>
            <w:r>
              <w:rPr>
                <w:rFonts w:hint="default" w:ascii="Times New Roman" w:hAnsi="Times New Roman" w:cs="Times New Roman"/>
                <w:bCs/>
                <w:color w:val="auto"/>
                <w:highlight w:val="none"/>
                <w:lang w:val="en-US" w:eastAsia="zh-CN"/>
              </w:rPr>
              <w:t>30</w:t>
            </w:r>
            <w:r>
              <w:rPr>
                <w:rFonts w:hint="default" w:ascii="Times New Roman" w:hAnsi="Times New Roman" w:cs="Times New Roman"/>
                <w:bCs/>
                <w:color w:val="auto"/>
                <w:highlight w:val="none"/>
              </w:rPr>
              <w:t>0</w:t>
            </w:r>
            <w:r>
              <w:rPr>
                <w:rFonts w:hint="default" w:ascii="Times New Roman" w:hAnsi="Times New Roman" w:cs="Times New Roman"/>
                <w:bCs/>
                <w:color w:val="auto"/>
                <w:highlight w:val="none"/>
                <w:lang w:val="de-DE"/>
              </w:rPr>
              <w:t>天，根据《建筑给水排水设计标准》（GB50015-2019）中</w:t>
            </w:r>
            <w:r>
              <w:rPr>
                <w:rFonts w:hint="default" w:ascii="Times New Roman" w:hAnsi="Times New Roman" w:cs="Times New Roman"/>
                <w:bCs/>
                <w:color w:val="auto"/>
                <w:highlight w:val="none"/>
                <w:lang w:val="en-US" w:eastAsia="zh-CN"/>
              </w:rPr>
              <w:t>非住宿员工</w:t>
            </w:r>
            <w:r>
              <w:rPr>
                <w:rFonts w:hint="default" w:ascii="Times New Roman" w:hAnsi="Times New Roman" w:cs="Times New Roman"/>
                <w:bCs/>
                <w:color w:val="auto"/>
                <w:highlight w:val="none"/>
                <w:lang w:val="de-DE"/>
              </w:rPr>
              <w:t>生活用水量按照</w:t>
            </w:r>
            <w:r>
              <w:rPr>
                <w:rFonts w:hint="default" w:ascii="Times New Roman" w:hAnsi="Times New Roman" w:cs="Times New Roman"/>
                <w:bCs/>
                <w:color w:val="auto"/>
                <w:highlight w:val="none"/>
              </w:rPr>
              <w:t>4</w:t>
            </w:r>
            <w:r>
              <w:rPr>
                <w:rFonts w:hint="default" w:ascii="Times New Roman" w:hAnsi="Times New Roman" w:cs="Times New Roman"/>
                <w:bCs/>
                <w:color w:val="auto"/>
                <w:highlight w:val="none"/>
                <w:lang w:val="de-DE"/>
              </w:rPr>
              <w:t>0L/人·班计，</w:t>
            </w:r>
            <w:r>
              <w:rPr>
                <w:rFonts w:hint="default" w:ascii="Times New Roman" w:hAnsi="Times New Roman" w:cs="Times New Roman"/>
                <w:color w:val="auto"/>
                <w:kern w:val="24"/>
                <w:sz w:val="21"/>
                <w:szCs w:val="21"/>
                <w:highlight w:val="none"/>
              </w:rPr>
              <w:t>则职工生活用水量为</w:t>
            </w:r>
            <w:r>
              <w:rPr>
                <w:rFonts w:hint="eastAsia" w:cs="Times New Roman"/>
                <w:color w:val="auto"/>
                <w:kern w:val="24"/>
                <w:sz w:val="21"/>
                <w:szCs w:val="21"/>
                <w:highlight w:val="none"/>
                <w:lang w:val="en-US" w:eastAsia="zh-CN"/>
              </w:rPr>
              <w:t>18</w:t>
            </w:r>
            <w:r>
              <w:rPr>
                <w:rFonts w:hint="default" w:ascii="Times New Roman" w:hAnsi="Times New Roman" w:cs="Times New Roman"/>
                <w:color w:val="auto"/>
                <w:kern w:val="24"/>
                <w:sz w:val="21"/>
                <w:szCs w:val="21"/>
                <w:highlight w:val="none"/>
                <w:lang w:val="en-US" w:eastAsia="zh-CN"/>
              </w:rPr>
              <w:t>0</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default" w:ascii="Times New Roman" w:hAnsi="Times New Roman" w:cs="Times New Roman"/>
                <w:color w:val="auto"/>
                <w:highlight w:val="none"/>
              </w:rPr>
              <w:t>。</w:t>
            </w:r>
          </w:p>
          <w:p w14:paraId="731F579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②</w:t>
            </w:r>
            <w:r>
              <w:rPr>
                <w:rFonts w:hint="default" w:ascii="Times New Roman" w:hAnsi="Times New Roman" w:eastAsia="宋体" w:cs="Times New Roman"/>
                <w:color w:val="auto"/>
                <w:highlight w:val="none"/>
                <w:lang w:val="en-US" w:eastAsia="zh-CN"/>
              </w:rPr>
              <w:t>车</w:t>
            </w:r>
            <w:r>
              <w:rPr>
                <w:rFonts w:hint="default" w:ascii="Times New Roman" w:hAnsi="Times New Roman" w:cs="Times New Roman"/>
                <w:color w:val="auto"/>
                <w:spacing w:val="-2"/>
                <w:kern w:val="0"/>
                <w:highlight w:val="none"/>
                <w:lang w:val="en-US" w:eastAsia="zh-CN"/>
              </w:rPr>
              <w:t>间地面洒水降尘用水：</w:t>
            </w:r>
            <w:r>
              <w:rPr>
                <w:rFonts w:hint="eastAsia" w:cs="Times New Roman"/>
                <w:color w:val="auto"/>
                <w:spacing w:val="-2"/>
                <w:kern w:val="0"/>
                <w:highlight w:val="none"/>
                <w:lang w:val="en-US" w:eastAsia="zh-CN"/>
              </w:rPr>
              <w:t>本项目</w:t>
            </w:r>
            <w:r>
              <w:rPr>
                <w:rFonts w:hint="default" w:ascii="Times New Roman" w:hAnsi="Times New Roman" w:cs="Times New Roman"/>
                <w:color w:val="auto"/>
                <w:highlight w:val="none"/>
              </w:rPr>
              <w:t>车间地面需</w:t>
            </w:r>
            <w:r>
              <w:rPr>
                <w:rFonts w:hint="default" w:ascii="Times New Roman" w:hAnsi="Times New Roman" w:cs="Times New Roman"/>
                <w:color w:val="auto"/>
                <w:highlight w:val="none"/>
                <w:lang w:eastAsia="zh-CN"/>
              </w:rPr>
              <w:t>每天洒水降尘，</w:t>
            </w:r>
            <w:r>
              <w:rPr>
                <w:rFonts w:hint="eastAsia" w:cs="Times New Roman"/>
                <w:color w:val="auto"/>
                <w:highlight w:val="none"/>
                <w:lang w:val="en-US" w:eastAsia="zh-CN"/>
              </w:rPr>
              <w:t>每天进行地面清扫，</w:t>
            </w:r>
            <w:r>
              <w:rPr>
                <w:rFonts w:hint="default" w:ascii="Times New Roman" w:hAnsi="Times New Roman" w:cs="Times New Roman"/>
                <w:color w:val="auto"/>
                <w:highlight w:val="none"/>
              </w:rPr>
              <w:t>年洒水天数为</w:t>
            </w:r>
            <w:r>
              <w:rPr>
                <w:rFonts w:hint="default" w:ascii="Times New Roman" w:hAnsi="Times New Roman" w:cs="Times New Roman"/>
                <w:color w:val="auto"/>
                <w:highlight w:val="none"/>
                <w:lang w:val="en-US" w:eastAsia="zh-CN"/>
              </w:rPr>
              <w:t>300</w:t>
            </w:r>
            <w:r>
              <w:rPr>
                <w:rFonts w:hint="default" w:ascii="Times New Roman" w:hAnsi="Times New Roman" w:cs="Times New Roman"/>
                <w:color w:val="auto"/>
                <w:highlight w:val="none"/>
              </w:rPr>
              <w:t>天，用水量取</w:t>
            </w:r>
            <w:r>
              <w:rPr>
                <w:rFonts w:hint="eastAsia" w:cs="Times New Roman"/>
                <w:color w:val="auto"/>
                <w:highlight w:val="none"/>
                <w:lang w:val="en-US" w:eastAsia="zh-CN"/>
              </w:rPr>
              <w:t>2</w:t>
            </w:r>
            <w:r>
              <w:rPr>
                <w:rFonts w:hint="default" w:ascii="Times New Roman" w:hAnsi="Times New Roman" w:cs="Times New Roman"/>
                <w:color w:val="auto"/>
                <w:highlight w:val="none"/>
              </w:rPr>
              <w:t>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·d计，</w:t>
            </w:r>
            <w:r>
              <w:rPr>
                <w:rFonts w:hint="eastAsia" w:cs="Times New Roman"/>
                <w:color w:val="auto"/>
                <w:highlight w:val="none"/>
                <w:lang w:val="en-US" w:eastAsia="zh-CN"/>
              </w:rPr>
              <w:t>本项目车间总占地面积为1300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eastAsia" w:cs="Times New Roman"/>
                <w:color w:val="auto"/>
                <w:highlight w:val="none"/>
                <w:lang w:val="en-US" w:eastAsia="zh-CN"/>
              </w:rPr>
              <w:t>，洒水面积约为800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eastAsia" w:cs="Times New Roman"/>
                <w:color w:val="auto"/>
                <w:highlight w:val="none"/>
                <w:lang w:val="en-US" w:eastAsia="zh-CN"/>
              </w:rPr>
              <w:t>，</w:t>
            </w:r>
            <w:r>
              <w:rPr>
                <w:rFonts w:hint="default" w:ascii="Times New Roman" w:hAnsi="Times New Roman" w:cs="Times New Roman"/>
                <w:color w:val="auto"/>
                <w:highlight w:val="none"/>
              </w:rPr>
              <w:t>则</w:t>
            </w:r>
            <w:r>
              <w:rPr>
                <w:rFonts w:hint="default" w:ascii="Times New Roman" w:hAnsi="Times New Roman" w:cs="Times New Roman"/>
                <w:color w:val="auto"/>
                <w:spacing w:val="-2"/>
                <w:kern w:val="0"/>
                <w:highlight w:val="none"/>
                <w:lang w:val="en-US" w:eastAsia="zh-CN"/>
              </w:rPr>
              <w:t>车间洒水降尘用水</w:t>
            </w:r>
            <w:r>
              <w:rPr>
                <w:rFonts w:hint="default" w:ascii="Times New Roman" w:hAnsi="Times New Roman" w:cs="Times New Roman"/>
                <w:color w:val="auto"/>
                <w:highlight w:val="none"/>
              </w:rPr>
              <w:t>量为</w:t>
            </w:r>
            <w:r>
              <w:rPr>
                <w:rFonts w:hint="eastAsia" w:cs="Times New Roman"/>
                <w:color w:val="auto"/>
                <w:highlight w:val="none"/>
                <w:lang w:val="en-US" w:eastAsia="zh-CN"/>
              </w:rPr>
              <w:t>480</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/a</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主要为新鲜水</w:t>
            </w:r>
            <w:r>
              <w:rPr>
                <w:rFonts w:hint="default" w:ascii="Times New Roman" w:hAnsi="Times New Roman" w:cs="Times New Roman"/>
                <w:color w:val="auto"/>
                <w:highlight w:val="none"/>
                <w:lang w:val="en-US" w:eastAsia="zh-CN"/>
              </w:rPr>
              <w:t>。</w:t>
            </w:r>
          </w:p>
          <w:p w14:paraId="0EE27812">
            <w:pPr>
              <w:keepNext w:val="0"/>
              <w:keepLines w:val="0"/>
              <w:pageBreakBefore w:val="0"/>
              <w:widowControl w:val="0"/>
              <w:kinsoku/>
              <w:wordWrap/>
              <w:overflowPunct/>
              <w:topLinePunct w:val="0"/>
              <w:autoSpaceDE/>
              <w:autoSpaceDN/>
              <w:bidi w:val="0"/>
              <w:adjustRightInd w:val="0"/>
              <w:snapToGrid w:val="0"/>
              <w:spacing w:line="360" w:lineRule="auto"/>
              <w:ind w:firstLine="412" w:firstLineChars="20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spacing w:val="-2"/>
                <w:kern w:val="0"/>
                <w:highlight w:val="none"/>
              </w:rPr>
              <w:t>③</w:t>
            </w:r>
            <w:r>
              <w:rPr>
                <w:rFonts w:hint="default" w:cs="Times New Roman"/>
                <w:color w:val="auto"/>
                <w:spacing w:val="-2"/>
                <w:kern w:val="0"/>
                <w:highlight w:val="none"/>
                <w:lang w:val="en-US" w:eastAsia="zh-CN"/>
              </w:rPr>
              <w:t>尿素</w:t>
            </w:r>
            <w:r>
              <w:rPr>
                <w:rFonts w:hint="eastAsia" w:cs="Times New Roman"/>
                <w:color w:val="auto"/>
                <w:spacing w:val="-2"/>
                <w:kern w:val="0"/>
                <w:highlight w:val="none"/>
                <w:lang w:val="en-US" w:eastAsia="zh-CN"/>
              </w:rPr>
              <w:t>溶液配置用水：本项目尿素用量为</w:t>
            </w:r>
            <w:r>
              <w:rPr>
                <w:rFonts w:hint="eastAsia" w:cs="Times New Roman"/>
                <w:bCs/>
                <w:color w:val="auto"/>
                <w:highlight w:val="none"/>
                <w:lang w:val="en-US" w:eastAsia="zh-CN"/>
              </w:rPr>
              <w:t>1t/a，需配置成15%尿素溶液，因此</w:t>
            </w:r>
            <w:r>
              <w:rPr>
                <w:rFonts w:hint="default" w:ascii="Times New Roman" w:hAnsi="Times New Roman" w:eastAsia="宋体" w:cs="Times New Roman"/>
                <w:color w:val="auto"/>
                <w:spacing w:val="-2"/>
                <w:kern w:val="0"/>
                <w:highlight w:val="none"/>
                <w:lang w:val="en-US" w:eastAsia="zh-CN"/>
              </w:rPr>
              <w:t>尿素</w:t>
            </w:r>
            <w:r>
              <w:rPr>
                <w:rFonts w:hint="eastAsia" w:cs="Times New Roman"/>
                <w:color w:val="auto"/>
                <w:spacing w:val="-2"/>
                <w:kern w:val="0"/>
                <w:highlight w:val="none"/>
                <w:lang w:val="en-US" w:eastAsia="zh-CN"/>
              </w:rPr>
              <w:t>溶液配置用水为6.7t/a。</w:t>
            </w:r>
          </w:p>
          <w:p w14:paraId="059A32B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（2）排水</w:t>
            </w:r>
          </w:p>
          <w:p w14:paraId="142BAB8D">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textAlignment w:val="auto"/>
              <w:rPr>
                <w:rFonts w:hint="default" w:ascii="Times New Roman" w:hAnsi="Times New Roman" w:cs="Times New Roman"/>
                <w:color w:val="auto"/>
                <w:szCs w:val="21"/>
              </w:rPr>
            </w:pPr>
            <w:r>
              <w:rPr>
                <w:rFonts w:hint="default" w:ascii="Times New Roman" w:hAnsi="Times New Roman" w:cs="Times New Roman"/>
                <w:color w:val="auto"/>
                <w:sz w:val="21"/>
                <w:szCs w:val="21"/>
                <w:lang w:eastAsia="zh-CN"/>
              </w:rPr>
              <w:t>本项目</w:t>
            </w:r>
            <w:r>
              <w:rPr>
                <w:rFonts w:hint="eastAsia" w:cs="Times New Roman"/>
                <w:color w:val="auto"/>
                <w:sz w:val="21"/>
                <w:szCs w:val="21"/>
                <w:lang w:val="en-US" w:eastAsia="zh-CN"/>
              </w:rPr>
              <w:t>车间地面洒水降尘用水、尿素溶液配置用水最终全部蒸发损耗</w:t>
            </w:r>
            <w:r>
              <w:rPr>
                <w:rFonts w:hint="default" w:ascii="Times New Roman" w:hAnsi="Times New Roman" w:cs="Times New Roman"/>
                <w:color w:val="auto"/>
                <w:sz w:val="21"/>
                <w:szCs w:val="21"/>
                <w:lang w:eastAsia="zh-CN"/>
              </w:rPr>
              <w:t>。</w:t>
            </w:r>
            <w:r>
              <w:rPr>
                <w:rFonts w:hint="eastAsia" w:cs="Times New Roman"/>
                <w:color w:val="auto"/>
                <w:sz w:val="21"/>
                <w:szCs w:val="21"/>
                <w:lang w:eastAsia="zh-CN"/>
              </w:rPr>
              <w:t>本项目</w:t>
            </w:r>
            <w:r>
              <w:rPr>
                <w:rFonts w:hint="default" w:ascii="Times New Roman" w:hAnsi="Times New Roman" w:cs="Times New Roman"/>
                <w:color w:val="auto"/>
                <w:sz w:val="21"/>
                <w:szCs w:val="21"/>
                <w:lang w:eastAsia="zh-CN"/>
              </w:rPr>
              <w:t>废水主要为生活污水，</w:t>
            </w:r>
            <w:r>
              <w:rPr>
                <w:rFonts w:hint="default" w:ascii="Times New Roman" w:hAnsi="Times New Roman" w:cs="Times New Roman"/>
                <w:color w:val="auto"/>
                <w:sz w:val="21"/>
                <w:szCs w:val="21"/>
              </w:rPr>
              <w:t>产生量按用水量的80%计，为</w:t>
            </w:r>
            <w:r>
              <w:rPr>
                <w:rFonts w:hint="eastAsia" w:cs="Times New Roman"/>
                <w:color w:val="auto"/>
                <w:sz w:val="21"/>
                <w:szCs w:val="21"/>
                <w:lang w:val="en-US" w:eastAsia="zh-CN"/>
              </w:rPr>
              <w:t>144</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/a。生活污水经化粪池预处理后由环卫部门定期清运</w:t>
            </w:r>
            <w:r>
              <w:rPr>
                <w:rFonts w:hint="default" w:ascii="Times New Roman" w:hAnsi="Times New Roman" w:cs="Times New Roman"/>
                <w:color w:val="auto"/>
                <w:szCs w:val="21"/>
              </w:rPr>
              <w:t>。</w:t>
            </w:r>
          </w:p>
          <w:p w14:paraId="11FD2B4B">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textAlignment w:val="auto"/>
              <w:rPr>
                <w:rFonts w:hint="default" w:ascii="Times New Roman" w:hAnsi="Times New Roman" w:cs="Times New Roman"/>
                <w:b/>
                <w:color w:val="auto"/>
                <w:sz w:val="21"/>
                <w:szCs w:val="21"/>
              </w:rPr>
            </w:pPr>
            <w:r>
              <w:rPr>
                <w:rFonts w:hint="eastAsia"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水平衡图见下图：</w:t>
            </w:r>
          </w:p>
          <w:p w14:paraId="4DF77655">
            <w:pPr>
              <w:spacing w:line="360" w:lineRule="auto"/>
              <w:ind w:firstLine="422" w:firstLineChars="200"/>
              <w:jc w:val="center"/>
              <w:rPr>
                <w:rFonts w:hint="default" w:ascii="Times New Roman" w:hAnsi="Times New Roman" w:cs="Times New Roman"/>
                <w:b/>
                <w:bCs/>
                <w:color w:val="auto"/>
              </w:rPr>
            </w:pPr>
            <w:r>
              <w:rPr>
                <w:rFonts w:hint="default" w:ascii="Times New Roman" w:hAnsi="Times New Roman" w:cs="Times New Roman"/>
                <w:b/>
                <w:bCs/>
                <w:color w:val="auto"/>
              </w:rPr>
              <w:object>
                <v:shape id="_x0000_i1026" o:spt="75" type="#_x0000_t75" style="height:153.1pt;width:368.05pt;" o:ole="t" filled="f" o:preferrelative="t" stroked="f" coordsize="21600,21600">
                  <v:path/>
                  <v:fill on="f" focussize="0,0"/>
                  <v:stroke on="f"/>
                  <v:imagedata r:id="rId14" o:title=""/>
                  <o:lock v:ext="edit" aspectratio="f"/>
                  <w10:wrap type="none"/>
                  <w10:anchorlock/>
                </v:shape>
                <o:OLEObject Type="Embed" ProgID="Visio.Drawing.15" ShapeID="_x0000_i1026" DrawAspect="Content" ObjectID="_1468075726" r:id="rId13">
                  <o:LockedField>false</o:LockedField>
                </o:OLEObject>
              </w:object>
            </w:r>
          </w:p>
          <w:p w14:paraId="2C619F43">
            <w:pPr>
              <w:spacing w:line="360" w:lineRule="auto"/>
              <w:ind w:firstLine="422" w:firstLineChars="200"/>
              <w:jc w:val="center"/>
              <w:rPr>
                <w:rFonts w:hint="default" w:ascii="Times New Roman" w:hAnsi="Times New Roman" w:cs="Times New Roman"/>
                <w:b/>
                <w:bCs/>
                <w:color w:val="auto"/>
              </w:rPr>
            </w:pPr>
            <w:r>
              <w:rPr>
                <w:rFonts w:hint="default" w:ascii="Times New Roman" w:hAnsi="Times New Roman" w:cs="Times New Roman"/>
                <w:b/>
                <w:bCs/>
                <w:color w:val="auto"/>
              </w:rPr>
              <w:t>图2-</w:t>
            </w:r>
            <w:r>
              <w:rPr>
                <w:rFonts w:hint="eastAsia" w:cs="Times New Roman"/>
                <w:b/>
                <w:bCs/>
                <w:color w:val="auto"/>
                <w:lang w:val="en-US" w:eastAsia="zh-CN"/>
              </w:rPr>
              <w:t>2本项目</w:t>
            </w:r>
            <w:r>
              <w:rPr>
                <w:rFonts w:hint="default" w:ascii="Times New Roman" w:hAnsi="Times New Roman" w:cs="Times New Roman"/>
                <w:b/>
                <w:bCs/>
                <w:color w:val="auto"/>
              </w:rPr>
              <w:t>水平衡图 单位：m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/a</w:t>
            </w:r>
          </w:p>
          <w:p w14:paraId="0EDCE15C">
            <w:pPr>
              <w:numPr>
                <w:ilvl w:val="0"/>
                <w:numId w:val="19"/>
              </w:numPr>
              <w:tabs>
                <w:tab w:val="left" w:pos="1800"/>
              </w:tabs>
              <w:adjustRightInd w:val="0"/>
              <w:snapToGrid w:val="0"/>
              <w:spacing w:line="360" w:lineRule="auto"/>
              <w:ind w:firstLine="460" w:firstLineChars="200"/>
              <w:rPr>
                <w:rFonts w:hint="eastAsia" w:cs="Times New Roman"/>
                <w:color w:val="auto"/>
                <w:spacing w:val="10"/>
                <w:lang w:eastAsia="zh-CN"/>
              </w:rPr>
            </w:pPr>
            <w:r>
              <w:rPr>
                <w:rFonts w:hint="default" w:ascii="Times New Roman" w:hAnsi="Times New Roman" w:cs="Times New Roman"/>
                <w:color w:val="auto"/>
                <w:spacing w:val="10"/>
                <w:highlight w:val="none"/>
              </w:rPr>
              <w:t>供电：</w:t>
            </w:r>
            <w:r>
              <w:rPr>
                <w:rFonts w:hint="eastAsia" w:cs="Times New Roman"/>
                <w:color w:val="auto"/>
                <w:spacing w:val="10"/>
                <w:highlight w:val="none"/>
                <w:lang w:eastAsia="zh-CN"/>
              </w:rPr>
              <w:t>本项目</w:t>
            </w:r>
            <w:r>
              <w:rPr>
                <w:rFonts w:hint="default" w:ascii="Times New Roman" w:hAnsi="Times New Roman" w:cs="Times New Roman"/>
                <w:color w:val="auto"/>
                <w:spacing w:val="10"/>
                <w:highlight w:val="none"/>
              </w:rPr>
              <w:t>用电量</w:t>
            </w:r>
            <w:r>
              <w:rPr>
                <w:rFonts w:hint="eastAsia" w:cs="Times New Roman"/>
                <w:color w:val="auto"/>
                <w:spacing w:val="10"/>
                <w:highlight w:val="none"/>
                <w:lang w:val="en-US" w:eastAsia="zh-CN"/>
              </w:rPr>
              <w:t>3</w:t>
            </w:r>
            <w:r>
              <w:rPr>
                <w:rFonts w:hint="default" w:ascii="Times New Roman" w:hAnsi="Times New Roman" w:cs="Times New Roman"/>
                <w:color w:val="auto"/>
                <w:spacing w:val="10"/>
                <w:highlight w:val="none"/>
                <w:lang w:val="en-US" w:eastAsia="zh-CN"/>
              </w:rPr>
              <w:t>0</w:t>
            </w:r>
            <w:r>
              <w:rPr>
                <w:rFonts w:hint="default" w:ascii="Times New Roman" w:hAnsi="Times New Roman" w:cs="Times New Roman"/>
                <w:color w:val="auto"/>
                <w:spacing w:val="10"/>
                <w:highlight w:val="none"/>
              </w:rPr>
              <w:t>万k</w:t>
            </w:r>
            <w:r>
              <w:rPr>
                <w:rFonts w:hint="default" w:ascii="Times New Roman" w:hAnsi="Times New Roman" w:cs="Times New Roman"/>
                <w:color w:val="auto"/>
                <w:spacing w:val="10"/>
              </w:rPr>
              <w:t>Wh/a，由</w:t>
            </w:r>
            <w:r>
              <w:rPr>
                <w:rFonts w:hint="default" w:ascii="Times New Roman" w:hAnsi="Times New Roman" w:cs="Times New Roman"/>
                <w:color w:val="auto"/>
                <w:spacing w:val="10"/>
                <w:lang w:eastAsia="zh-CN"/>
              </w:rPr>
              <w:t>淄博经开</w:t>
            </w:r>
            <w:r>
              <w:rPr>
                <w:rFonts w:hint="default" w:ascii="Times New Roman" w:hAnsi="Times New Roman" w:cs="Times New Roman"/>
                <w:color w:val="auto"/>
                <w:kern w:val="24"/>
              </w:rPr>
              <w:t>区</w:t>
            </w:r>
            <w:r>
              <w:rPr>
                <w:rFonts w:hint="default" w:ascii="Times New Roman" w:hAnsi="Times New Roman" w:cs="Times New Roman"/>
                <w:color w:val="auto"/>
                <w:spacing w:val="10"/>
              </w:rPr>
              <w:t>供电所供给</w:t>
            </w:r>
            <w:r>
              <w:rPr>
                <w:rFonts w:hint="eastAsia" w:cs="Times New Roman"/>
                <w:color w:val="auto"/>
                <w:spacing w:val="10"/>
                <w:lang w:eastAsia="zh-CN"/>
              </w:rPr>
              <w:t>。</w:t>
            </w:r>
          </w:p>
          <w:p w14:paraId="712E6923">
            <w:pPr>
              <w:numPr>
                <w:ilvl w:val="0"/>
                <w:numId w:val="19"/>
              </w:numPr>
              <w:tabs>
                <w:tab w:val="left" w:pos="1800"/>
              </w:tabs>
              <w:adjustRightInd w:val="0"/>
              <w:snapToGrid w:val="0"/>
              <w:spacing w:line="360" w:lineRule="auto"/>
              <w:ind w:firstLine="460" w:firstLineChars="200"/>
              <w:rPr>
                <w:rFonts w:hint="default" w:ascii="Times New Roman" w:hAnsi="Times New Roman" w:cs="Times New Roman"/>
                <w:color w:val="auto"/>
                <w:spacing w:val="10"/>
              </w:rPr>
            </w:pPr>
            <w:r>
              <w:rPr>
                <w:rFonts w:hint="eastAsia" w:cs="Times New Roman"/>
                <w:color w:val="auto"/>
                <w:spacing w:val="10"/>
                <w:lang w:val="en-US" w:eastAsia="zh-CN"/>
              </w:rPr>
              <w:t>供气：本项目天然气用量为27万m</w:t>
            </w:r>
            <w:r>
              <w:rPr>
                <w:rFonts w:hint="eastAsia" w:cs="Times New Roman"/>
                <w:color w:val="auto"/>
                <w:spacing w:val="10"/>
                <w:vertAlign w:val="superscript"/>
                <w:lang w:val="en-US" w:eastAsia="zh-CN"/>
              </w:rPr>
              <w:t>3</w:t>
            </w:r>
            <w:r>
              <w:rPr>
                <w:rFonts w:hint="eastAsia" w:cs="Times New Roman"/>
                <w:color w:val="auto"/>
                <w:spacing w:val="10"/>
                <w:lang w:val="en-US" w:eastAsia="zh-CN"/>
              </w:rPr>
              <w:t>/a，采用中石化济青线天然气作为气源，管道输送</w:t>
            </w:r>
            <w:r>
              <w:rPr>
                <w:rFonts w:hint="default" w:ascii="Times New Roman" w:hAnsi="Times New Roman" w:cs="Times New Roman"/>
                <w:color w:val="auto"/>
                <w:spacing w:val="10"/>
              </w:rPr>
              <w:t>。</w:t>
            </w:r>
          </w:p>
          <w:p w14:paraId="2DBE887C">
            <w:pPr>
              <w:numPr>
                <w:ilvl w:val="0"/>
                <w:numId w:val="19"/>
              </w:numPr>
              <w:tabs>
                <w:tab w:val="left" w:pos="1800"/>
              </w:tabs>
              <w:adjustRightInd w:val="0"/>
              <w:snapToGrid w:val="0"/>
              <w:spacing w:line="360" w:lineRule="auto"/>
              <w:ind w:left="0" w:leftChars="0" w:firstLine="460" w:firstLineChars="200"/>
              <w:rPr>
                <w:rFonts w:hint="default" w:ascii="Times New Roman" w:hAnsi="Times New Roman" w:cs="Times New Roman"/>
                <w:color w:val="auto"/>
                <w:lang w:eastAsia="zh-CN"/>
              </w:rPr>
            </w:pPr>
            <w:r>
              <w:rPr>
                <w:rFonts w:hint="default" w:ascii="Times New Roman" w:hAnsi="Times New Roman" w:cs="Times New Roman"/>
                <w:color w:val="auto"/>
                <w:spacing w:val="10"/>
              </w:rPr>
              <w:t>供热：</w:t>
            </w:r>
            <w:r>
              <w:rPr>
                <w:rFonts w:hint="default" w:ascii="Times New Roman" w:hAnsi="Times New Roman" w:cs="Times New Roman"/>
                <w:color w:val="auto"/>
                <w:lang w:val="de-DE"/>
              </w:rPr>
              <w:t>本项目</w:t>
            </w:r>
            <w:r>
              <w:rPr>
                <w:rFonts w:hint="default" w:ascii="Times New Roman" w:hAnsi="Times New Roman" w:cs="Times New Roman"/>
                <w:color w:val="auto"/>
                <w:spacing w:val="10"/>
              </w:rPr>
              <w:t>厂区内不设燃煤锅炉，办公室冬季取暖使用空调</w:t>
            </w:r>
            <w:r>
              <w:rPr>
                <w:rFonts w:hint="default" w:ascii="Times New Roman" w:hAnsi="Times New Roman" w:cs="Times New Roman"/>
                <w:color w:val="auto"/>
                <w:lang w:eastAsia="zh-CN"/>
              </w:rPr>
              <w:t>。</w:t>
            </w:r>
          </w:p>
          <w:p w14:paraId="7A39C78C">
            <w:pPr>
              <w:numPr>
                <w:ilvl w:val="0"/>
                <w:numId w:val="0"/>
              </w:numPr>
              <w:tabs>
                <w:tab w:val="left" w:pos="1800"/>
              </w:tabs>
              <w:adjustRightInd w:val="0"/>
              <w:snapToGrid w:val="0"/>
              <w:spacing w:line="360" w:lineRule="auto"/>
              <w:rPr>
                <w:rFonts w:hint="eastAsia" w:cs="Times New Roman"/>
                <w:color w:val="auto"/>
                <w:lang w:eastAsia="zh-CN"/>
              </w:rPr>
            </w:pPr>
          </w:p>
          <w:p w14:paraId="35262563">
            <w:pPr>
              <w:numPr>
                <w:ilvl w:val="0"/>
                <w:numId w:val="0"/>
              </w:numPr>
              <w:tabs>
                <w:tab w:val="left" w:pos="1800"/>
              </w:tabs>
              <w:adjustRightInd w:val="0"/>
              <w:snapToGrid w:val="0"/>
              <w:spacing w:line="360" w:lineRule="auto"/>
              <w:rPr>
                <w:rFonts w:hint="eastAsia" w:cs="Times New Roman"/>
                <w:color w:val="auto"/>
                <w:lang w:eastAsia="zh-CN"/>
              </w:rPr>
            </w:pPr>
          </w:p>
          <w:p w14:paraId="48364D77">
            <w:pPr>
              <w:numPr>
                <w:ilvl w:val="0"/>
                <w:numId w:val="0"/>
              </w:numPr>
              <w:tabs>
                <w:tab w:val="left" w:pos="1800"/>
              </w:tabs>
              <w:adjustRightInd w:val="0"/>
              <w:snapToGrid w:val="0"/>
              <w:spacing w:line="360" w:lineRule="auto"/>
              <w:rPr>
                <w:rFonts w:hint="eastAsia" w:cs="Times New Roman"/>
                <w:color w:val="auto"/>
                <w:lang w:eastAsia="zh-CN"/>
              </w:rPr>
            </w:pPr>
          </w:p>
          <w:p w14:paraId="36F0B1E6">
            <w:pPr>
              <w:numPr>
                <w:ilvl w:val="0"/>
                <w:numId w:val="0"/>
              </w:numPr>
              <w:tabs>
                <w:tab w:val="left" w:pos="1800"/>
              </w:tabs>
              <w:adjustRightInd w:val="0"/>
              <w:snapToGrid w:val="0"/>
              <w:spacing w:line="360" w:lineRule="auto"/>
              <w:rPr>
                <w:rFonts w:hint="eastAsia" w:cs="Times New Roman"/>
                <w:color w:val="auto"/>
                <w:lang w:eastAsia="zh-CN"/>
              </w:rPr>
            </w:pPr>
          </w:p>
          <w:p w14:paraId="3EDA49F2">
            <w:pPr>
              <w:numPr>
                <w:ilvl w:val="0"/>
                <w:numId w:val="0"/>
              </w:numPr>
              <w:tabs>
                <w:tab w:val="left" w:pos="1800"/>
              </w:tabs>
              <w:adjustRightInd w:val="0"/>
              <w:snapToGrid w:val="0"/>
              <w:spacing w:line="360" w:lineRule="auto"/>
              <w:rPr>
                <w:rFonts w:hint="eastAsia" w:cs="Times New Roman"/>
                <w:color w:val="auto"/>
                <w:lang w:eastAsia="zh-CN"/>
              </w:rPr>
            </w:pPr>
          </w:p>
          <w:p w14:paraId="4A25A41F">
            <w:pPr>
              <w:numPr>
                <w:ilvl w:val="0"/>
                <w:numId w:val="0"/>
              </w:numPr>
              <w:tabs>
                <w:tab w:val="left" w:pos="1800"/>
              </w:tabs>
              <w:adjustRightInd w:val="0"/>
              <w:snapToGrid w:val="0"/>
              <w:spacing w:line="360" w:lineRule="auto"/>
              <w:rPr>
                <w:rFonts w:hint="eastAsia" w:cs="Times New Roman"/>
                <w:color w:val="auto"/>
                <w:lang w:eastAsia="zh-CN"/>
              </w:rPr>
            </w:pPr>
          </w:p>
          <w:p w14:paraId="75CC726B">
            <w:pPr>
              <w:numPr>
                <w:ilvl w:val="0"/>
                <w:numId w:val="0"/>
              </w:numPr>
              <w:tabs>
                <w:tab w:val="left" w:pos="1800"/>
              </w:tabs>
              <w:adjustRightInd w:val="0"/>
              <w:snapToGrid w:val="0"/>
              <w:spacing w:line="360" w:lineRule="auto"/>
              <w:rPr>
                <w:rFonts w:hint="eastAsia" w:cs="Times New Roman"/>
                <w:color w:val="auto"/>
                <w:lang w:eastAsia="zh-CN"/>
              </w:rPr>
            </w:pPr>
          </w:p>
          <w:p w14:paraId="6386226E">
            <w:pPr>
              <w:numPr>
                <w:ilvl w:val="0"/>
                <w:numId w:val="0"/>
              </w:numPr>
              <w:tabs>
                <w:tab w:val="left" w:pos="1800"/>
              </w:tabs>
              <w:adjustRightInd w:val="0"/>
              <w:snapToGrid w:val="0"/>
              <w:spacing w:line="360" w:lineRule="auto"/>
              <w:rPr>
                <w:rFonts w:hint="eastAsia" w:cs="Times New Roman"/>
                <w:color w:val="auto"/>
                <w:lang w:eastAsia="zh-CN"/>
              </w:rPr>
            </w:pPr>
          </w:p>
          <w:p w14:paraId="2F338422">
            <w:pPr>
              <w:numPr>
                <w:ilvl w:val="0"/>
                <w:numId w:val="0"/>
              </w:numPr>
              <w:tabs>
                <w:tab w:val="left" w:pos="1800"/>
              </w:tabs>
              <w:adjustRightInd w:val="0"/>
              <w:snapToGrid w:val="0"/>
              <w:spacing w:line="360" w:lineRule="auto"/>
              <w:rPr>
                <w:rFonts w:hint="eastAsia" w:cs="Times New Roman"/>
                <w:color w:val="auto"/>
                <w:lang w:eastAsia="zh-CN"/>
              </w:rPr>
            </w:pPr>
          </w:p>
          <w:p w14:paraId="6B69B1B4">
            <w:pPr>
              <w:numPr>
                <w:ilvl w:val="0"/>
                <w:numId w:val="0"/>
              </w:numPr>
              <w:tabs>
                <w:tab w:val="left" w:pos="1800"/>
              </w:tabs>
              <w:adjustRightInd w:val="0"/>
              <w:snapToGrid w:val="0"/>
              <w:spacing w:line="360" w:lineRule="auto"/>
              <w:rPr>
                <w:rFonts w:hint="eastAsia" w:cs="Times New Roman"/>
                <w:color w:val="auto"/>
                <w:lang w:eastAsia="zh-CN"/>
              </w:rPr>
            </w:pPr>
          </w:p>
          <w:p w14:paraId="4D9AA2F2">
            <w:pPr>
              <w:numPr>
                <w:ilvl w:val="0"/>
                <w:numId w:val="0"/>
              </w:numPr>
              <w:tabs>
                <w:tab w:val="left" w:pos="1800"/>
              </w:tabs>
              <w:adjustRightInd w:val="0"/>
              <w:snapToGrid w:val="0"/>
              <w:spacing w:line="360" w:lineRule="auto"/>
              <w:rPr>
                <w:rFonts w:hint="eastAsia" w:cs="Times New Roman"/>
                <w:color w:val="auto"/>
                <w:lang w:eastAsia="zh-CN"/>
              </w:rPr>
            </w:pPr>
          </w:p>
          <w:p w14:paraId="7212DF84">
            <w:pPr>
              <w:numPr>
                <w:ilvl w:val="0"/>
                <w:numId w:val="0"/>
              </w:numPr>
              <w:tabs>
                <w:tab w:val="left" w:pos="1800"/>
              </w:tabs>
              <w:adjustRightInd w:val="0"/>
              <w:snapToGrid w:val="0"/>
              <w:spacing w:line="360" w:lineRule="auto"/>
              <w:rPr>
                <w:rFonts w:hint="eastAsia" w:cs="Times New Roman"/>
                <w:color w:val="auto"/>
                <w:lang w:eastAsia="zh-CN"/>
              </w:rPr>
            </w:pPr>
          </w:p>
          <w:p w14:paraId="592729A5">
            <w:pPr>
              <w:numPr>
                <w:ilvl w:val="0"/>
                <w:numId w:val="0"/>
              </w:numPr>
              <w:tabs>
                <w:tab w:val="left" w:pos="1800"/>
              </w:tabs>
              <w:adjustRightInd w:val="0"/>
              <w:snapToGrid w:val="0"/>
              <w:spacing w:line="360" w:lineRule="auto"/>
              <w:rPr>
                <w:rFonts w:hint="default" w:ascii="Times New Roman" w:hAnsi="Times New Roman" w:eastAsia="宋体" w:cs="Times New Roman"/>
                <w:color w:val="auto"/>
                <w:lang w:eastAsia="zh-CN"/>
              </w:rPr>
            </w:pPr>
          </w:p>
        </w:tc>
      </w:tr>
      <w:tr w14:paraId="6BEA4D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424" w:type="dxa"/>
            <w:vAlign w:val="center"/>
          </w:tcPr>
          <w:p w14:paraId="1EEB295A">
            <w:pPr>
              <w:pStyle w:val="78"/>
              <w:adjustRightInd w:val="0"/>
              <w:snapToGrid w:val="0"/>
              <w:spacing w:before="0" w:beforeAutospacing="0" w:after="0" w:afterAutospacing="0" w:line="4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工艺流程和产排污环节</w:t>
            </w:r>
          </w:p>
        </w:tc>
        <w:tc>
          <w:tcPr>
            <w:tcW w:w="8636" w:type="dxa"/>
          </w:tcPr>
          <w:p w14:paraId="6477E2E8">
            <w:pPr>
              <w:pStyle w:val="1042"/>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rPr>
                <w:rFonts w:hint="default" w:ascii="Times New Roman" w:hAnsi="Times New Roman" w:eastAsia="宋体" w:cs="Times New Roman"/>
                <w:b/>
                <w:color w:val="auto"/>
                <w:szCs w:val="21"/>
                <w:highlight w:val="none"/>
                <w:lang w:val="de-DE" w:eastAsia="zh-CN"/>
              </w:rPr>
            </w:pPr>
            <w:r>
              <w:rPr>
                <w:rFonts w:hint="default" w:ascii="Times New Roman" w:hAnsi="Times New Roman" w:cs="Times New Roman"/>
                <w:b/>
                <w:color w:val="auto"/>
                <w:szCs w:val="21"/>
                <w:lang w:val="de-DE" w:eastAsia="zh-CN"/>
              </w:rPr>
              <w:t>一</w:t>
            </w:r>
            <w:r>
              <w:rPr>
                <w:rFonts w:hint="default" w:ascii="Times New Roman" w:hAnsi="Times New Roman" w:cs="Times New Roman"/>
                <w:b/>
                <w:color w:val="auto"/>
                <w:szCs w:val="21"/>
                <w:highlight w:val="none"/>
                <w:lang w:val="de-DE" w:eastAsia="zh-CN"/>
              </w:rPr>
              <w:t>、</w:t>
            </w:r>
            <w:r>
              <w:rPr>
                <w:rFonts w:hint="default" w:ascii="Times New Roman" w:hAnsi="Times New Roman" w:cs="Times New Roman"/>
                <w:b/>
                <w:color w:val="auto"/>
                <w:szCs w:val="21"/>
                <w:highlight w:val="none"/>
                <w:lang w:val="de-DE"/>
              </w:rPr>
              <w:t>工艺流程</w:t>
            </w:r>
            <w:r>
              <w:rPr>
                <w:rFonts w:hint="default" w:ascii="Times New Roman" w:hAnsi="Times New Roman" w:cs="Times New Roman"/>
                <w:b/>
                <w:color w:val="auto"/>
                <w:szCs w:val="21"/>
                <w:highlight w:val="none"/>
                <w:lang w:val="de-DE" w:eastAsia="zh-CN"/>
              </w:rPr>
              <w:t>：</w:t>
            </w:r>
          </w:p>
          <w:p w14:paraId="119C1CEA">
            <w:pPr>
              <w:pStyle w:val="1042"/>
              <w:keepNext w:val="0"/>
              <w:keepLines w:val="0"/>
              <w:pageBreakBefore w:val="0"/>
              <w:widowControl w:val="0"/>
              <w:kinsoku/>
              <w:wordWrap/>
              <w:overflowPunct/>
              <w:topLinePunct w:val="0"/>
              <w:autoSpaceDE/>
              <w:autoSpaceDN/>
              <w:bidi w:val="0"/>
              <w:adjustRightInd w:val="0"/>
              <w:snapToGrid w:val="0"/>
              <w:spacing w:line="360" w:lineRule="auto"/>
              <w:ind w:firstLine="422"/>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1、施工期</w:t>
            </w:r>
          </w:p>
          <w:p w14:paraId="5261829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sz w:val="21"/>
                <w:szCs w:val="21"/>
              </w:rPr>
              <w:t>本项目</w:t>
            </w:r>
            <w:r>
              <w:rPr>
                <w:rFonts w:hint="eastAsia" w:cs="Times New Roman"/>
                <w:color w:val="auto"/>
                <w:sz w:val="21"/>
                <w:szCs w:val="21"/>
                <w:lang w:val="en-US" w:eastAsia="zh-CN"/>
              </w:rPr>
              <w:t>在现有车间进行生产</w:t>
            </w:r>
            <w:r>
              <w:rPr>
                <w:rFonts w:hint="default" w:ascii="Times New Roman" w:hAnsi="Times New Roman" w:cs="Times New Roman"/>
                <w:color w:val="auto"/>
                <w:szCs w:val="24"/>
                <w:highlight w:val="none"/>
              </w:rPr>
              <w:t>，施工期主要为设备安装</w:t>
            </w:r>
            <w:r>
              <w:rPr>
                <w:rFonts w:hint="default" w:ascii="Times New Roman" w:hAnsi="Times New Roman" w:cs="Times New Roman"/>
                <w:color w:val="auto"/>
                <w:szCs w:val="24"/>
                <w:highlight w:val="none"/>
                <w:lang w:eastAsia="zh-CN"/>
              </w:rPr>
              <w:t>、改造</w:t>
            </w:r>
            <w:r>
              <w:rPr>
                <w:rFonts w:hint="default" w:ascii="Times New Roman" w:hAnsi="Times New Roman" w:cs="Times New Roman"/>
                <w:color w:val="auto"/>
                <w:szCs w:val="24"/>
                <w:highlight w:val="none"/>
              </w:rPr>
              <w:t>及调试，故施工期的主要影响因素是设备调试运行时产生的机械噪声和设备安装时产生的少量固废，对周围环境影响较小，本环评不再对施工期进行环境影响分析</w:t>
            </w:r>
            <w:r>
              <w:rPr>
                <w:rFonts w:hint="default" w:ascii="Times New Roman" w:hAnsi="Times New Roman" w:cs="Times New Roman"/>
                <w:color w:val="auto"/>
                <w:highlight w:val="none"/>
              </w:rPr>
              <w:t>。</w:t>
            </w:r>
          </w:p>
          <w:p w14:paraId="614F048B">
            <w:pPr>
              <w:pStyle w:val="1042"/>
              <w:keepNext w:val="0"/>
              <w:keepLines w:val="0"/>
              <w:pageBreakBefore w:val="0"/>
              <w:widowControl w:val="0"/>
              <w:kinsoku/>
              <w:wordWrap/>
              <w:overflowPunct/>
              <w:topLinePunct w:val="0"/>
              <w:autoSpaceDE/>
              <w:autoSpaceDN/>
              <w:bidi w:val="0"/>
              <w:adjustRightInd w:val="0"/>
              <w:snapToGrid w:val="0"/>
              <w:spacing w:line="360" w:lineRule="auto"/>
              <w:ind w:firstLine="422"/>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2、运营期</w:t>
            </w:r>
          </w:p>
          <w:p w14:paraId="2AF5FA92">
            <w:pPr>
              <w:pStyle w:val="1042"/>
              <w:adjustRightInd w:val="0"/>
              <w:snapToGrid w:val="0"/>
              <w:spacing w:line="360" w:lineRule="auto"/>
              <w:ind w:firstLine="422"/>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（1）主要生产工艺</w:t>
            </w:r>
          </w:p>
          <w:p w14:paraId="7497E8E9">
            <w:pPr>
              <w:pStyle w:val="1042"/>
              <w:adjustRightInd w:val="0"/>
              <w:snapToGrid w:val="0"/>
              <w:spacing w:line="360" w:lineRule="auto"/>
              <w:ind w:left="0" w:leftChars="0" w:firstLine="0" w:firstLineChars="0"/>
              <w:jc w:val="center"/>
              <w:rPr>
                <w:rFonts w:hint="default" w:ascii="Times New Roman" w:hAnsi="Times New Roman" w:cs="Times New Roman"/>
                <w:b/>
                <w:color w:val="auto"/>
                <w:szCs w:val="21"/>
                <w:highlight w:val="none"/>
              </w:rPr>
            </w:pPr>
            <w:r>
              <w:rPr>
                <w:rFonts w:hint="default" w:ascii="Times New Roman" w:hAnsi="Times New Roman" w:cs="Times New Roman" w:eastAsiaTheme="minorEastAsia"/>
                <w:b/>
                <w:color w:val="auto"/>
                <w:szCs w:val="18"/>
                <w:highlight w:val="none"/>
              </w:rPr>
              <w:object>
                <v:shape id="_x0000_i1027" o:spt="75" type="#_x0000_t75" style="height:192.55pt;width:420.65pt;" o:ole="t" filled="f" o:preferrelative="t" stroked="f" coordsize="21600,21600">
                  <v:path/>
                  <v:fill on="f" focussize="0,0"/>
                  <v:stroke on="f"/>
                  <v:imagedata r:id="rId16" o:title=""/>
                  <o:lock v:ext="edit" aspectratio="f"/>
                  <w10:wrap type="none"/>
                  <w10:anchorlock/>
                </v:shape>
                <o:OLEObject Type="Embed" ProgID="Visio.Drawing.15" ShapeID="_x0000_i1027" DrawAspect="Content" ObjectID="_1468075727" r:id="rId15">
                  <o:LockedField>false</o:LockedField>
                </o:OLEObject>
              </w:object>
            </w:r>
            <w:r>
              <w:rPr>
                <w:rFonts w:hint="default" w:ascii="Times New Roman" w:hAnsi="Times New Roman" w:cs="Times New Roman" w:eastAsiaTheme="minorEastAsia"/>
                <w:b/>
                <w:color w:val="auto"/>
                <w:szCs w:val="18"/>
                <w:highlight w:val="none"/>
              </w:rPr>
              <w:t>图2-</w:t>
            </w:r>
            <w:r>
              <w:rPr>
                <w:rFonts w:hint="eastAsia" w:cs="Times New Roman" w:eastAsiaTheme="minorEastAsia"/>
                <w:b/>
                <w:color w:val="auto"/>
                <w:szCs w:val="18"/>
                <w:highlight w:val="none"/>
                <w:lang w:val="en-US" w:eastAsia="zh-CN"/>
              </w:rPr>
              <w:t>3</w:t>
            </w:r>
            <w:r>
              <w:rPr>
                <w:rFonts w:hint="default" w:ascii="Times New Roman" w:hAnsi="Times New Roman" w:cs="Times New Roman" w:eastAsiaTheme="minorEastAsia"/>
                <w:b/>
                <w:color w:val="auto"/>
                <w:szCs w:val="18"/>
                <w:highlight w:val="none"/>
                <w:lang w:val="en-US" w:eastAsia="zh-CN"/>
              </w:rPr>
              <w:t>项目</w:t>
            </w:r>
            <w:r>
              <w:rPr>
                <w:rFonts w:hint="default" w:ascii="Times New Roman" w:hAnsi="Times New Roman" w:cs="Times New Roman" w:eastAsiaTheme="minorEastAsia"/>
                <w:b/>
                <w:color w:val="auto"/>
                <w:szCs w:val="18"/>
                <w:highlight w:val="none"/>
              </w:rPr>
              <w:t>生产工艺流程及产污环节图</w:t>
            </w:r>
          </w:p>
          <w:p w14:paraId="2F137A4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b/>
                <w:bCs/>
                <w:color w:val="auto"/>
                <w:sz w:val="21"/>
                <w:szCs w:val="21"/>
                <w:highlight w:val="none"/>
                <w:lang w:val="en-US" w:eastAsia="zh-CN"/>
              </w:rPr>
              <w:t>进料、</w:t>
            </w:r>
            <w:r>
              <w:rPr>
                <w:rFonts w:hint="default" w:ascii="Times New Roman" w:hAnsi="Times New Roman" w:cs="Times New Roman"/>
                <w:b/>
                <w:bCs/>
                <w:color w:val="auto"/>
                <w:sz w:val="21"/>
                <w:szCs w:val="21"/>
                <w:highlight w:val="none"/>
                <w:lang w:val="en-US" w:eastAsia="zh-CN"/>
              </w:rPr>
              <w:t>筛分：</w:t>
            </w:r>
            <w:r>
              <w:rPr>
                <w:rFonts w:hint="eastAsia" w:cs="Times New Roman"/>
                <w:b w:val="0"/>
                <w:bCs w:val="0"/>
                <w:color w:val="auto"/>
                <w:sz w:val="21"/>
                <w:szCs w:val="21"/>
                <w:highlight w:val="none"/>
                <w:lang w:val="en-US" w:eastAsia="zh-CN"/>
              </w:rPr>
              <w:t>外购氧化镧铈、氧化硅、氧化钙、氧化铝和硼酸锌，包装形式均为袋装（吨包或50kg/袋），使用叉车</w:t>
            </w:r>
            <w:r>
              <w:rPr>
                <w:rFonts w:hint="default" w:ascii="Times New Roman" w:hAnsi="Times New Roman" w:cs="Times New Roman"/>
                <w:b w:val="0"/>
                <w:bCs w:val="0"/>
                <w:color w:val="auto"/>
                <w:sz w:val="21"/>
                <w:szCs w:val="21"/>
                <w:highlight w:val="none"/>
                <w:lang w:val="en-US" w:eastAsia="zh-CN"/>
              </w:rPr>
              <w:t>将原材料</w:t>
            </w:r>
            <w:r>
              <w:rPr>
                <w:rFonts w:hint="eastAsia" w:cs="Times New Roman"/>
                <w:b w:val="0"/>
                <w:bCs w:val="0"/>
                <w:color w:val="auto"/>
                <w:sz w:val="21"/>
                <w:szCs w:val="21"/>
                <w:highlight w:val="none"/>
                <w:lang w:val="en-US" w:eastAsia="zh-CN"/>
              </w:rPr>
              <w:t>从原料区输送至振动筛</w:t>
            </w:r>
            <w:r>
              <w:rPr>
                <w:rFonts w:hint="default" w:ascii="Times New Roman" w:hAnsi="Times New Roman" w:cs="Times New Roman"/>
                <w:b w:val="0"/>
                <w:bCs w:val="0"/>
                <w:color w:val="auto"/>
                <w:sz w:val="21"/>
                <w:szCs w:val="21"/>
                <w:highlight w:val="none"/>
                <w:lang w:val="en-US" w:eastAsia="zh-CN"/>
              </w:rPr>
              <w:t>进行筛分</w:t>
            </w:r>
            <w:r>
              <w:rPr>
                <w:rFonts w:hint="eastAsia" w:cs="Times New Roman"/>
                <w:b w:val="0"/>
                <w:bCs w:val="0"/>
                <w:color w:val="auto"/>
                <w:sz w:val="21"/>
                <w:szCs w:val="21"/>
                <w:highlight w:val="none"/>
                <w:lang w:val="en-US" w:eastAsia="zh-CN"/>
              </w:rPr>
              <w:t>，吨包底部割口进料</w:t>
            </w:r>
            <w:r>
              <w:rPr>
                <w:rFonts w:hint="default" w:ascii="Times New Roman" w:hAnsi="Times New Roman" w:cs="Times New Roman"/>
                <w:b w:val="0"/>
                <w:bCs w:val="0"/>
                <w:color w:val="auto"/>
                <w:sz w:val="21"/>
                <w:szCs w:val="21"/>
                <w:highlight w:val="none"/>
                <w:lang w:val="en-US" w:eastAsia="zh-CN"/>
              </w:rPr>
              <w:t>，确保所有原料粉体的粒径均</w:t>
            </w:r>
            <w:r>
              <w:rPr>
                <w:rFonts w:hint="default" w:ascii="Times New Roman" w:hAnsi="Times New Roman" w:cs="Times New Roman"/>
                <w:color w:val="auto"/>
                <w:sz w:val="21"/>
                <w:szCs w:val="21"/>
                <w:highlight w:val="none"/>
                <w:lang w:val="en-US" w:eastAsia="zh-CN"/>
              </w:rPr>
              <w:t>匀，防止大颗粒或杂质影响后续工序，保证最终产品批次的一致性</w:t>
            </w:r>
            <w:r>
              <w:rPr>
                <w:rFonts w:hint="eastAsia" w:cs="Times New Roman"/>
                <w:color w:val="auto"/>
                <w:sz w:val="21"/>
                <w:szCs w:val="21"/>
                <w:highlight w:val="none"/>
                <w:lang w:val="en-US" w:eastAsia="zh-CN"/>
              </w:rPr>
              <w:t>，筛分出来的废料和杂质作为一般工业固废，定期外卖</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本项目在筛分机的进料口设置集气罩，进料和筛分产生的粉尘经集气罩收集，</w:t>
            </w:r>
            <w:r>
              <w:rPr>
                <w:rFonts w:hint="eastAsia" w:cs="Times New Roman"/>
                <w:bCs/>
                <w:color w:val="auto"/>
                <w:lang w:val="en-US" w:eastAsia="zh-CN"/>
              </w:rPr>
              <w:t>经2#布袋除尘器处理后由15m高排气筒（DA002）排放。</w:t>
            </w:r>
          </w:p>
          <w:p w14:paraId="04653D5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b/>
                <w:bCs/>
                <w:color w:val="auto"/>
                <w:sz w:val="21"/>
                <w:szCs w:val="21"/>
                <w:highlight w:val="none"/>
                <w:lang w:val="en-US" w:eastAsia="zh-CN"/>
              </w:rPr>
              <w:t>上料、</w:t>
            </w:r>
            <w:r>
              <w:rPr>
                <w:rFonts w:hint="default" w:ascii="Times New Roman" w:hAnsi="Times New Roman" w:cs="Times New Roman"/>
                <w:b/>
                <w:bCs/>
                <w:color w:val="auto"/>
                <w:sz w:val="21"/>
                <w:szCs w:val="21"/>
                <w:highlight w:val="none"/>
                <w:lang w:val="en-US" w:eastAsia="zh-CN"/>
              </w:rPr>
              <w:t>混料：</w:t>
            </w:r>
            <w:r>
              <w:rPr>
                <w:rFonts w:hint="default" w:ascii="Times New Roman" w:hAnsi="Times New Roman" w:cs="Times New Roman"/>
                <w:color w:val="auto"/>
                <w:sz w:val="21"/>
                <w:szCs w:val="21"/>
                <w:highlight w:val="none"/>
                <w:lang w:val="en-US" w:eastAsia="zh-CN"/>
              </w:rPr>
              <w:t>将筛分好的原材料</w:t>
            </w:r>
            <w:r>
              <w:rPr>
                <w:rFonts w:hint="eastAsia" w:cs="Times New Roman"/>
                <w:color w:val="auto"/>
                <w:sz w:val="21"/>
                <w:szCs w:val="21"/>
                <w:highlight w:val="none"/>
                <w:lang w:val="en-US" w:eastAsia="zh-CN"/>
              </w:rPr>
              <w:t>通过螺旋上料机上料至</w:t>
            </w:r>
            <w:r>
              <w:rPr>
                <w:rFonts w:hint="default" w:ascii="Times New Roman" w:hAnsi="Times New Roman" w:cs="Times New Roman"/>
                <w:color w:val="auto"/>
                <w:sz w:val="21"/>
                <w:szCs w:val="21"/>
                <w:highlight w:val="none"/>
                <w:lang w:val="en-US" w:eastAsia="zh-CN"/>
              </w:rPr>
              <w:t>行星混料机进行混合</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这是一种高强度混合设备，确保占比悬殊的多种原料达到分子级别的均匀混合；</w:t>
            </w:r>
            <w:r>
              <w:rPr>
                <w:rFonts w:hint="eastAsia" w:cs="Times New Roman"/>
                <w:color w:val="auto"/>
                <w:sz w:val="21"/>
                <w:szCs w:val="21"/>
                <w:highlight w:val="none"/>
                <w:lang w:val="en-US" w:eastAsia="zh-CN"/>
              </w:rPr>
              <w:t>本项目在上料机上料扣和混料机进料口设置集气罩，上料、混料产生的粉尘经集气罩收集，</w:t>
            </w:r>
            <w:r>
              <w:rPr>
                <w:rFonts w:hint="eastAsia" w:cs="Times New Roman"/>
                <w:bCs/>
                <w:color w:val="auto"/>
                <w:lang w:val="en-US" w:eastAsia="zh-CN"/>
              </w:rPr>
              <w:t>经2#布袋除尘器处理后由15m高排气筒（DA002）排放。</w:t>
            </w:r>
          </w:p>
          <w:p w14:paraId="1D6AE532">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cs="Times New Roman"/>
                <w:color w:val="auto"/>
                <w:sz w:val="21"/>
                <w:szCs w:val="21"/>
                <w:highlight w:val="none"/>
                <w:lang w:val="en-US" w:eastAsia="zh-CN"/>
              </w:rPr>
            </w:pPr>
            <w:r>
              <w:rPr>
                <w:rFonts w:hint="eastAsia" w:cs="Times New Roman"/>
                <w:b/>
                <w:bCs/>
                <w:color w:val="auto"/>
                <w:sz w:val="21"/>
                <w:szCs w:val="21"/>
                <w:highlight w:val="none"/>
                <w:lang w:val="en-US" w:eastAsia="zh-CN"/>
              </w:rPr>
              <w:t>装料、</w:t>
            </w:r>
            <w:r>
              <w:rPr>
                <w:rFonts w:hint="default" w:ascii="Times New Roman" w:hAnsi="Times New Roman" w:cs="Times New Roman"/>
                <w:b/>
                <w:bCs/>
                <w:color w:val="auto"/>
                <w:sz w:val="21"/>
                <w:szCs w:val="21"/>
                <w:highlight w:val="none"/>
                <w:lang w:val="en-US" w:eastAsia="zh-CN"/>
              </w:rPr>
              <w:t>烧</w:t>
            </w:r>
            <w:r>
              <w:rPr>
                <w:rFonts w:hint="eastAsia" w:cs="Times New Roman"/>
                <w:b/>
                <w:bCs/>
                <w:color w:val="auto"/>
                <w:sz w:val="21"/>
                <w:szCs w:val="21"/>
                <w:highlight w:val="none"/>
                <w:lang w:val="en-US" w:eastAsia="zh-CN"/>
              </w:rPr>
              <w:t>制</w:t>
            </w:r>
            <w:r>
              <w:rPr>
                <w:rFonts w:hint="default" w:ascii="Times New Roman" w:hAnsi="Times New Roman" w:cs="Times New Roman"/>
                <w:b/>
                <w:bCs/>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将混合好的原材料</w:t>
            </w:r>
            <w:r>
              <w:rPr>
                <w:rFonts w:hint="eastAsia" w:cs="Times New Roman"/>
                <w:color w:val="auto"/>
                <w:sz w:val="21"/>
                <w:szCs w:val="21"/>
                <w:highlight w:val="none"/>
                <w:lang w:val="en-US" w:eastAsia="zh-CN"/>
              </w:rPr>
              <w:t>装入窑炉中进行</w:t>
            </w:r>
            <w:r>
              <w:rPr>
                <w:rFonts w:hint="default" w:ascii="Times New Roman" w:hAnsi="Times New Roman" w:cs="Times New Roman"/>
                <w:color w:val="auto"/>
                <w:sz w:val="21"/>
                <w:szCs w:val="21"/>
                <w:highlight w:val="none"/>
                <w:lang w:val="en-US" w:eastAsia="zh-CN"/>
              </w:rPr>
              <w:t>烧制，烧成温度为800</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90</w:t>
            </w: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℃左右</w:t>
            </w:r>
            <w:r>
              <w:rPr>
                <w:rFonts w:hint="default" w:ascii="Times New Roman" w:hAnsi="Times New Roman" w:cs="Times New Roman"/>
                <w:color w:val="auto"/>
                <w:sz w:val="21"/>
                <w:szCs w:val="21"/>
                <w:highlight w:val="none"/>
                <w:lang w:val="en-US" w:eastAsia="zh-CN"/>
              </w:rPr>
              <w:t>。其目的是让氧化镧、氧化铈与其他辅料在高温下，形成具有特定晶相（如立方萤石结构）、理想硬度和多孔结构的复相化合物颗粒。</w:t>
            </w:r>
            <w:r>
              <w:rPr>
                <w:rFonts w:hint="eastAsia" w:cs="Times New Roman"/>
                <w:color w:val="auto"/>
                <w:sz w:val="21"/>
                <w:szCs w:val="21"/>
                <w:highlight w:val="none"/>
                <w:lang w:val="en-US" w:eastAsia="zh-CN"/>
              </w:rPr>
              <w:t>该过程为天然气直接接触物料，</w:t>
            </w:r>
            <w:r>
              <w:rPr>
                <w:rFonts w:hint="default" w:ascii="Times New Roman" w:hAnsi="Times New Roman" w:cs="Times New Roman"/>
                <w:color w:val="auto"/>
                <w:sz w:val="21"/>
                <w:szCs w:val="21"/>
                <w:highlight w:val="none"/>
                <w:lang w:val="en-US" w:eastAsia="zh-CN"/>
              </w:rPr>
              <w:t>800℃ 是一个典型且关键的温度，既能形成稳定的抛光颗粒，但又不会高到使材料完全熔化或过度烧结，从而保证了产品具有抛光所需的微观结构和硬度</w:t>
            </w:r>
            <w:r>
              <w:rPr>
                <w:rFonts w:hint="eastAsia" w:cs="Times New Roman"/>
                <w:color w:val="auto"/>
                <w:sz w:val="21"/>
                <w:szCs w:val="21"/>
                <w:highlight w:val="none"/>
                <w:lang w:val="en-US" w:eastAsia="zh-CN"/>
              </w:rPr>
              <w:t>，烧制后物料含水率在0.05%左右。本项目在隧道窑装料口设置集气罩，装料产生的粉尘经集气罩收集，</w:t>
            </w:r>
            <w:r>
              <w:rPr>
                <w:rFonts w:hint="eastAsia" w:cs="Times New Roman"/>
                <w:bCs/>
                <w:color w:val="auto"/>
                <w:lang w:val="en-US" w:eastAsia="zh-CN"/>
              </w:rPr>
              <w:t>经2#布袋除尘器处理后由15m高排气筒（DA002）排放；烧制过程为密闭，隧道窑采用集气孔属于内部密闭罩，烧制工序产生的粉尘和天然气燃烧产生的废气经密闭收集后，SNCR脱硝+1#布袋除尘器处理经15m高排气筒（DA001）排放。</w:t>
            </w:r>
          </w:p>
          <w:p w14:paraId="3962418A">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b/>
                <w:bCs/>
                <w:color w:val="auto"/>
                <w:sz w:val="21"/>
                <w:szCs w:val="21"/>
                <w:highlight w:val="none"/>
                <w:lang w:val="en-US" w:eastAsia="zh-CN"/>
              </w:rPr>
              <w:t>包装：</w:t>
            </w:r>
            <w:r>
              <w:rPr>
                <w:rFonts w:hint="eastAsia" w:ascii="Times New Roman" w:hAnsi="Times New Roman" w:cs="Times New Roman"/>
                <w:color w:val="auto"/>
                <w:sz w:val="21"/>
                <w:szCs w:val="21"/>
                <w:highlight w:val="none"/>
                <w:lang w:val="en-US" w:eastAsia="zh-CN"/>
              </w:rPr>
              <w:t>烧制后</w:t>
            </w:r>
            <w:r>
              <w:rPr>
                <w:rFonts w:hint="default" w:ascii="Times New Roman" w:hAnsi="Times New Roman" w:cs="Times New Roman"/>
                <w:color w:val="auto"/>
                <w:sz w:val="21"/>
                <w:szCs w:val="21"/>
                <w:highlight w:val="none"/>
                <w:lang w:val="en-US" w:eastAsia="zh-CN"/>
              </w:rPr>
              <w:t>进行检测</w:t>
            </w:r>
            <w:r>
              <w:rPr>
                <w:rFonts w:hint="eastAsia" w:cs="Times New Roman"/>
                <w:color w:val="auto"/>
                <w:sz w:val="21"/>
                <w:szCs w:val="21"/>
                <w:highlight w:val="none"/>
                <w:lang w:val="en-US" w:eastAsia="zh-CN"/>
              </w:rPr>
              <w:t>，如不合格则继续进行烧制，合格后使用装粉机</w:t>
            </w:r>
            <w:r>
              <w:rPr>
                <w:rFonts w:hint="default" w:ascii="Times New Roman" w:hAnsi="Times New Roman" w:cs="Times New Roman"/>
                <w:color w:val="auto"/>
                <w:sz w:val="21"/>
                <w:szCs w:val="21"/>
                <w:highlight w:val="none"/>
                <w:lang w:val="en-US" w:eastAsia="zh-CN"/>
              </w:rPr>
              <w:t>包装即为成品</w:t>
            </w:r>
            <w:r>
              <w:rPr>
                <w:rFonts w:hint="eastAsia" w:cs="Times New Roman"/>
                <w:color w:val="auto"/>
                <w:sz w:val="21"/>
                <w:szCs w:val="21"/>
                <w:highlight w:val="none"/>
                <w:lang w:val="en-US" w:eastAsia="zh-CN"/>
              </w:rPr>
              <w:t>。本项目在装粉机的上方设置集气罩，进料和筛分产生的粉尘经集气罩收集，</w:t>
            </w:r>
            <w:r>
              <w:rPr>
                <w:rFonts w:hint="eastAsia" w:cs="Times New Roman"/>
                <w:bCs/>
                <w:color w:val="auto"/>
                <w:lang w:val="en-US" w:eastAsia="zh-CN"/>
              </w:rPr>
              <w:t>经2#布袋除尘器处理后由15m高排气筒（DA002）排放</w:t>
            </w:r>
            <w:r>
              <w:rPr>
                <w:rFonts w:hint="default" w:ascii="Times New Roman" w:hAnsi="Times New Roman" w:cs="Times New Roman"/>
                <w:color w:val="auto"/>
                <w:sz w:val="21"/>
                <w:szCs w:val="21"/>
                <w:highlight w:val="none"/>
                <w:lang w:val="en-US" w:eastAsia="zh-CN"/>
              </w:rPr>
              <w:t>。</w:t>
            </w:r>
          </w:p>
          <w:p w14:paraId="5400973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产污环节：</w:t>
            </w:r>
          </w:p>
          <w:p w14:paraId="19CF24C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原料包装</w:t>
            </w:r>
            <w:r>
              <w:rPr>
                <w:rFonts w:hint="default" w:ascii="Times New Roman" w:hAnsi="Times New Roman" w:cs="Times New Roman"/>
                <w:color w:val="auto"/>
                <w:highlight w:val="none"/>
                <w:lang w:val="en-US" w:eastAsia="zh-CN"/>
              </w:rPr>
              <w:t>过程会产生</w:t>
            </w:r>
            <w:r>
              <w:rPr>
                <w:rFonts w:hint="eastAsia" w:cs="Times New Roman"/>
                <w:color w:val="auto"/>
                <w:highlight w:val="none"/>
                <w:lang w:val="en-US" w:eastAsia="zh-CN"/>
              </w:rPr>
              <w:t>S1废包装袋</w:t>
            </w:r>
            <w:r>
              <w:rPr>
                <w:rFonts w:hint="default" w:ascii="Times New Roman" w:hAnsi="Times New Roman" w:cs="Times New Roman"/>
                <w:color w:val="auto"/>
                <w:highlight w:val="none"/>
                <w:lang w:val="en-US" w:eastAsia="zh-CN"/>
              </w:rPr>
              <w:t>；</w:t>
            </w:r>
          </w:p>
          <w:p w14:paraId="0EE4F2A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进料和筛分</w:t>
            </w:r>
            <w:r>
              <w:rPr>
                <w:rFonts w:hint="default" w:ascii="Times New Roman" w:hAnsi="Times New Roman" w:cs="Times New Roman"/>
                <w:color w:val="auto"/>
                <w:highlight w:val="none"/>
                <w:lang w:val="en-US" w:eastAsia="zh-CN"/>
              </w:rPr>
              <w:t>工序会产生G</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粉尘、N</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噪声</w:t>
            </w:r>
            <w:r>
              <w:rPr>
                <w:rFonts w:hint="eastAsia" w:cs="Times New Roman"/>
                <w:color w:val="auto"/>
                <w:highlight w:val="none"/>
                <w:lang w:val="en-US" w:eastAsia="zh-CN"/>
              </w:rPr>
              <w:t>、S2筛分废料</w:t>
            </w:r>
            <w:r>
              <w:rPr>
                <w:rFonts w:hint="default" w:ascii="Times New Roman" w:hAnsi="Times New Roman" w:cs="Times New Roman"/>
                <w:color w:val="auto"/>
                <w:highlight w:val="none"/>
                <w:lang w:val="en-US" w:eastAsia="zh-CN"/>
              </w:rPr>
              <w:t>；</w:t>
            </w:r>
          </w:p>
          <w:p w14:paraId="6333ECD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上料</w:t>
            </w:r>
            <w:r>
              <w:rPr>
                <w:rFonts w:hint="default" w:ascii="Times New Roman" w:hAnsi="Times New Roman" w:cs="Times New Roman"/>
                <w:color w:val="auto"/>
                <w:highlight w:val="none"/>
                <w:lang w:val="en-US" w:eastAsia="zh-CN"/>
              </w:rPr>
              <w:t>工序会产生G</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粉尘、N</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噪声；</w:t>
            </w:r>
          </w:p>
          <w:p w14:paraId="448572F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color w:val="auto"/>
                <w:highlight w:val="none"/>
                <w:lang w:val="en-US" w:eastAsia="zh-CN"/>
              </w:rPr>
            </w:pPr>
            <w:r>
              <w:rPr>
                <w:rFonts w:hint="eastAsia" w:cs="Times New Roman"/>
                <w:color w:val="auto"/>
                <w:highlight w:val="none"/>
                <w:lang w:val="en-US" w:eastAsia="zh-CN"/>
              </w:rPr>
              <w:t>混料</w:t>
            </w:r>
            <w:r>
              <w:rPr>
                <w:rFonts w:hint="default" w:ascii="Times New Roman" w:hAnsi="Times New Roman" w:cs="Times New Roman"/>
                <w:color w:val="auto"/>
                <w:highlight w:val="none"/>
                <w:lang w:val="en-US" w:eastAsia="zh-CN"/>
              </w:rPr>
              <w:t>工序会产生G</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粉尘、N</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噪声</w:t>
            </w:r>
            <w:r>
              <w:rPr>
                <w:rFonts w:hint="eastAsia" w:cs="Times New Roman"/>
                <w:color w:val="auto"/>
                <w:highlight w:val="none"/>
                <w:lang w:val="en-US" w:eastAsia="zh-CN"/>
              </w:rPr>
              <w:t>；</w:t>
            </w:r>
          </w:p>
          <w:p w14:paraId="4785864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color w:val="auto"/>
                <w:highlight w:val="none"/>
                <w:lang w:val="en-US" w:eastAsia="zh-CN"/>
              </w:rPr>
            </w:pPr>
            <w:r>
              <w:rPr>
                <w:rFonts w:hint="eastAsia" w:cs="Times New Roman"/>
                <w:color w:val="auto"/>
                <w:highlight w:val="none"/>
                <w:lang w:val="en-US" w:eastAsia="zh-CN"/>
              </w:rPr>
              <w:t>装料</w:t>
            </w:r>
            <w:r>
              <w:rPr>
                <w:rFonts w:hint="default" w:ascii="Times New Roman" w:hAnsi="Times New Roman" w:cs="Times New Roman"/>
                <w:color w:val="auto"/>
                <w:highlight w:val="none"/>
                <w:lang w:val="en-US" w:eastAsia="zh-CN"/>
              </w:rPr>
              <w:t>工序会产生G</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粉尘</w:t>
            </w:r>
            <w:r>
              <w:rPr>
                <w:rFonts w:hint="eastAsia" w:cs="Times New Roman"/>
                <w:color w:val="auto"/>
                <w:highlight w:val="none"/>
                <w:lang w:val="en-US" w:eastAsia="zh-CN"/>
              </w:rPr>
              <w:t>；</w:t>
            </w:r>
          </w:p>
          <w:p w14:paraId="68BF371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color w:val="auto"/>
                <w:highlight w:val="none"/>
                <w:lang w:val="en-US" w:eastAsia="zh-CN"/>
              </w:rPr>
            </w:pPr>
            <w:r>
              <w:rPr>
                <w:rFonts w:hint="eastAsia" w:cs="Times New Roman"/>
                <w:color w:val="auto"/>
                <w:highlight w:val="none"/>
                <w:lang w:val="en-US" w:eastAsia="zh-CN"/>
              </w:rPr>
              <w:t>烧制工序和天然气燃烧会产生G5烟粉尘、SO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、NOx，</w:t>
            </w:r>
            <w:r>
              <w:rPr>
                <w:rFonts w:hint="default" w:ascii="Times New Roman" w:hAnsi="Times New Roman" w:cs="Times New Roman"/>
                <w:color w:val="auto"/>
                <w:highlight w:val="none"/>
                <w:lang w:val="en-US" w:eastAsia="zh-CN"/>
              </w:rPr>
              <w:t>N</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噪声</w:t>
            </w:r>
            <w:r>
              <w:rPr>
                <w:rFonts w:hint="eastAsia" w:cs="Times New Roman"/>
                <w:color w:val="auto"/>
                <w:highlight w:val="none"/>
                <w:lang w:val="en-US" w:eastAsia="zh-CN"/>
              </w:rPr>
              <w:t>；</w:t>
            </w:r>
          </w:p>
          <w:p w14:paraId="741C0A0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eastAsia" w:cs="Times New Roman"/>
                <w:color w:val="auto"/>
                <w:highlight w:val="none"/>
                <w:lang w:val="en-US" w:eastAsia="zh-CN"/>
              </w:rPr>
              <w:t>包装</w:t>
            </w:r>
            <w:r>
              <w:rPr>
                <w:rFonts w:hint="default" w:ascii="Times New Roman" w:hAnsi="Times New Roman" w:cs="Times New Roman"/>
                <w:color w:val="auto"/>
                <w:highlight w:val="none"/>
                <w:lang w:val="en-US" w:eastAsia="zh-CN"/>
              </w:rPr>
              <w:t>工序会产生G</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粉尘</w:t>
            </w:r>
            <w:r>
              <w:rPr>
                <w:rFonts w:hint="default" w:ascii="Times New Roman" w:hAnsi="Times New Roman" w:cs="Times New Roman"/>
                <w:color w:val="auto"/>
                <w:highlight w:val="none"/>
              </w:rPr>
              <w:t>。</w:t>
            </w:r>
          </w:p>
          <w:p w14:paraId="0C1E899A">
            <w:pPr>
              <w:pStyle w:val="1406"/>
              <w:snapToGrid w:val="0"/>
              <w:spacing w:before="0" w:beforeAutospacing="0" w:after="0"/>
              <w:ind w:firstLine="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eastAsia="zh-CN"/>
              </w:rPr>
              <w:t>（</w:t>
            </w:r>
            <w:r>
              <w:rPr>
                <w:rFonts w:hint="eastAsia" w:cs="Times New Roman" w:eastAsiaTheme="minorEastAsia"/>
                <w:color w:val="auto"/>
                <w:sz w:val="21"/>
                <w:szCs w:val="21"/>
                <w:highlight w:val="none"/>
                <w:lang w:val="en-US" w:eastAsia="zh-CN"/>
              </w:rPr>
              <w:t>2</w:t>
            </w:r>
            <w:r>
              <w:rPr>
                <w:rFonts w:hint="eastAsia" w:cs="Times New Roman" w:eastAsiaTheme="minorEastAsia"/>
                <w:color w:val="auto"/>
                <w:sz w:val="21"/>
                <w:szCs w:val="21"/>
                <w:highlight w:val="none"/>
                <w:lang w:eastAsia="zh-CN"/>
              </w:rPr>
              <w:t>）</w:t>
            </w:r>
            <w:r>
              <w:rPr>
                <w:rFonts w:hint="eastAsia" w:cs="Times New Roman" w:eastAsiaTheme="minorEastAsia"/>
                <w:color w:val="auto"/>
                <w:sz w:val="21"/>
                <w:szCs w:val="21"/>
                <w:highlight w:val="none"/>
                <w:lang w:val="en-US" w:eastAsia="zh-CN"/>
              </w:rPr>
              <w:t>SNCR脱硝工艺</w:t>
            </w:r>
          </w:p>
          <w:p w14:paraId="07D2490F">
            <w:pPr>
              <w:pStyle w:val="1406"/>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采用尿素溶液做还原剂，喷入窑内，将烟气中的NO</w:t>
            </w:r>
            <w:r>
              <w:rPr>
                <w:rFonts w:hint="eastAsia" w:cs="Times New Roman" w:eastAsiaTheme="minorEastAsia"/>
                <w:color w:val="auto"/>
                <w:sz w:val="21"/>
                <w:szCs w:val="21"/>
                <w:highlight w:val="none"/>
                <w:lang w:val="en-US" w:eastAsia="zh-CN"/>
              </w:rPr>
              <w:t>x</w:t>
            </w:r>
            <w:r>
              <w:rPr>
                <w:rFonts w:hint="default" w:ascii="Times New Roman" w:hAnsi="Times New Roman" w:cs="Times New Roman" w:eastAsiaTheme="minorEastAsia"/>
                <w:color w:val="auto"/>
                <w:sz w:val="21"/>
                <w:szCs w:val="21"/>
                <w:highlight w:val="none"/>
              </w:rPr>
              <w:t>还原脱除，生成氮气和水的清洁脱硝法。反应原理如下：</w:t>
            </w:r>
          </w:p>
          <w:p w14:paraId="71A4ADF1">
            <w:pPr>
              <w:pStyle w:val="1406"/>
              <w:snapToGrid w:val="0"/>
              <w:spacing w:before="0" w:beforeAutospacing="0" w:after="0"/>
              <w:ind w:firstLine="0"/>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2NO+CO（NH</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+1/2O</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→2N</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+CO</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+2H</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O</w:t>
            </w:r>
          </w:p>
          <w:p w14:paraId="54D5635F">
            <w:pPr>
              <w:pStyle w:val="1406"/>
              <w:snapToGrid w:val="0"/>
              <w:spacing w:before="0" w:beforeAutospacing="0" w:after="0"/>
              <w:ind w:firstLine="0"/>
              <w:rPr>
                <w:rFonts w:hint="eastAsia"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2NO</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+2CO（NH</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+O</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→3N</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+2CO</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+4H</w:t>
            </w:r>
            <w:r>
              <w:rPr>
                <w:rFonts w:hint="default" w:ascii="Times New Roman" w:hAnsi="Times New Roman" w:cs="Times New Roman" w:eastAsiaTheme="minorEastAsia"/>
                <w:color w:val="auto"/>
                <w:sz w:val="21"/>
                <w:szCs w:val="21"/>
                <w:highlight w:val="none"/>
                <w:vertAlign w:val="subscript"/>
              </w:rPr>
              <w:t>2</w:t>
            </w:r>
            <w:r>
              <w:rPr>
                <w:rFonts w:hint="default" w:ascii="Times New Roman" w:hAnsi="Times New Roman" w:cs="Times New Roman" w:eastAsiaTheme="minorEastAsia"/>
                <w:color w:val="auto"/>
                <w:sz w:val="21"/>
                <w:szCs w:val="21"/>
                <w:highlight w:val="none"/>
              </w:rPr>
              <w:t>O</w:t>
            </w:r>
            <w:r>
              <w:rPr>
                <w:rFonts w:hint="eastAsia" w:cs="Times New Roman" w:eastAsiaTheme="minorEastAsia"/>
                <w:color w:val="auto"/>
                <w:sz w:val="21"/>
                <w:szCs w:val="21"/>
                <w:highlight w:val="none"/>
                <w:lang w:val="en-US" w:eastAsia="zh-CN"/>
              </w:rPr>
              <w:t>；</w:t>
            </w:r>
          </w:p>
          <w:p w14:paraId="4AF59202">
            <w:pPr>
              <w:pStyle w:val="1406"/>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产污环节：尿素包装会产生S4废包装袋，脱硝过程会产生G7废气（未被利用逃逸的氨、臭气浓度）。SNCR脱硝过程未被利用逃逸的氨、臭气浓度经15m高排气筒（DA001）排放。</w:t>
            </w:r>
          </w:p>
          <w:p w14:paraId="7B206763">
            <w:pPr>
              <w:pStyle w:val="1042"/>
              <w:keepNext w:val="0"/>
              <w:keepLines w:val="0"/>
              <w:pageBreakBefore w:val="0"/>
              <w:widowControl w:val="0"/>
              <w:kinsoku/>
              <w:wordWrap/>
              <w:overflowPunct/>
              <w:topLinePunct w:val="0"/>
              <w:autoSpaceDE/>
              <w:autoSpaceDN/>
              <w:bidi w:val="0"/>
              <w:adjustRightInd w:val="0"/>
              <w:snapToGrid w:val="0"/>
              <w:spacing w:line="360" w:lineRule="auto"/>
              <w:ind w:firstLine="422"/>
              <w:textAlignment w:val="auto"/>
              <w:rPr>
                <w:rFonts w:hint="default" w:ascii="Times New Roman" w:hAnsi="Times New Roman" w:cs="Times New Roman"/>
                <w:b/>
                <w:color w:val="auto"/>
                <w:szCs w:val="21"/>
              </w:rPr>
            </w:pPr>
            <w:r>
              <w:rPr>
                <w:rFonts w:hint="default" w:ascii="Times New Roman" w:hAnsi="Times New Roman" w:cs="Times New Roman"/>
                <w:b/>
                <w:color w:val="auto"/>
                <w:szCs w:val="21"/>
              </w:rPr>
              <w:t>（4）废气处理工艺</w:t>
            </w:r>
          </w:p>
          <w:p w14:paraId="47E8FE7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rFonts w:hint="default" w:cs="Times New Roman"/>
                <w:bCs/>
                <w:color w:val="FF0000"/>
                <w:lang w:val="en-US" w:eastAsia="zh-CN"/>
              </w:rPr>
            </w:pPr>
            <w:r>
              <w:rPr>
                <w:rFonts w:hint="eastAsia" w:cs="Times New Roman"/>
                <w:bCs/>
                <w:color w:val="FF0000"/>
                <w:lang w:val="en-US" w:eastAsia="zh-CN"/>
              </w:rPr>
              <w:t>本项目隧道窑采用集气孔属于内部密闭罩，烧制工序产生的粉尘和天然气燃烧产生的废气经密闭收集后，SNCR脱硝+1#布袋除尘器处理后与SNCR脱硝过程未被利用逃逸的氨、臭气浓度一同经15m高排气筒（DA001）排放；</w:t>
            </w:r>
          </w:p>
          <w:p w14:paraId="674DF86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rFonts w:hint="eastAsia" w:ascii="Times New Roman" w:hAnsi="Times New Roman" w:cs="Times New Roman"/>
                <w:bCs/>
                <w:color w:val="FF0000"/>
                <w:sz w:val="21"/>
                <w:szCs w:val="21"/>
                <w:lang w:val="en-US" w:eastAsia="zh-CN"/>
              </w:rPr>
            </w:pPr>
            <w:r>
              <w:rPr>
                <w:rFonts w:hint="eastAsia" w:cs="Times New Roman"/>
                <w:bCs/>
                <w:color w:val="FF0000"/>
                <w:lang w:val="en-US" w:eastAsia="zh-CN"/>
              </w:rPr>
              <w:t>进料、筛分、上料、混料、装料、包装工序上方均设置集气罩，</w:t>
            </w:r>
            <w:r>
              <w:rPr>
                <w:rFonts w:hint="default" w:ascii="Times New Roman" w:hAnsi="Times New Roman" w:cs="Times New Roman"/>
                <w:bCs/>
                <w:color w:val="FF0000"/>
              </w:rPr>
              <w:t>产生的粉尘经</w:t>
            </w:r>
            <w:r>
              <w:rPr>
                <w:rFonts w:hint="eastAsia" w:cs="Times New Roman"/>
                <w:bCs/>
                <w:color w:val="FF0000"/>
                <w:lang w:val="en-US" w:eastAsia="zh-CN"/>
              </w:rPr>
              <w:t>集气罩收集，经2#布袋除尘器处理后由15m高排气筒（DA002）排放</w:t>
            </w:r>
            <w:r>
              <w:rPr>
                <w:rFonts w:hint="default" w:ascii="Times New Roman" w:hAnsi="Times New Roman" w:cs="Times New Roman"/>
                <w:bCs/>
                <w:color w:val="FF0000"/>
              </w:rPr>
              <w:t>；</w:t>
            </w:r>
            <w:r>
              <w:rPr>
                <w:rFonts w:hint="default" w:ascii="Times New Roman" w:hAnsi="Times New Roman" w:cs="Times New Roman"/>
                <w:bCs/>
                <w:color w:val="FF0000"/>
                <w:sz w:val="21"/>
                <w:szCs w:val="21"/>
                <w:lang w:eastAsia="zh-CN"/>
              </w:rPr>
              <w:t>集气罩未收集的颗粒物</w:t>
            </w:r>
            <w:r>
              <w:rPr>
                <w:rFonts w:hint="default" w:ascii="Times New Roman" w:hAnsi="Times New Roman" w:cs="Times New Roman"/>
                <w:bCs/>
                <w:color w:val="FF0000"/>
                <w:sz w:val="21"/>
                <w:szCs w:val="21"/>
                <w:lang w:val="en-US" w:eastAsia="zh-CN"/>
              </w:rPr>
              <w:t>无组织排放</w:t>
            </w:r>
            <w:r>
              <w:rPr>
                <w:rFonts w:hint="eastAsia" w:ascii="Times New Roman" w:hAnsi="Times New Roman" w:cs="Times New Roman"/>
                <w:bCs/>
                <w:color w:val="FF0000"/>
                <w:sz w:val="21"/>
                <w:szCs w:val="21"/>
                <w:lang w:val="en-US" w:eastAsia="zh-CN"/>
              </w:rPr>
              <w:t>。</w:t>
            </w:r>
          </w:p>
          <w:p w14:paraId="175827FE">
            <w:pPr>
              <w:adjustRightInd w:val="0"/>
              <w:snapToGrid w:val="0"/>
              <w:spacing w:line="360" w:lineRule="auto"/>
              <w:jc w:val="center"/>
              <w:rPr>
                <w:rFonts w:hint="default" w:ascii="Times New Roman" w:hAnsi="Times New Roman" w:cs="Times New Roman"/>
                <w:color w:val="auto"/>
              </w:rPr>
            </w:pPr>
            <w:r>
              <w:rPr>
                <w:rFonts w:hint="eastAsia" w:ascii="Times New Roman" w:hAnsi="Times New Roman" w:cs="Times New Roman"/>
                <w:bCs/>
                <w:color w:val="auto"/>
                <w:sz w:val="21"/>
                <w:szCs w:val="21"/>
                <w:lang w:val="en-US" w:eastAsia="zh-CN"/>
              </w:rPr>
              <w:object>
                <v:shape id="_x0000_i1028" o:spt="75" type="#_x0000_t75" style="height:124.25pt;width:421.95pt;" o:ole="t" filled="f" o:preferrelative="t" stroked="f" coordsize="21600,21600">
                  <v:path/>
                  <v:fill on="f" focussize="0,0"/>
                  <v:stroke on="f"/>
                  <v:imagedata r:id="rId18" o:title=""/>
                  <o:lock v:ext="edit" aspectratio="f"/>
                  <w10:wrap type="none"/>
                  <w10:anchorlock/>
                </v:shape>
                <o:OLEObject Type="Embed" ProgID="Visio.Drawing.15" ShapeID="_x0000_i1028" DrawAspect="Content" ObjectID="_1468075728" r:id="rId17">
                  <o:LockedField>false</o:LockedField>
                </o:OLEObject>
              </w:object>
            </w:r>
            <w:r>
              <w:rPr>
                <w:rFonts w:hint="default" w:ascii="Times New Roman" w:hAnsi="Times New Roman" w:cs="Times New Roman"/>
                <w:b/>
                <w:color w:val="auto"/>
                <w:kern w:val="0"/>
              </w:rPr>
              <w:t>图2-</w:t>
            </w:r>
            <w:r>
              <w:rPr>
                <w:rFonts w:hint="eastAsia" w:cs="Times New Roman"/>
                <w:b/>
                <w:color w:val="auto"/>
                <w:kern w:val="0"/>
                <w:lang w:val="en-US" w:eastAsia="zh-CN"/>
              </w:rPr>
              <w:t>4</w:t>
            </w:r>
            <w:r>
              <w:rPr>
                <w:rFonts w:hint="default" w:ascii="Times New Roman" w:hAnsi="Times New Roman" w:cs="Times New Roman"/>
                <w:b/>
                <w:color w:val="auto"/>
                <w:kern w:val="0"/>
                <w:lang w:val="en-US" w:eastAsia="zh-CN"/>
              </w:rPr>
              <w:t>本项目</w:t>
            </w:r>
            <w:r>
              <w:rPr>
                <w:rFonts w:hint="default" w:ascii="Times New Roman" w:hAnsi="Times New Roman" w:cs="Times New Roman"/>
                <w:b/>
                <w:color w:val="auto"/>
                <w:kern w:val="0"/>
              </w:rPr>
              <w:t>废气产污工序及废气治理走向图</w:t>
            </w:r>
          </w:p>
          <w:p w14:paraId="0824C6D1">
            <w:pPr>
              <w:autoSpaceDE w:val="0"/>
              <w:autoSpaceDN w:val="0"/>
              <w:adjustRightInd w:val="0"/>
              <w:snapToGrid w:val="0"/>
              <w:spacing w:line="360" w:lineRule="auto"/>
              <w:jc w:val="left"/>
              <w:rPr>
                <w:rFonts w:hint="default" w:ascii="Times New Roman" w:hAnsi="Times New Roman" w:cs="Times New Roman"/>
                <w:b/>
                <w:bCs/>
                <w:color w:val="auto"/>
                <w:kern w:val="0"/>
              </w:rPr>
            </w:pPr>
            <w:r>
              <w:rPr>
                <w:rFonts w:hint="default" w:ascii="Times New Roman" w:hAnsi="Times New Roman" w:cs="Times New Roman"/>
                <w:b/>
                <w:bCs/>
                <w:color w:val="auto"/>
              </w:rPr>
              <w:t>二、主要产排污环节</w:t>
            </w:r>
          </w:p>
          <w:p w14:paraId="60505BBA">
            <w:pPr>
              <w:tabs>
                <w:tab w:val="left" w:pos="1680"/>
              </w:tabs>
              <w:adjustRightInd w:val="0"/>
              <w:snapToGrid w:val="0"/>
              <w:spacing w:line="360" w:lineRule="auto"/>
              <w:ind w:firstLine="422" w:firstLineChars="200"/>
              <w:rPr>
                <w:rFonts w:hint="default" w:ascii="Times New Roman" w:hAnsi="Times New Roman" w:cs="Times New Roman"/>
                <w:b/>
                <w:color w:val="auto"/>
                <w:highlight w:val="none"/>
              </w:rPr>
            </w:pPr>
            <w:r>
              <w:rPr>
                <w:rFonts w:hint="default" w:ascii="Times New Roman" w:hAnsi="Times New Roman" w:cs="Times New Roman"/>
                <w:b/>
                <w:color w:val="auto"/>
                <w:highlight w:val="none"/>
              </w:rPr>
              <w:t>（1）大气污染物</w:t>
            </w:r>
          </w:p>
          <w:p w14:paraId="57109B7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eastAsia="zh-CN"/>
              </w:rPr>
              <w:t>本项目</w:t>
            </w:r>
            <w:r>
              <w:rPr>
                <w:rFonts w:hint="default" w:ascii="Times New Roman" w:hAnsi="Times New Roman" w:cs="Times New Roman"/>
                <w:bCs/>
                <w:color w:val="auto"/>
                <w:highlight w:val="none"/>
                <w:lang w:val="en-US" w:eastAsia="zh-CN"/>
              </w:rPr>
              <w:t>产生的废气主要为</w:t>
            </w:r>
            <w:r>
              <w:rPr>
                <w:rFonts w:hint="eastAsia" w:cs="Times New Roman"/>
                <w:bCs/>
                <w:color w:val="auto"/>
                <w:highlight w:val="none"/>
                <w:lang w:val="en-US" w:eastAsia="zh-CN"/>
              </w:rPr>
              <w:t>进料和筛分工序产生的粉尘（G1）、上料工序产生的粉尘（G2）、</w:t>
            </w:r>
            <w:r>
              <w:rPr>
                <w:rFonts w:hint="eastAsia" w:cs="Times New Roman"/>
                <w:color w:val="auto"/>
                <w:highlight w:val="none"/>
                <w:lang w:val="en-US" w:eastAsia="zh-CN"/>
              </w:rPr>
              <w:t>混料</w:t>
            </w:r>
            <w:r>
              <w:rPr>
                <w:rFonts w:hint="eastAsia" w:cs="Times New Roman"/>
                <w:bCs/>
                <w:color w:val="auto"/>
                <w:highlight w:val="none"/>
                <w:lang w:val="en-US" w:eastAsia="zh-CN"/>
              </w:rPr>
              <w:t>工序产生的粉尘（G3）、装料工序产生的粉尘（G4）、</w:t>
            </w:r>
            <w:r>
              <w:rPr>
                <w:rFonts w:hint="eastAsia" w:cs="Times New Roman"/>
                <w:color w:val="auto"/>
                <w:highlight w:val="none"/>
                <w:lang w:val="en-US" w:eastAsia="zh-CN"/>
              </w:rPr>
              <w:t>烧制工序和天然气燃烧</w:t>
            </w:r>
            <w:r>
              <w:rPr>
                <w:rFonts w:hint="eastAsia" w:cs="Times New Roman"/>
                <w:bCs/>
                <w:color w:val="auto"/>
                <w:highlight w:val="none"/>
                <w:lang w:val="en-US" w:eastAsia="zh-CN"/>
              </w:rPr>
              <w:t>产生的</w:t>
            </w:r>
            <w:r>
              <w:rPr>
                <w:rFonts w:hint="eastAsia" w:cs="Times New Roman"/>
                <w:color w:val="auto"/>
                <w:highlight w:val="none"/>
                <w:lang w:val="en-US" w:eastAsia="zh-CN"/>
              </w:rPr>
              <w:t>烟粉尘、SO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、NOx</w:t>
            </w:r>
            <w:r>
              <w:rPr>
                <w:rFonts w:hint="eastAsia" w:cs="Times New Roman"/>
                <w:bCs/>
                <w:color w:val="auto"/>
                <w:highlight w:val="none"/>
                <w:lang w:val="en-US" w:eastAsia="zh-CN"/>
              </w:rPr>
              <w:t>（G5）、</w:t>
            </w:r>
            <w:r>
              <w:rPr>
                <w:rFonts w:hint="eastAsia" w:cs="Times New Roman"/>
                <w:color w:val="auto"/>
                <w:highlight w:val="none"/>
                <w:lang w:val="en-US" w:eastAsia="zh-CN"/>
              </w:rPr>
              <w:t>包装</w:t>
            </w:r>
            <w:r>
              <w:rPr>
                <w:rFonts w:hint="eastAsia" w:cs="Times New Roman"/>
                <w:bCs/>
                <w:color w:val="auto"/>
                <w:highlight w:val="none"/>
                <w:lang w:val="en-US" w:eastAsia="zh-CN"/>
              </w:rPr>
              <w:t>工序产生的粉尘（G6）、</w:t>
            </w:r>
            <w:r>
              <w:rPr>
                <w:rFonts w:hint="eastAsia" w:cs="Times New Roman"/>
                <w:color w:val="auto"/>
                <w:sz w:val="21"/>
                <w:szCs w:val="21"/>
                <w:highlight w:val="none"/>
                <w:lang w:val="en-US" w:eastAsia="zh-CN"/>
              </w:rPr>
              <w:t>SNCR脱硝</w:t>
            </w:r>
            <w:r>
              <w:rPr>
                <w:rFonts w:hint="default" w:ascii="Times New Roman" w:hAnsi="Times New Roman" w:cs="Times New Roman"/>
                <w:color w:val="auto"/>
                <w:sz w:val="21"/>
                <w:szCs w:val="21"/>
                <w:highlight w:val="none"/>
                <w:lang w:val="en-US" w:eastAsia="zh-CN"/>
              </w:rPr>
              <w:t>过程未被利用逃逸的氨、臭气浓度</w:t>
            </w:r>
            <w:r>
              <w:rPr>
                <w:rFonts w:hint="eastAsia" w:cs="Times New Roman"/>
                <w:color w:val="auto"/>
                <w:highlight w:val="none"/>
                <w:lang w:val="en-US" w:eastAsia="zh-CN"/>
              </w:rPr>
              <w:t>（G7）</w:t>
            </w:r>
            <w:r>
              <w:rPr>
                <w:rFonts w:hint="eastAsia" w:cs="Times New Roman"/>
                <w:bCs/>
                <w:color w:val="auto"/>
                <w:highlight w:val="none"/>
                <w:lang w:val="en-US" w:eastAsia="zh-CN"/>
              </w:rPr>
              <w:t>。</w:t>
            </w:r>
          </w:p>
          <w:p w14:paraId="5C525E2D">
            <w:pPr>
              <w:tabs>
                <w:tab w:val="left" w:pos="1680"/>
              </w:tabs>
              <w:adjustRightInd w:val="0"/>
              <w:snapToGrid w:val="0"/>
              <w:spacing w:line="360" w:lineRule="auto"/>
              <w:ind w:firstLine="422" w:firstLineChars="200"/>
              <w:rPr>
                <w:rFonts w:hint="default" w:ascii="Times New Roman" w:hAnsi="Times New Roman" w:cs="Times New Roman"/>
                <w:b/>
                <w:color w:val="auto"/>
              </w:rPr>
            </w:pPr>
            <w:r>
              <w:rPr>
                <w:rFonts w:hint="default" w:ascii="Times New Roman" w:hAnsi="Times New Roman" w:cs="Times New Roman"/>
                <w:b/>
                <w:color w:val="auto"/>
              </w:rPr>
              <w:t>（2）废水</w:t>
            </w:r>
          </w:p>
          <w:p w14:paraId="0E8FA2B3">
            <w:pPr>
              <w:tabs>
                <w:tab w:val="left" w:pos="1800"/>
              </w:tabs>
              <w:adjustRightInd w:val="0"/>
              <w:snapToGrid w:val="0"/>
              <w:spacing w:line="360" w:lineRule="auto"/>
              <w:ind w:firstLine="420" w:firstLineChars="200"/>
              <w:rPr>
                <w:rFonts w:hint="default" w:ascii="Times New Roman" w:hAnsi="Times New Roman" w:cs="Times New Roman"/>
                <w:color w:val="auto"/>
                <w:kern w:val="24"/>
              </w:rPr>
            </w:pPr>
            <w:r>
              <w:rPr>
                <w:rFonts w:hint="default" w:ascii="Times New Roman" w:hAnsi="Times New Roman" w:cs="Times New Roman"/>
                <w:color w:val="auto"/>
                <w:lang w:eastAsia="zh-CN"/>
              </w:rPr>
              <w:t>本项目废水主要为职工生活污水。</w:t>
            </w:r>
          </w:p>
          <w:p w14:paraId="35D85CFE">
            <w:pPr>
              <w:adjustRightInd w:val="0"/>
              <w:snapToGrid w:val="0"/>
              <w:spacing w:line="360" w:lineRule="auto"/>
              <w:ind w:firstLine="422" w:firstLineChars="200"/>
              <w:rPr>
                <w:rFonts w:hint="default" w:ascii="Times New Roman" w:hAnsi="Times New Roman" w:cs="Times New Roman"/>
                <w:b/>
                <w:bCs/>
                <w:color w:val="auto"/>
              </w:rPr>
            </w:pPr>
            <w:r>
              <w:rPr>
                <w:rFonts w:hint="default" w:ascii="Times New Roman" w:hAnsi="Times New Roman" w:cs="Times New Roman"/>
                <w:b/>
                <w:bCs/>
                <w:color w:val="auto"/>
              </w:rPr>
              <w:t>（3）噪声：</w:t>
            </w:r>
          </w:p>
          <w:p w14:paraId="6BD41138">
            <w:pPr>
              <w:adjustRightInd w:val="0"/>
              <w:snapToGrid w:val="0"/>
              <w:spacing w:line="360" w:lineRule="auto"/>
              <w:ind w:firstLine="420" w:firstLineChars="200"/>
              <w:rPr>
                <w:rFonts w:hint="default" w:ascii="Times New Roman" w:hAnsi="Times New Roman" w:cs="Times New Roman"/>
                <w:color w:val="auto"/>
                <w:highlight w:val="none"/>
                <w:lang w:val="de-DE"/>
              </w:rPr>
            </w:pPr>
            <w:r>
              <w:rPr>
                <w:rFonts w:hint="default" w:ascii="Times New Roman" w:hAnsi="Times New Roman" w:cs="Times New Roman"/>
                <w:bCs/>
                <w:color w:val="auto"/>
                <w:highlight w:val="none"/>
                <w:lang w:eastAsia="zh-CN"/>
              </w:rPr>
              <w:t>本项目噪</w:t>
            </w:r>
            <w:r>
              <w:rPr>
                <w:rFonts w:hint="default" w:ascii="Times New Roman" w:hAnsi="Times New Roman" w:cs="Times New Roman"/>
                <w:color w:val="auto"/>
                <w:highlight w:val="none"/>
              </w:rPr>
              <w:t>声源主要</w:t>
            </w:r>
            <w:r>
              <w:rPr>
                <w:rFonts w:hint="default" w:ascii="Times New Roman" w:hAnsi="Times New Roman" w:cs="Times New Roman"/>
                <w:color w:val="auto"/>
                <w:highlight w:val="none"/>
                <w:lang w:eastAsia="zh-CN"/>
              </w:rPr>
              <w:t>为</w:t>
            </w:r>
            <w:r>
              <w:rPr>
                <w:rFonts w:hint="eastAsia" w:cs="Times New Roman"/>
                <w:color w:val="auto"/>
                <w:highlight w:val="none"/>
                <w:lang w:eastAsia="zh-CN"/>
              </w:rPr>
              <w:t>振动筛、螺旋上料机、行星混料机、空压机</w:t>
            </w:r>
            <w:r>
              <w:rPr>
                <w:rFonts w:hint="default" w:ascii="Times New Roman" w:hAnsi="Times New Roman" w:cs="Times New Roman"/>
                <w:color w:val="auto"/>
                <w:highlight w:val="none"/>
                <w:lang w:val="en-US" w:eastAsia="zh-CN"/>
              </w:rPr>
              <w:t>、布袋除尘器和风机</w:t>
            </w:r>
            <w:r>
              <w:rPr>
                <w:rFonts w:hint="default" w:ascii="Times New Roman" w:hAnsi="Times New Roman" w:cs="Times New Roman"/>
                <w:color w:val="auto"/>
                <w:highlight w:val="none"/>
              </w:rPr>
              <w:t>等设备</w:t>
            </w:r>
            <w:r>
              <w:rPr>
                <w:rFonts w:hint="default" w:ascii="Times New Roman" w:hAnsi="Times New Roman" w:cs="Times New Roman"/>
                <w:color w:val="auto"/>
                <w:highlight w:val="none"/>
                <w:lang w:eastAsia="zh-CN"/>
              </w:rPr>
              <w:t>运转</w:t>
            </w:r>
            <w:r>
              <w:rPr>
                <w:rFonts w:hint="default" w:ascii="Times New Roman" w:hAnsi="Times New Roman" w:cs="Times New Roman"/>
                <w:color w:val="auto"/>
                <w:highlight w:val="none"/>
                <w:lang w:val="de-DE"/>
              </w:rPr>
              <w:t>产生的</w:t>
            </w:r>
            <w:r>
              <w:rPr>
                <w:rFonts w:hint="default" w:ascii="Times New Roman" w:hAnsi="Times New Roman" w:cs="Times New Roman"/>
                <w:color w:val="auto"/>
                <w:highlight w:val="none"/>
                <w:lang w:val="de-DE" w:eastAsia="zh-CN"/>
              </w:rPr>
              <w:t>机械</w:t>
            </w:r>
            <w:r>
              <w:rPr>
                <w:rFonts w:hint="default" w:ascii="Times New Roman" w:hAnsi="Times New Roman" w:cs="Times New Roman"/>
                <w:color w:val="auto"/>
                <w:highlight w:val="none"/>
                <w:lang w:val="de-DE"/>
              </w:rPr>
              <w:t>噪声，根据国内同类行业的车间内噪声值的经验数据，其噪声级在</w:t>
            </w:r>
            <w:r>
              <w:rPr>
                <w:rFonts w:hint="eastAsia" w:cs="Times New Roman"/>
                <w:color w:val="auto"/>
                <w:highlight w:val="none"/>
                <w:lang w:val="en-US" w:eastAsia="zh-CN"/>
              </w:rPr>
              <w:t>75</w:t>
            </w:r>
            <w:r>
              <w:rPr>
                <w:rFonts w:hint="default" w:ascii="Times New Roman" w:hAnsi="Times New Roman" w:cs="Times New Roman"/>
                <w:color w:val="auto"/>
                <w:highlight w:val="none"/>
                <w:lang w:val="en-US" w:eastAsia="zh-CN"/>
              </w:rPr>
              <w:t>-90</w:t>
            </w:r>
            <w:r>
              <w:rPr>
                <w:rFonts w:hint="default" w:ascii="Times New Roman" w:hAnsi="Times New Roman" w:cs="Times New Roman"/>
                <w:color w:val="auto"/>
                <w:highlight w:val="none"/>
                <w:lang w:val="de-DE"/>
              </w:rPr>
              <w:t>dB（A）之间</w:t>
            </w:r>
            <w:r>
              <w:rPr>
                <w:rFonts w:hint="default" w:ascii="Times New Roman" w:hAnsi="Times New Roman" w:cs="Times New Roman"/>
                <w:color w:val="auto"/>
                <w:highlight w:val="none"/>
                <w:lang w:val="de-DE" w:eastAsia="zh-CN"/>
              </w:rPr>
              <w:t>。</w:t>
            </w:r>
          </w:p>
          <w:p w14:paraId="1F58F56C">
            <w:pPr>
              <w:adjustRightInd w:val="0"/>
              <w:snapToGrid w:val="0"/>
              <w:spacing w:line="360" w:lineRule="auto"/>
              <w:ind w:firstLine="422" w:firstLineChars="200"/>
              <w:rPr>
                <w:rFonts w:hint="default" w:ascii="Times New Roman" w:hAnsi="Times New Roman" w:cs="Times New Roman"/>
                <w:b/>
                <w:bCs/>
                <w:color w:val="auto"/>
              </w:rPr>
            </w:pPr>
            <w:r>
              <w:rPr>
                <w:rFonts w:hint="default" w:ascii="Times New Roman" w:hAnsi="Times New Roman" w:cs="Times New Roman"/>
                <w:b/>
                <w:bCs/>
                <w:color w:val="auto"/>
              </w:rPr>
              <w:t>（4）固废</w:t>
            </w:r>
          </w:p>
          <w:p w14:paraId="7C7378A0">
            <w:pPr>
              <w:adjustRightInd w:val="0"/>
              <w:snapToGrid w:val="0"/>
              <w:spacing w:line="360" w:lineRule="auto"/>
              <w:ind w:firstLine="420" w:firstLineChars="200"/>
              <w:rPr>
                <w:rFonts w:hint="default" w:ascii="Times New Roman" w:hAnsi="Times New Roman" w:eastAsia="宋体" w:cs="Times New Roman"/>
                <w:color w:val="auto"/>
                <w:lang w:eastAsia="zh-CN"/>
              </w:rPr>
            </w:pPr>
            <w:r>
              <w:rPr>
                <w:rFonts w:hint="default" w:ascii="Times New Roman" w:hAnsi="Times New Roman" w:cs="Times New Roman"/>
                <w:color w:val="auto"/>
              </w:rPr>
              <w:t>根据《工业固体废物鉴别标准通则》（GB34330-20</w:t>
            </w:r>
            <w:r>
              <w:rPr>
                <w:rFonts w:hint="eastAsia" w:cs="Times New Roman"/>
                <w:color w:val="auto"/>
                <w:lang w:val="en-US" w:eastAsia="zh-CN"/>
              </w:rPr>
              <w:t>25</w:t>
            </w:r>
            <w:r>
              <w:rPr>
                <w:rFonts w:hint="default" w:ascii="Times New Roman" w:hAnsi="Times New Roman" w:cs="Times New Roman"/>
                <w:color w:val="auto"/>
              </w:rPr>
              <w:t>）</w:t>
            </w:r>
            <w:r>
              <w:rPr>
                <w:rFonts w:hint="eastAsia" w:cs="Times New Roman"/>
                <w:color w:val="auto"/>
                <w:lang w:val="en-US" w:eastAsia="zh-CN"/>
              </w:rPr>
              <w:t>4.2</w:t>
            </w:r>
            <w:r>
              <w:rPr>
                <w:rFonts w:hint="default" w:ascii="Times New Roman" w:hAnsi="Times New Roman" w:eastAsia="宋体" w:cs="Times New Roman"/>
                <w:color w:val="auto"/>
                <w:lang w:val="en-US" w:eastAsia="zh-CN"/>
              </w:rPr>
              <w:t>的</w:t>
            </w:r>
            <w:r>
              <w:rPr>
                <w:rFonts w:hint="default" w:ascii="Times New Roman" w:hAnsi="Times New Roman" w:eastAsia="宋体" w:cs="Times New Roman"/>
                <w:color w:val="auto"/>
                <w:highlight w:val="none"/>
                <w:lang w:val="en-US" w:eastAsia="zh-CN"/>
              </w:rPr>
              <w:t>要求</w:t>
            </w:r>
            <w:r>
              <w:rPr>
                <w:rFonts w:hint="eastAsia" w:ascii="Times New Roman" w:hAnsi="Times New Roman" w:eastAsia="宋体" w:cs="Times New Roman"/>
                <w:color w:val="auto"/>
                <w:highlight w:val="none"/>
                <w:lang w:eastAsia="zh-CN"/>
              </w:rPr>
              <w:t>：下列生产、生活和其他活动中满足使用用途要求，</w:t>
            </w:r>
            <w:r>
              <w:rPr>
                <w:rFonts w:hint="eastAsia" w:cs="Times New Roman"/>
                <w:color w:val="auto"/>
                <w:highlight w:val="none"/>
                <w:lang w:val="en-US" w:eastAsia="zh-CN"/>
              </w:rPr>
              <w:t>按原始用途使用的物质，不作为固体废物。4.2.1</w:t>
            </w:r>
            <w:r>
              <w:rPr>
                <w:rFonts w:hint="default" w:ascii="Times New Roman" w:hAnsi="Times New Roman" w:eastAsia="宋体" w:cs="Times New Roman"/>
                <w:color w:val="auto"/>
                <w:highlight w:val="none"/>
                <w:lang w:val="en-US" w:eastAsia="zh-CN"/>
              </w:rPr>
              <w:t>生产企业内部通过以下方式返回原生产线作为原料使用的物质</w:t>
            </w:r>
            <w:r>
              <w:rPr>
                <w:rFonts w:hint="eastAsia"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a)不经过贮存或堆积过程，直接返回</w:t>
            </w:r>
            <w:r>
              <w:rPr>
                <w:rFonts w:hint="default" w:ascii="Times New Roman" w:hAnsi="Times New Roman" w:cs="Times New Roman"/>
                <w:color w:val="auto"/>
                <w:highlight w:val="none"/>
              </w:rPr>
              <w:t>。</w:t>
            </w:r>
            <w:r>
              <w:rPr>
                <w:rFonts w:hint="eastAsia" w:cs="Times New Roman"/>
                <w:color w:val="auto"/>
                <w:highlight w:val="none"/>
                <w:lang w:eastAsia="zh-CN"/>
              </w:rPr>
              <w:t>本项目2#布袋除尘器收集的粉尘</w:t>
            </w:r>
            <w:r>
              <w:rPr>
                <w:rFonts w:hint="default" w:ascii="Times New Roman" w:hAnsi="Times New Roman" w:cs="Times New Roman"/>
                <w:color w:val="auto"/>
                <w:highlight w:val="none"/>
              </w:rPr>
              <w:t>直接回用生产，所以不按固废进行管理</w:t>
            </w:r>
            <w:r>
              <w:rPr>
                <w:rFonts w:hint="default" w:ascii="Times New Roman" w:hAnsi="Times New Roman" w:cs="Times New Roman"/>
                <w:color w:val="auto"/>
                <w:highlight w:val="none"/>
                <w:lang w:eastAsia="zh-CN"/>
              </w:rPr>
              <w:t>。</w:t>
            </w:r>
          </w:p>
          <w:p w14:paraId="2D0509EB">
            <w:pPr>
              <w:adjustRightInd w:val="0"/>
              <w:snapToGrid w:val="0"/>
              <w:spacing w:line="360" w:lineRule="auto"/>
              <w:ind w:firstLine="420" w:firstLineChars="200"/>
              <w:rPr>
                <w:rFonts w:hint="eastAsia" w:cs="Times New Roman"/>
                <w:color w:val="auto"/>
                <w:highlight w:val="none"/>
                <w:lang w:eastAsia="zh-CN"/>
              </w:rPr>
            </w:pPr>
            <w:r>
              <w:rPr>
                <w:rFonts w:hint="default" w:ascii="Times New Roman" w:hAnsi="Times New Roman" w:cs="Times New Roman"/>
                <w:color w:val="auto"/>
                <w:lang w:eastAsia="zh-CN"/>
              </w:rPr>
              <w:t>本项目</w:t>
            </w:r>
            <w:r>
              <w:rPr>
                <w:rFonts w:hint="default" w:ascii="Times New Roman" w:hAnsi="Times New Roman" w:cs="Times New Roman"/>
                <w:color w:val="auto"/>
                <w:highlight w:val="none"/>
                <w:lang w:eastAsia="zh-CN"/>
              </w:rPr>
              <w:t>生产过程</w:t>
            </w:r>
            <w:r>
              <w:rPr>
                <w:rFonts w:hint="default" w:ascii="Times New Roman" w:hAnsi="Times New Roman" w:cs="Times New Roman"/>
                <w:color w:val="auto"/>
                <w:highlight w:val="none"/>
                <w:lang w:val="en-US" w:eastAsia="zh-CN"/>
              </w:rPr>
              <w:t>产生</w:t>
            </w:r>
            <w:r>
              <w:rPr>
                <w:rFonts w:hint="default" w:ascii="Times New Roman" w:hAnsi="Times New Roman" w:cs="Times New Roman"/>
                <w:color w:val="auto"/>
                <w:highlight w:val="none"/>
                <w:lang w:eastAsia="zh-CN"/>
              </w:rPr>
              <w:t>的固废主要为</w:t>
            </w:r>
            <w:r>
              <w:rPr>
                <w:rFonts w:hint="eastAsia" w:cs="Times New Roman"/>
                <w:color w:val="auto"/>
                <w:highlight w:val="none"/>
                <w:lang w:val="en-US" w:eastAsia="zh-CN"/>
              </w:rPr>
              <w:t>废包装袋（S1、S4）、筛分废料（S2）、废布袋（S3）、1#布袋除尘器收集的烟粉尘（S5）、废润滑油及废油桶（S6）、</w:t>
            </w:r>
            <w:r>
              <w:rPr>
                <w:rFonts w:hint="default" w:ascii="Times New Roman" w:hAnsi="Times New Roman" w:cs="Times New Roman"/>
                <w:color w:val="auto"/>
                <w:highlight w:val="none"/>
                <w:lang w:eastAsia="zh-CN"/>
              </w:rPr>
              <w:t>员工</w:t>
            </w:r>
            <w:r>
              <w:rPr>
                <w:rFonts w:hint="eastAsia" w:cs="Times New Roman"/>
                <w:color w:val="auto"/>
                <w:highlight w:val="none"/>
                <w:lang w:eastAsia="zh-CN"/>
              </w:rPr>
              <w:t>生活垃圾（S</w:t>
            </w:r>
            <w:r>
              <w:rPr>
                <w:rFonts w:hint="eastAsia" w:cs="Times New Roman"/>
                <w:color w:val="auto"/>
                <w:highlight w:val="none"/>
                <w:lang w:val="en-US" w:eastAsia="zh-CN"/>
              </w:rPr>
              <w:t>7</w:t>
            </w:r>
            <w:r>
              <w:rPr>
                <w:rFonts w:hint="eastAsia" w:cs="Times New Roman"/>
                <w:color w:val="auto"/>
                <w:highlight w:val="none"/>
                <w:lang w:eastAsia="zh-CN"/>
              </w:rPr>
              <w:t>）。</w:t>
            </w:r>
          </w:p>
          <w:p w14:paraId="369E7623">
            <w:pPr>
              <w:pStyle w:val="2"/>
              <w:ind w:left="0" w:leftChars="0"/>
              <w:jc w:val="center"/>
              <w:rPr>
                <w:rFonts w:hint="default" w:ascii="Times New Roman" w:hAnsi="Times New Roman" w:cs="Times New Roman"/>
                <w:b/>
                <w:bCs/>
                <w:color w:val="FF0000"/>
                <w:sz w:val="21"/>
                <w:szCs w:val="21"/>
                <w:highlight w:val="none"/>
                <w:lang w:val="en-US" w:eastAsia="zh-CN"/>
              </w:rPr>
            </w:pPr>
            <w:r>
              <w:rPr>
                <w:rFonts w:hint="default" w:ascii="Times New Roman" w:hAnsi="Times New Roman" w:cs="Times New Roman"/>
                <w:b/>
                <w:bCs/>
                <w:color w:val="FF0000"/>
                <w:sz w:val="21"/>
                <w:szCs w:val="21"/>
                <w:highlight w:val="none"/>
                <w:lang w:val="en-US" w:eastAsia="zh-CN"/>
              </w:rPr>
              <w:t>表2-</w:t>
            </w:r>
            <w:r>
              <w:rPr>
                <w:rFonts w:hint="eastAsia" w:cs="Times New Roman"/>
                <w:b/>
                <w:bCs/>
                <w:color w:val="FF0000"/>
                <w:sz w:val="21"/>
                <w:szCs w:val="21"/>
                <w:highlight w:val="none"/>
                <w:lang w:val="en-US" w:eastAsia="zh-CN"/>
              </w:rPr>
              <w:t>6</w:t>
            </w:r>
            <w:r>
              <w:rPr>
                <w:rFonts w:hint="default" w:ascii="Times New Roman" w:hAnsi="Times New Roman" w:cs="Times New Roman"/>
                <w:b/>
                <w:bCs/>
                <w:color w:val="FF0000"/>
                <w:sz w:val="21"/>
                <w:szCs w:val="21"/>
                <w:highlight w:val="none"/>
                <w:lang w:val="en-US" w:eastAsia="zh-CN"/>
              </w:rPr>
              <w:t>产污环节一览表</w:t>
            </w:r>
          </w:p>
          <w:tbl>
            <w:tblPr>
              <w:tblStyle w:val="8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9"/>
              <w:gridCol w:w="528"/>
              <w:gridCol w:w="2893"/>
              <w:gridCol w:w="1213"/>
              <w:gridCol w:w="1627"/>
              <w:gridCol w:w="1630"/>
            </w:tblGrid>
            <w:tr w14:paraId="0F4BE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9" w:type="dxa"/>
                  <w:vAlign w:val="center"/>
                </w:tcPr>
                <w:p w14:paraId="44CBDE3F">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类别</w:t>
                  </w:r>
                </w:p>
              </w:tc>
              <w:tc>
                <w:tcPr>
                  <w:tcW w:w="3421" w:type="dxa"/>
                  <w:gridSpan w:val="2"/>
                  <w:vAlign w:val="center"/>
                </w:tcPr>
                <w:p w14:paraId="25D03267">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产污环节</w:t>
                  </w:r>
                </w:p>
              </w:tc>
              <w:tc>
                <w:tcPr>
                  <w:tcW w:w="1213" w:type="dxa"/>
                  <w:vAlign w:val="center"/>
                </w:tcPr>
                <w:p w14:paraId="45AA427A">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污染物</w:t>
                  </w:r>
                </w:p>
              </w:tc>
              <w:tc>
                <w:tcPr>
                  <w:tcW w:w="3257" w:type="dxa"/>
                  <w:gridSpan w:val="2"/>
                  <w:vAlign w:val="center"/>
                </w:tcPr>
                <w:p w14:paraId="263AF5E6">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治理措施</w:t>
                  </w:r>
                </w:p>
              </w:tc>
            </w:tr>
            <w:tr w14:paraId="447D9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519" w:type="dxa"/>
                  <w:vMerge w:val="restart"/>
                  <w:vAlign w:val="center"/>
                </w:tcPr>
                <w:p w14:paraId="53DD8154">
                  <w:pPr>
                    <w:jc w:val="center"/>
                    <w:rPr>
                      <w:rFonts w:hint="default" w:ascii="Times New Roman" w:hAnsi="Times New Roman" w:cs="Times New Roman" w:eastAsiaTheme="minorEastAsia"/>
                      <w:color w:val="FF0000"/>
                      <w:sz w:val="18"/>
                      <w:szCs w:val="18"/>
                      <w:highlight w:val="none"/>
                      <w:lang w:val="en-US" w:eastAsia="zh-CN"/>
                    </w:rPr>
                  </w:pPr>
                  <w:r>
                    <w:rPr>
                      <w:rFonts w:hint="default" w:ascii="Times New Roman" w:hAnsi="Times New Roman" w:cs="Times New Roman" w:eastAsiaTheme="minorEastAsia"/>
                      <w:color w:val="FF0000"/>
                      <w:sz w:val="18"/>
                      <w:szCs w:val="18"/>
                      <w:highlight w:val="none"/>
                      <w:lang w:val="en-US" w:eastAsia="zh-CN"/>
                    </w:rPr>
                    <w:t>废气</w:t>
                  </w:r>
                </w:p>
                <w:p w14:paraId="4E4AD8BA">
                  <w:pPr>
                    <w:jc w:val="center"/>
                    <w:rPr>
                      <w:rFonts w:hint="default" w:ascii="Times New Roman" w:hAnsi="Times New Roman" w:cs="Times New Roman" w:eastAsiaTheme="minorEastAsia"/>
                      <w:color w:val="FF0000"/>
                      <w:sz w:val="18"/>
                      <w:szCs w:val="18"/>
                      <w:highlight w:val="none"/>
                    </w:rPr>
                  </w:pPr>
                </w:p>
              </w:tc>
              <w:tc>
                <w:tcPr>
                  <w:tcW w:w="528" w:type="dxa"/>
                  <w:vMerge w:val="restart"/>
                  <w:vAlign w:val="center"/>
                </w:tcPr>
                <w:p w14:paraId="03FDF916">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运营期</w:t>
                  </w:r>
                </w:p>
                <w:p w14:paraId="5216BE79">
                  <w:pPr>
                    <w:jc w:val="center"/>
                    <w:rPr>
                      <w:rFonts w:hint="default" w:ascii="Times New Roman" w:hAnsi="Times New Roman" w:cs="Times New Roman" w:eastAsiaTheme="minorEastAsia"/>
                      <w:color w:val="FF0000"/>
                      <w:sz w:val="18"/>
                      <w:szCs w:val="18"/>
                      <w:highlight w:val="none"/>
                      <w:lang w:val="en-US" w:eastAsia="zh-CN"/>
                    </w:rPr>
                  </w:pPr>
                </w:p>
              </w:tc>
              <w:tc>
                <w:tcPr>
                  <w:tcW w:w="2893" w:type="dxa"/>
                  <w:vAlign w:val="center"/>
                </w:tcPr>
                <w:p w14:paraId="0BEF2D6B">
                  <w:pPr>
                    <w:jc w:val="center"/>
                    <w:rPr>
                      <w:rFonts w:hint="default" w:ascii="Times New Roman" w:hAnsi="Times New Roman" w:cs="Times New Roman" w:eastAsiaTheme="minorEastAsia"/>
                      <w:color w:val="FF0000"/>
                      <w:sz w:val="18"/>
                      <w:szCs w:val="18"/>
                      <w:highlight w:val="none"/>
                      <w:lang w:val="en-US" w:eastAsia="zh-CN"/>
                    </w:rPr>
                  </w:pPr>
                  <w:r>
                    <w:rPr>
                      <w:rFonts w:hint="eastAsia" w:cs="Times New Roman" w:eastAsiaTheme="minorEastAsia"/>
                      <w:color w:val="FF0000"/>
                      <w:sz w:val="18"/>
                      <w:szCs w:val="18"/>
                      <w:highlight w:val="none"/>
                      <w:lang w:val="en-US" w:eastAsia="zh-CN"/>
                    </w:rPr>
                    <w:t>进料和筛分工序（G1）</w:t>
                  </w:r>
                </w:p>
              </w:tc>
              <w:tc>
                <w:tcPr>
                  <w:tcW w:w="1213" w:type="dxa"/>
                  <w:vAlign w:val="center"/>
                </w:tcPr>
                <w:p w14:paraId="15E169D2">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颗粒物</w:t>
                  </w:r>
                </w:p>
              </w:tc>
              <w:tc>
                <w:tcPr>
                  <w:tcW w:w="1627" w:type="dxa"/>
                  <w:vMerge w:val="restart"/>
                  <w:vAlign w:val="center"/>
                </w:tcPr>
                <w:p w14:paraId="19FA12D8">
                  <w:pPr>
                    <w:jc w:val="center"/>
                    <w:rPr>
                      <w:rFonts w:hint="default" w:ascii="Times New Roman" w:hAnsi="Times New Roman" w:cs="Times New Roman" w:eastAsiaTheme="minorEastAsia"/>
                      <w:color w:val="FF0000"/>
                      <w:sz w:val="18"/>
                      <w:szCs w:val="18"/>
                      <w:highlight w:val="none"/>
                      <w:lang w:val="en-US" w:eastAsia="zh-CN"/>
                    </w:rPr>
                  </w:pPr>
                  <w:r>
                    <w:rPr>
                      <w:rFonts w:hint="eastAsia" w:cs="Times New Roman" w:eastAsiaTheme="minorEastAsia"/>
                      <w:color w:val="FF0000"/>
                      <w:sz w:val="18"/>
                      <w:szCs w:val="18"/>
                      <w:highlight w:val="none"/>
                      <w:lang w:val="en-US" w:eastAsia="zh-CN"/>
                    </w:rPr>
                    <w:t>2#布袋除尘器</w:t>
                  </w:r>
                </w:p>
              </w:tc>
              <w:tc>
                <w:tcPr>
                  <w:tcW w:w="1630" w:type="dxa"/>
                  <w:vMerge w:val="restart"/>
                  <w:vAlign w:val="center"/>
                </w:tcPr>
                <w:p w14:paraId="3348BE34">
                  <w:pPr>
                    <w:jc w:val="center"/>
                    <w:rPr>
                      <w:rFonts w:hint="default" w:ascii="Times New Roman" w:hAnsi="Times New Roman" w:cs="Times New Roman" w:eastAsiaTheme="minorEastAsia"/>
                      <w:color w:val="FF0000"/>
                      <w:sz w:val="18"/>
                      <w:szCs w:val="18"/>
                      <w:highlight w:val="none"/>
                      <w:lang w:val="en-US" w:eastAsia="zh-CN"/>
                    </w:rPr>
                  </w:pPr>
                  <w:r>
                    <w:rPr>
                      <w:rFonts w:hint="default" w:ascii="Times New Roman" w:hAnsi="Times New Roman" w:cs="Times New Roman" w:eastAsiaTheme="minorEastAsia"/>
                      <w:color w:val="FF0000"/>
                      <w:sz w:val="18"/>
                      <w:szCs w:val="18"/>
                      <w:highlight w:val="none"/>
                      <w:lang w:val="en-US" w:eastAsia="zh-CN"/>
                    </w:rPr>
                    <w:t>由</w:t>
                  </w:r>
                  <w:r>
                    <w:rPr>
                      <w:rFonts w:hint="eastAsia" w:cs="Times New Roman" w:eastAsiaTheme="minorEastAsia"/>
                      <w:color w:val="FF0000"/>
                      <w:sz w:val="18"/>
                      <w:szCs w:val="18"/>
                      <w:highlight w:val="none"/>
                      <w:lang w:val="en-US" w:eastAsia="zh-CN"/>
                    </w:rPr>
                    <w:t>15</w:t>
                  </w:r>
                  <w:r>
                    <w:rPr>
                      <w:rFonts w:hint="default" w:ascii="Times New Roman" w:hAnsi="Times New Roman" w:cs="Times New Roman" w:eastAsiaTheme="minorEastAsia"/>
                      <w:color w:val="FF0000"/>
                      <w:sz w:val="18"/>
                      <w:szCs w:val="18"/>
                      <w:highlight w:val="none"/>
                      <w:lang w:val="en-US" w:eastAsia="zh-CN"/>
                    </w:rPr>
                    <w:t>m高排气筒（DA00</w:t>
                  </w:r>
                  <w:r>
                    <w:rPr>
                      <w:rFonts w:hint="eastAsia" w:cs="Times New Roman" w:eastAsiaTheme="minorEastAsia"/>
                      <w:color w:val="FF0000"/>
                      <w:sz w:val="18"/>
                      <w:szCs w:val="18"/>
                      <w:highlight w:val="none"/>
                      <w:lang w:val="en-US" w:eastAsia="zh-CN"/>
                    </w:rPr>
                    <w:t>2</w:t>
                  </w:r>
                  <w:r>
                    <w:rPr>
                      <w:rFonts w:hint="default" w:ascii="Times New Roman" w:hAnsi="Times New Roman" w:cs="Times New Roman" w:eastAsiaTheme="minorEastAsia"/>
                      <w:color w:val="FF0000"/>
                      <w:sz w:val="18"/>
                      <w:szCs w:val="18"/>
                      <w:highlight w:val="none"/>
                      <w:lang w:val="en-US" w:eastAsia="zh-CN"/>
                    </w:rPr>
                    <w:t>）有组织排放</w:t>
                  </w:r>
                </w:p>
              </w:tc>
            </w:tr>
            <w:tr w14:paraId="36A80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519" w:type="dxa"/>
                  <w:vMerge w:val="continue"/>
                  <w:vAlign w:val="center"/>
                </w:tcPr>
                <w:p w14:paraId="6AED0FA1">
                  <w:pPr>
                    <w:jc w:val="center"/>
                    <w:rPr>
                      <w:rFonts w:hint="default" w:ascii="Times New Roman" w:hAnsi="Times New Roman" w:cs="Times New Roman" w:eastAsiaTheme="minorEastAsia"/>
                      <w:color w:val="FF0000"/>
                      <w:sz w:val="18"/>
                      <w:szCs w:val="18"/>
                      <w:highlight w:val="none"/>
                    </w:rPr>
                  </w:pPr>
                </w:p>
              </w:tc>
              <w:tc>
                <w:tcPr>
                  <w:tcW w:w="528" w:type="dxa"/>
                  <w:vMerge w:val="continue"/>
                  <w:vAlign w:val="center"/>
                </w:tcPr>
                <w:p w14:paraId="61A62F43">
                  <w:pPr>
                    <w:jc w:val="center"/>
                    <w:rPr>
                      <w:rFonts w:hint="default" w:ascii="Times New Roman" w:hAnsi="Times New Roman" w:cs="Times New Roman" w:eastAsiaTheme="minorEastAsia"/>
                      <w:color w:val="FF0000"/>
                      <w:sz w:val="18"/>
                      <w:szCs w:val="18"/>
                      <w:highlight w:val="none"/>
                      <w:lang w:val="en-US" w:eastAsia="zh-CN"/>
                    </w:rPr>
                  </w:pPr>
                </w:p>
              </w:tc>
              <w:tc>
                <w:tcPr>
                  <w:tcW w:w="2893" w:type="dxa"/>
                  <w:vAlign w:val="center"/>
                </w:tcPr>
                <w:p w14:paraId="0DB570EE">
                  <w:pPr>
                    <w:jc w:val="center"/>
                    <w:rPr>
                      <w:rFonts w:hint="eastAsia" w:cs="Times New Roman" w:eastAsiaTheme="minorEastAsia"/>
                      <w:color w:val="FF0000"/>
                      <w:sz w:val="18"/>
                      <w:szCs w:val="18"/>
                      <w:highlight w:val="none"/>
                      <w:lang w:val="en-US" w:eastAsia="zh-CN"/>
                    </w:rPr>
                  </w:pPr>
                  <w:r>
                    <w:rPr>
                      <w:rFonts w:hint="eastAsia" w:cs="Times New Roman" w:eastAsiaTheme="minorEastAsia"/>
                      <w:color w:val="FF0000"/>
                      <w:sz w:val="18"/>
                      <w:szCs w:val="18"/>
                      <w:highlight w:val="none"/>
                      <w:lang w:val="en-US" w:eastAsia="zh-CN"/>
                    </w:rPr>
                    <w:t>上料工序（G2）</w:t>
                  </w:r>
                </w:p>
              </w:tc>
              <w:tc>
                <w:tcPr>
                  <w:tcW w:w="1213" w:type="dxa"/>
                  <w:vAlign w:val="center"/>
                </w:tcPr>
                <w:p w14:paraId="3FE238FE">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颗粒物</w:t>
                  </w:r>
                </w:p>
              </w:tc>
              <w:tc>
                <w:tcPr>
                  <w:tcW w:w="1627" w:type="dxa"/>
                  <w:vMerge w:val="continue"/>
                  <w:vAlign w:val="center"/>
                </w:tcPr>
                <w:p w14:paraId="279F0E76">
                  <w:pPr>
                    <w:jc w:val="center"/>
                    <w:rPr>
                      <w:rFonts w:hint="eastAsia" w:ascii="Times New Roman" w:hAnsi="Times New Roman" w:cs="Times New Roman" w:eastAsiaTheme="minorEastAsia"/>
                      <w:color w:val="FF0000"/>
                      <w:sz w:val="18"/>
                      <w:szCs w:val="18"/>
                      <w:highlight w:val="none"/>
                      <w:lang w:val="en-US" w:eastAsia="zh-CN"/>
                    </w:rPr>
                  </w:pPr>
                </w:p>
              </w:tc>
              <w:tc>
                <w:tcPr>
                  <w:tcW w:w="1630" w:type="dxa"/>
                  <w:vMerge w:val="continue"/>
                  <w:vAlign w:val="center"/>
                </w:tcPr>
                <w:p w14:paraId="2BB3BBAE">
                  <w:pPr>
                    <w:jc w:val="center"/>
                    <w:rPr>
                      <w:rFonts w:hint="default" w:ascii="Times New Roman" w:hAnsi="Times New Roman" w:cs="Times New Roman" w:eastAsiaTheme="minorEastAsia"/>
                      <w:color w:val="FF0000"/>
                      <w:sz w:val="18"/>
                      <w:szCs w:val="18"/>
                      <w:highlight w:val="none"/>
                      <w:lang w:val="en-US" w:eastAsia="zh-CN"/>
                    </w:rPr>
                  </w:pPr>
                </w:p>
              </w:tc>
            </w:tr>
            <w:tr w14:paraId="352B7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519" w:type="dxa"/>
                  <w:vMerge w:val="continue"/>
                  <w:vAlign w:val="center"/>
                </w:tcPr>
                <w:p w14:paraId="786C0A0E">
                  <w:pPr>
                    <w:jc w:val="center"/>
                    <w:rPr>
                      <w:rFonts w:hint="default" w:ascii="Times New Roman" w:hAnsi="Times New Roman" w:cs="Times New Roman" w:eastAsiaTheme="minorEastAsia"/>
                      <w:color w:val="FF0000"/>
                      <w:sz w:val="18"/>
                      <w:szCs w:val="18"/>
                      <w:highlight w:val="none"/>
                    </w:rPr>
                  </w:pPr>
                </w:p>
              </w:tc>
              <w:tc>
                <w:tcPr>
                  <w:tcW w:w="528" w:type="dxa"/>
                  <w:vMerge w:val="continue"/>
                  <w:vAlign w:val="center"/>
                </w:tcPr>
                <w:p w14:paraId="1F4CE9A4">
                  <w:pPr>
                    <w:jc w:val="center"/>
                    <w:rPr>
                      <w:rFonts w:hint="default" w:ascii="Times New Roman" w:hAnsi="Times New Roman" w:cs="Times New Roman" w:eastAsiaTheme="minorEastAsia"/>
                      <w:color w:val="FF0000"/>
                      <w:sz w:val="18"/>
                      <w:szCs w:val="18"/>
                      <w:highlight w:val="none"/>
                      <w:lang w:val="en-US" w:eastAsia="zh-CN"/>
                    </w:rPr>
                  </w:pPr>
                </w:p>
              </w:tc>
              <w:tc>
                <w:tcPr>
                  <w:tcW w:w="2893" w:type="dxa"/>
                  <w:shd w:val="clear" w:color="auto" w:fill="auto"/>
                  <w:vAlign w:val="center"/>
                </w:tcPr>
                <w:p w14:paraId="51B783A5">
                  <w:pPr>
                    <w:jc w:val="center"/>
                    <w:rPr>
                      <w:rFonts w:hint="eastAsia" w:ascii="Times New Roman" w:hAnsi="Times New Roman" w:cs="Times New Roman" w:eastAsiaTheme="minorEastAsia"/>
                      <w:color w:val="FF0000"/>
                      <w:kern w:val="2"/>
                      <w:sz w:val="18"/>
                      <w:szCs w:val="18"/>
                      <w:highlight w:val="none"/>
                      <w:lang w:val="en-US" w:eastAsia="zh-CN" w:bidi="ar-SA"/>
                    </w:rPr>
                  </w:pPr>
                  <w:r>
                    <w:rPr>
                      <w:rFonts w:hint="eastAsia" w:cs="Times New Roman" w:eastAsiaTheme="minorEastAsia"/>
                      <w:color w:val="FF0000"/>
                      <w:sz w:val="18"/>
                      <w:szCs w:val="18"/>
                      <w:highlight w:val="none"/>
                      <w:lang w:val="en-US" w:eastAsia="zh-CN"/>
                    </w:rPr>
                    <w:t>混料工序（G3）</w:t>
                  </w:r>
                </w:p>
              </w:tc>
              <w:tc>
                <w:tcPr>
                  <w:tcW w:w="1213" w:type="dxa"/>
                  <w:vAlign w:val="center"/>
                </w:tcPr>
                <w:p w14:paraId="75AE66F8">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颗粒物</w:t>
                  </w:r>
                </w:p>
              </w:tc>
              <w:tc>
                <w:tcPr>
                  <w:tcW w:w="1627" w:type="dxa"/>
                  <w:vMerge w:val="continue"/>
                  <w:vAlign w:val="center"/>
                </w:tcPr>
                <w:p w14:paraId="1EFFE39C">
                  <w:pPr>
                    <w:jc w:val="center"/>
                    <w:rPr>
                      <w:rFonts w:hint="eastAsia" w:ascii="Times New Roman" w:hAnsi="Times New Roman" w:cs="Times New Roman" w:eastAsiaTheme="minorEastAsia"/>
                      <w:color w:val="FF0000"/>
                      <w:sz w:val="18"/>
                      <w:szCs w:val="18"/>
                      <w:highlight w:val="none"/>
                      <w:lang w:val="en-US" w:eastAsia="zh-CN"/>
                    </w:rPr>
                  </w:pPr>
                </w:p>
              </w:tc>
              <w:tc>
                <w:tcPr>
                  <w:tcW w:w="1630" w:type="dxa"/>
                  <w:vMerge w:val="continue"/>
                  <w:vAlign w:val="center"/>
                </w:tcPr>
                <w:p w14:paraId="1CD73BFA">
                  <w:pPr>
                    <w:jc w:val="center"/>
                    <w:rPr>
                      <w:rFonts w:hint="default" w:ascii="Times New Roman" w:hAnsi="Times New Roman" w:cs="Times New Roman" w:eastAsiaTheme="minorEastAsia"/>
                      <w:color w:val="FF0000"/>
                      <w:sz w:val="18"/>
                      <w:szCs w:val="18"/>
                      <w:highlight w:val="none"/>
                      <w:lang w:val="en-US" w:eastAsia="zh-CN"/>
                    </w:rPr>
                  </w:pPr>
                </w:p>
              </w:tc>
            </w:tr>
            <w:tr w14:paraId="6C163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519" w:type="dxa"/>
                  <w:vMerge w:val="continue"/>
                  <w:vAlign w:val="center"/>
                </w:tcPr>
                <w:p w14:paraId="29E90B2B">
                  <w:pPr>
                    <w:jc w:val="center"/>
                    <w:rPr>
                      <w:rFonts w:hint="default" w:ascii="Times New Roman" w:hAnsi="Times New Roman" w:cs="Times New Roman" w:eastAsiaTheme="minorEastAsia"/>
                      <w:color w:val="FF0000"/>
                      <w:sz w:val="18"/>
                      <w:szCs w:val="18"/>
                      <w:highlight w:val="none"/>
                    </w:rPr>
                  </w:pPr>
                </w:p>
              </w:tc>
              <w:tc>
                <w:tcPr>
                  <w:tcW w:w="528" w:type="dxa"/>
                  <w:vMerge w:val="continue"/>
                  <w:vAlign w:val="center"/>
                </w:tcPr>
                <w:p w14:paraId="0584D545">
                  <w:pPr>
                    <w:jc w:val="center"/>
                    <w:rPr>
                      <w:rFonts w:hint="default" w:ascii="Times New Roman" w:hAnsi="Times New Roman" w:cs="Times New Roman" w:eastAsiaTheme="minorEastAsia"/>
                      <w:color w:val="FF0000"/>
                      <w:sz w:val="18"/>
                      <w:szCs w:val="18"/>
                      <w:highlight w:val="none"/>
                      <w:lang w:val="en-US" w:eastAsia="zh-CN"/>
                    </w:rPr>
                  </w:pPr>
                </w:p>
              </w:tc>
              <w:tc>
                <w:tcPr>
                  <w:tcW w:w="2893" w:type="dxa"/>
                  <w:shd w:val="clear" w:color="auto" w:fill="auto"/>
                  <w:vAlign w:val="center"/>
                </w:tcPr>
                <w:p w14:paraId="02543669">
                  <w:pPr>
                    <w:jc w:val="center"/>
                    <w:rPr>
                      <w:rFonts w:hint="eastAsia" w:ascii="Times New Roman" w:hAnsi="Times New Roman" w:cs="Times New Roman" w:eastAsiaTheme="minorEastAsia"/>
                      <w:color w:val="FF0000"/>
                      <w:kern w:val="2"/>
                      <w:sz w:val="18"/>
                      <w:szCs w:val="18"/>
                      <w:highlight w:val="none"/>
                      <w:lang w:val="en-US" w:eastAsia="zh-CN" w:bidi="ar-SA"/>
                    </w:rPr>
                  </w:pPr>
                  <w:r>
                    <w:rPr>
                      <w:rFonts w:hint="eastAsia" w:cs="Times New Roman" w:eastAsiaTheme="minorEastAsia"/>
                      <w:color w:val="FF0000"/>
                      <w:sz w:val="18"/>
                      <w:szCs w:val="18"/>
                      <w:highlight w:val="none"/>
                      <w:lang w:val="en-US" w:eastAsia="zh-CN"/>
                    </w:rPr>
                    <w:t>装料工序（G4）</w:t>
                  </w:r>
                </w:p>
              </w:tc>
              <w:tc>
                <w:tcPr>
                  <w:tcW w:w="1213" w:type="dxa"/>
                  <w:vAlign w:val="center"/>
                </w:tcPr>
                <w:p w14:paraId="3D7C6912">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颗粒物</w:t>
                  </w:r>
                </w:p>
              </w:tc>
              <w:tc>
                <w:tcPr>
                  <w:tcW w:w="1627" w:type="dxa"/>
                  <w:vMerge w:val="continue"/>
                  <w:vAlign w:val="center"/>
                </w:tcPr>
                <w:p w14:paraId="2119746D">
                  <w:pPr>
                    <w:jc w:val="center"/>
                    <w:rPr>
                      <w:rFonts w:hint="eastAsia" w:ascii="Times New Roman" w:hAnsi="Times New Roman" w:cs="Times New Roman" w:eastAsiaTheme="minorEastAsia"/>
                      <w:color w:val="FF0000"/>
                      <w:sz w:val="18"/>
                      <w:szCs w:val="18"/>
                      <w:highlight w:val="none"/>
                      <w:lang w:val="en-US" w:eastAsia="zh-CN"/>
                    </w:rPr>
                  </w:pPr>
                </w:p>
              </w:tc>
              <w:tc>
                <w:tcPr>
                  <w:tcW w:w="1630" w:type="dxa"/>
                  <w:vMerge w:val="continue"/>
                  <w:vAlign w:val="center"/>
                </w:tcPr>
                <w:p w14:paraId="0FC10294">
                  <w:pPr>
                    <w:jc w:val="center"/>
                    <w:rPr>
                      <w:rFonts w:hint="default" w:ascii="Times New Roman" w:hAnsi="Times New Roman" w:cs="Times New Roman" w:eastAsiaTheme="minorEastAsia"/>
                      <w:color w:val="FF0000"/>
                      <w:sz w:val="18"/>
                      <w:szCs w:val="18"/>
                      <w:highlight w:val="none"/>
                      <w:lang w:val="en-US" w:eastAsia="zh-CN"/>
                    </w:rPr>
                  </w:pPr>
                </w:p>
              </w:tc>
            </w:tr>
            <w:tr w14:paraId="34187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519" w:type="dxa"/>
                  <w:vMerge w:val="continue"/>
                  <w:vAlign w:val="center"/>
                </w:tcPr>
                <w:p w14:paraId="45612A93">
                  <w:pPr>
                    <w:jc w:val="center"/>
                    <w:rPr>
                      <w:rFonts w:hint="default" w:ascii="Times New Roman" w:hAnsi="Times New Roman" w:cs="Times New Roman" w:eastAsiaTheme="minorEastAsia"/>
                      <w:color w:val="FF0000"/>
                      <w:sz w:val="18"/>
                      <w:szCs w:val="18"/>
                      <w:highlight w:val="none"/>
                    </w:rPr>
                  </w:pPr>
                </w:p>
              </w:tc>
              <w:tc>
                <w:tcPr>
                  <w:tcW w:w="528" w:type="dxa"/>
                  <w:vMerge w:val="continue"/>
                  <w:vAlign w:val="center"/>
                </w:tcPr>
                <w:p w14:paraId="7FD0DE35">
                  <w:pPr>
                    <w:jc w:val="center"/>
                    <w:rPr>
                      <w:rFonts w:hint="default" w:ascii="Times New Roman" w:hAnsi="Times New Roman" w:cs="Times New Roman" w:eastAsiaTheme="minorEastAsia"/>
                      <w:color w:val="FF0000"/>
                      <w:sz w:val="18"/>
                      <w:szCs w:val="18"/>
                      <w:highlight w:val="none"/>
                      <w:lang w:val="en-US" w:eastAsia="zh-CN"/>
                    </w:rPr>
                  </w:pPr>
                </w:p>
              </w:tc>
              <w:tc>
                <w:tcPr>
                  <w:tcW w:w="2893" w:type="dxa"/>
                  <w:vAlign w:val="center"/>
                </w:tcPr>
                <w:p w14:paraId="633A2650">
                  <w:pPr>
                    <w:jc w:val="center"/>
                    <w:rPr>
                      <w:rFonts w:hint="eastAsia" w:cs="Times New Roman" w:eastAsiaTheme="minorEastAsia"/>
                      <w:color w:val="FF0000"/>
                      <w:sz w:val="18"/>
                      <w:szCs w:val="18"/>
                      <w:highlight w:val="none"/>
                      <w:lang w:val="en-US" w:eastAsia="zh-CN"/>
                    </w:rPr>
                  </w:pPr>
                  <w:r>
                    <w:rPr>
                      <w:rFonts w:hint="eastAsia" w:cs="Times New Roman" w:eastAsiaTheme="minorEastAsia"/>
                      <w:color w:val="FF0000"/>
                      <w:sz w:val="18"/>
                      <w:szCs w:val="18"/>
                      <w:highlight w:val="none"/>
                      <w:lang w:val="en-US" w:eastAsia="zh-CN"/>
                    </w:rPr>
                    <w:t>包装工序（G6）</w:t>
                  </w:r>
                </w:p>
              </w:tc>
              <w:tc>
                <w:tcPr>
                  <w:tcW w:w="1213" w:type="dxa"/>
                  <w:vAlign w:val="center"/>
                </w:tcPr>
                <w:p w14:paraId="1EDABAD4">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颗粒物</w:t>
                  </w:r>
                </w:p>
              </w:tc>
              <w:tc>
                <w:tcPr>
                  <w:tcW w:w="1627" w:type="dxa"/>
                  <w:vMerge w:val="continue"/>
                  <w:vAlign w:val="center"/>
                </w:tcPr>
                <w:p w14:paraId="5F0D7673">
                  <w:pPr>
                    <w:jc w:val="center"/>
                    <w:rPr>
                      <w:rFonts w:hint="eastAsia" w:ascii="Times New Roman" w:hAnsi="Times New Roman" w:cs="Times New Roman" w:eastAsiaTheme="minorEastAsia"/>
                      <w:color w:val="FF0000"/>
                      <w:sz w:val="18"/>
                      <w:szCs w:val="18"/>
                      <w:highlight w:val="none"/>
                      <w:lang w:val="en-US" w:eastAsia="zh-CN"/>
                    </w:rPr>
                  </w:pPr>
                </w:p>
              </w:tc>
              <w:tc>
                <w:tcPr>
                  <w:tcW w:w="1630" w:type="dxa"/>
                  <w:vMerge w:val="continue"/>
                  <w:vAlign w:val="center"/>
                </w:tcPr>
                <w:p w14:paraId="59FCBC4A">
                  <w:pPr>
                    <w:jc w:val="center"/>
                    <w:rPr>
                      <w:rFonts w:hint="default" w:ascii="Times New Roman" w:hAnsi="Times New Roman" w:cs="Times New Roman" w:eastAsiaTheme="minorEastAsia"/>
                      <w:color w:val="FF0000"/>
                      <w:sz w:val="18"/>
                      <w:szCs w:val="18"/>
                      <w:highlight w:val="none"/>
                      <w:lang w:val="en-US" w:eastAsia="zh-CN"/>
                    </w:rPr>
                  </w:pPr>
                </w:p>
              </w:tc>
            </w:tr>
            <w:tr w14:paraId="1E9C5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519" w:type="dxa"/>
                  <w:vMerge w:val="continue"/>
                  <w:vAlign w:val="center"/>
                </w:tcPr>
                <w:p w14:paraId="2E01A409">
                  <w:pPr>
                    <w:jc w:val="center"/>
                    <w:rPr>
                      <w:rFonts w:hint="default" w:ascii="Times New Roman" w:hAnsi="Times New Roman" w:cs="Times New Roman" w:eastAsiaTheme="minorEastAsia"/>
                      <w:color w:val="FF0000"/>
                      <w:sz w:val="18"/>
                      <w:szCs w:val="18"/>
                      <w:highlight w:val="none"/>
                    </w:rPr>
                  </w:pPr>
                </w:p>
              </w:tc>
              <w:tc>
                <w:tcPr>
                  <w:tcW w:w="528" w:type="dxa"/>
                  <w:vMerge w:val="continue"/>
                  <w:vAlign w:val="center"/>
                </w:tcPr>
                <w:p w14:paraId="0773ED0B">
                  <w:pPr>
                    <w:jc w:val="center"/>
                    <w:rPr>
                      <w:rFonts w:hint="default" w:ascii="Times New Roman" w:hAnsi="Times New Roman" w:cs="Times New Roman" w:eastAsiaTheme="minorEastAsia"/>
                      <w:color w:val="FF0000"/>
                      <w:sz w:val="18"/>
                      <w:szCs w:val="18"/>
                      <w:highlight w:val="none"/>
                      <w:lang w:val="en-US" w:eastAsia="zh-CN"/>
                    </w:rPr>
                  </w:pPr>
                </w:p>
              </w:tc>
              <w:tc>
                <w:tcPr>
                  <w:tcW w:w="2893" w:type="dxa"/>
                  <w:vAlign w:val="center"/>
                </w:tcPr>
                <w:p w14:paraId="06F6D7D6">
                  <w:pPr>
                    <w:jc w:val="center"/>
                    <w:rPr>
                      <w:rFonts w:hint="eastAsia" w:ascii="Times New Roman" w:hAnsi="Times New Roman" w:cs="Times New Roman" w:eastAsiaTheme="minorEastAsia"/>
                      <w:color w:val="FF0000"/>
                      <w:sz w:val="18"/>
                      <w:szCs w:val="18"/>
                      <w:highlight w:val="none"/>
                      <w:lang w:val="en-US" w:eastAsia="zh-CN"/>
                    </w:rPr>
                  </w:pPr>
                  <w:r>
                    <w:rPr>
                      <w:rFonts w:hint="default" w:ascii="Times New Roman" w:hAnsi="Times New Roman" w:cs="Times New Roman" w:eastAsiaTheme="minorEastAsia"/>
                      <w:color w:val="FF0000"/>
                      <w:sz w:val="18"/>
                      <w:szCs w:val="18"/>
                      <w:highlight w:val="none"/>
                      <w:lang w:val="en-US" w:eastAsia="zh-CN"/>
                    </w:rPr>
                    <w:t>烧制工序和天然气燃烧</w:t>
                  </w:r>
                  <w:r>
                    <w:rPr>
                      <w:rFonts w:hint="eastAsia" w:cs="Times New Roman" w:eastAsiaTheme="minorEastAsia"/>
                      <w:color w:val="FF0000"/>
                      <w:sz w:val="18"/>
                      <w:szCs w:val="18"/>
                      <w:highlight w:val="none"/>
                      <w:lang w:val="en-US" w:eastAsia="zh-CN"/>
                    </w:rPr>
                    <w:t>（</w:t>
                  </w:r>
                  <w:r>
                    <w:rPr>
                      <w:rFonts w:hint="default" w:ascii="Times New Roman" w:hAnsi="Times New Roman" w:cs="Times New Roman" w:eastAsiaTheme="minorEastAsia"/>
                      <w:color w:val="FF0000"/>
                      <w:sz w:val="18"/>
                      <w:szCs w:val="18"/>
                      <w:highlight w:val="none"/>
                    </w:rPr>
                    <w:t>G</w:t>
                  </w:r>
                  <w:r>
                    <w:rPr>
                      <w:rFonts w:hint="eastAsia" w:cs="Times New Roman" w:eastAsiaTheme="minorEastAsia"/>
                      <w:color w:val="FF0000"/>
                      <w:sz w:val="18"/>
                      <w:szCs w:val="18"/>
                      <w:highlight w:val="none"/>
                      <w:lang w:val="en-US" w:eastAsia="zh-CN"/>
                    </w:rPr>
                    <w:t>5）</w:t>
                  </w:r>
                </w:p>
              </w:tc>
              <w:tc>
                <w:tcPr>
                  <w:tcW w:w="1213" w:type="dxa"/>
                  <w:vAlign w:val="center"/>
                </w:tcPr>
                <w:p w14:paraId="5753E2B5">
                  <w:pPr>
                    <w:jc w:val="center"/>
                    <w:rPr>
                      <w:rFonts w:hint="default" w:ascii="Times New Roman" w:hAnsi="Times New Roman" w:cs="Times New Roman" w:eastAsiaTheme="minorEastAsia"/>
                      <w:color w:val="FF0000"/>
                      <w:sz w:val="18"/>
                      <w:szCs w:val="18"/>
                      <w:highlight w:val="none"/>
                      <w:lang w:val="en-US" w:eastAsia="zh-CN"/>
                    </w:rPr>
                  </w:pPr>
                  <w:r>
                    <w:rPr>
                      <w:rFonts w:hint="default" w:ascii="Times New Roman" w:hAnsi="Times New Roman" w:cs="Times New Roman" w:eastAsiaTheme="minorEastAsia"/>
                      <w:color w:val="FF0000"/>
                      <w:sz w:val="18"/>
                      <w:szCs w:val="18"/>
                      <w:highlight w:val="none"/>
                    </w:rPr>
                    <w:t>颗粒物</w:t>
                  </w:r>
                  <w:r>
                    <w:rPr>
                      <w:rFonts w:hint="default" w:ascii="Times New Roman" w:hAnsi="Times New Roman" w:cs="Times New Roman" w:eastAsiaTheme="minorEastAsia"/>
                      <w:color w:val="FF0000"/>
                      <w:sz w:val="18"/>
                      <w:szCs w:val="18"/>
                      <w:highlight w:val="none"/>
                      <w:lang w:eastAsia="zh-CN"/>
                    </w:rPr>
                    <w:t>、</w:t>
                  </w:r>
                  <w:r>
                    <w:rPr>
                      <w:rFonts w:hint="default" w:ascii="Times New Roman" w:hAnsi="Times New Roman" w:cs="Times New Roman" w:eastAsiaTheme="minorEastAsia"/>
                      <w:color w:val="FF0000"/>
                      <w:sz w:val="18"/>
                      <w:szCs w:val="18"/>
                      <w:highlight w:val="none"/>
                      <w:lang w:val="en-US" w:eastAsia="zh-CN"/>
                    </w:rPr>
                    <w:t>SO</w:t>
                  </w:r>
                  <w:r>
                    <w:rPr>
                      <w:rFonts w:hint="default" w:ascii="Times New Roman" w:hAnsi="Times New Roman" w:cs="Times New Roman" w:eastAsiaTheme="minorEastAsia"/>
                      <w:color w:val="FF0000"/>
                      <w:sz w:val="18"/>
                      <w:szCs w:val="18"/>
                      <w:highlight w:val="none"/>
                      <w:vertAlign w:val="subscript"/>
                      <w:lang w:val="en-US" w:eastAsia="zh-CN"/>
                    </w:rPr>
                    <w:t>2</w:t>
                  </w:r>
                  <w:r>
                    <w:rPr>
                      <w:rFonts w:hint="default" w:ascii="Times New Roman" w:hAnsi="Times New Roman" w:cs="Times New Roman" w:eastAsiaTheme="minorEastAsia"/>
                      <w:color w:val="FF0000"/>
                      <w:sz w:val="18"/>
                      <w:szCs w:val="18"/>
                      <w:highlight w:val="none"/>
                      <w:lang w:val="en-US" w:eastAsia="zh-CN"/>
                    </w:rPr>
                    <w:t>、NOx</w:t>
                  </w:r>
                </w:p>
              </w:tc>
              <w:tc>
                <w:tcPr>
                  <w:tcW w:w="1627" w:type="dxa"/>
                  <w:vAlign w:val="center"/>
                </w:tcPr>
                <w:p w14:paraId="556D26FD">
                  <w:pPr>
                    <w:jc w:val="center"/>
                    <w:rPr>
                      <w:rFonts w:hint="default" w:ascii="Times New Roman" w:hAnsi="Times New Roman" w:cs="Times New Roman" w:eastAsiaTheme="minorEastAsia"/>
                      <w:color w:val="FF0000"/>
                      <w:sz w:val="18"/>
                      <w:szCs w:val="18"/>
                      <w:highlight w:val="none"/>
                      <w:lang w:val="en-US" w:eastAsia="zh-CN"/>
                    </w:rPr>
                  </w:pPr>
                  <w:r>
                    <w:rPr>
                      <w:rFonts w:hint="default" w:ascii="Times New Roman" w:hAnsi="Times New Roman" w:cs="Times New Roman" w:eastAsiaTheme="minorEastAsia"/>
                      <w:color w:val="FF0000"/>
                      <w:sz w:val="18"/>
                      <w:szCs w:val="18"/>
                      <w:highlight w:val="none"/>
                      <w:lang w:val="en-US" w:eastAsia="zh-CN"/>
                    </w:rPr>
                    <w:t>SNCR脱硝+1#布袋除尘器</w:t>
                  </w:r>
                </w:p>
              </w:tc>
              <w:tc>
                <w:tcPr>
                  <w:tcW w:w="1630" w:type="dxa"/>
                  <w:vMerge w:val="restart"/>
                  <w:vAlign w:val="center"/>
                </w:tcPr>
                <w:p w14:paraId="59BDDC5C">
                  <w:pPr>
                    <w:jc w:val="center"/>
                    <w:rPr>
                      <w:rFonts w:hint="default" w:ascii="Times New Roman" w:hAnsi="Times New Roman" w:cs="Times New Roman" w:eastAsiaTheme="minorEastAsia"/>
                      <w:color w:val="FF0000"/>
                      <w:sz w:val="18"/>
                      <w:szCs w:val="18"/>
                      <w:highlight w:val="none"/>
                      <w:lang w:val="en-US" w:eastAsia="zh-CN"/>
                    </w:rPr>
                  </w:pPr>
                  <w:r>
                    <w:rPr>
                      <w:rFonts w:hint="default" w:ascii="Times New Roman" w:hAnsi="Times New Roman" w:cs="Times New Roman" w:eastAsiaTheme="minorEastAsia"/>
                      <w:color w:val="FF0000"/>
                      <w:sz w:val="18"/>
                      <w:szCs w:val="18"/>
                      <w:highlight w:val="none"/>
                      <w:lang w:val="en-US" w:eastAsia="zh-CN"/>
                    </w:rPr>
                    <w:t>由</w:t>
                  </w:r>
                  <w:r>
                    <w:rPr>
                      <w:rFonts w:hint="eastAsia" w:cs="Times New Roman" w:eastAsiaTheme="minorEastAsia"/>
                      <w:color w:val="FF0000"/>
                      <w:sz w:val="18"/>
                      <w:szCs w:val="18"/>
                      <w:highlight w:val="none"/>
                      <w:lang w:val="en-US" w:eastAsia="zh-CN"/>
                    </w:rPr>
                    <w:t>15</w:t>
                  </w:r>
                  <w:r>
                    <w:rPr>
                      <w:rFonts w:hint="default" w:ascii="Times New Roman" w:hAnsi="Times New Roman" w:cs="Times New Roman" w:eastAsiaTheme="minorEastAsia"/>
                      <w:color w:val="FF0000"/>
                      <w:sz w:val="18"/>
                      <w:szCs w:val="18"/>
                      <w:highlight w:val="none"/>
                      <w:lang w:val="en-US" w:eastAsia="zh-CN"/>
                    </w:rPr>
                    <w:t>m高排气筒（DA00</w:t>
                  </w:r>
                  <w:r>
                    <w:rPr>
                      <w:rFonts w:hint="eastAsia" w:cs="Times New Roman" w:eastAsiaTheme="minorEastAsia"/>
                      <w:color w:val="FF0000"/>
                      <w:sz w:val="18"/>
                      <w:szCs w:val="18"/>
                      <w:highlight w:val="none"/>
                      <w:lang w:val="en-US" w:eastAsia="zh-CN"/>
                    </w:rPr>
                    <w:t>1</w:t>
                  </w:r>
                  <w:r>
                    <w:rPr>
                      <w:rFonts w:hint="default" w:ascii="Times New Roman" w:hAnsi="Times New Roman" w:cs="Times New Roman" w:eastAsiaTheme="minorEastAsia"/>
                      <w:color w:val="FF0000"/>
                      <w:sz w:val="18"/>
                      <w:szCs w:val="18"/>
                      <w:highlight w:val="none"/>
                      <w:lang w:val="en-US" w:eastAsia="zh-CN"/>
                    </w:rPr>
                    <w:t>）有组织排放</w:t>
                  </w:r>
                </w:p>
              </w:tc>
            </w:tr>
            <w:tr w14:paraId="3EE14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6" w:hRule="atLeast"/>
                <w:jc w:val="center"/>
              </w:trPr>
              <w:tc>
                <w:tcPr>
                  <w:tcW w:w="519" w:type="dxa"/>
                  <w:vMerge w:val="continue"/>
                  <w:vAlign w:val="center"/>
                </w:tcPr>
                <w:p w14:paraId="398BC608">
                  <w:pPr>
                    <w:jc w:val="center"/>
                    <w:rPr>
                      <w:rFonts w:hint="default" w:ascii="Times New Roman" w:hAnsi="Times New Roman" w:cs="Times New Roman" w:eastAsiaTheme="minorEastAsia"/>
                      <w:color w:val="FF0000"/>
                      <w:sz w:val="18"/>
                      <w:szCs w:val="18"/>
                      <w:highlight w:val="none"/>
                    </w:rPr>
                  </w:pPr>
                </w:p>
              </w:tc>
              <w:tc>
                <w:tcPr>
                  <w:tcW w:w="528" w:type="dxa"/>
                  <w:vMerge w:val="continue"/>
                  <w:vAlign w:val="center"/>
                </w:tcPr>
                <w:p w14:paraId="0DA5F2AD">
                  <w:pPr>
                    <w:jc w:val="center"/>
                    <w:rPr>
                      <w:rFonts w:hint="default" w:ascii="Times New Roman" w:hAnsi="Times New Roman" w:cs="Times New Roman" w:eastAsiaTheme="minorEastAsia"/>
                      <w:color w:val="FF0000"/>
                      <w:sz w:val="18"/>
                      <w:szCs w:val="18"/>
                      <w:highlight w:val="none"/>
                      <w:lang w:val="en-US" w:eastAsia="zh-CN"/>
                    </w:rPr>
                  </w:pPr>
                </w:p>
              </w:tc>
              <w:tc>
                <w:tcPr>
                  <w:tcW w:w="2893" w:type="dxa"/>
                  <w:vAlign w:val="center"/>
                </w:tcPr>
                <w:p w14:paraId="567F2D04">
                  <w:pPr>
                    <w:jc w:val="center"/>
                    <w:rPr>
                      <w:rFonts w:hint="default" w:ascii="Times New Roman" w:hAnsi="Times New Roman" w:cs="Times New Roman" w:eastAsiaTheme="minorEastAsia"/>
                      <w:color w:val="FF0000"/>
                      <w:sz w:val="18"/>
                      <w:szCs w:val="18"/>
                      <w:highlight w:val="none"/>
                      <w:lang w:val="en-US"/>
                    </w:rPr>
                  </w:pPr>
                  <w:r>
                    <w:rPr>
                      <w:rFonts w:hint="eastAsia" w:cs="Times New Roman" w:eastAsiaTheme="minorEastAsia"/>
                      <w:color w:val="FF0000"/>
                      <w:sz w:val="18"/>
                      <w:szCs w:val="18"/>
                      <w:highlight w:val="none"/>
                      <w:lang w:val="en-US" w:eastAsia="zh-CN"/>
                    </w:rPr>
                    <w:t>SNCR脱硝过程未被利用逃逸（</w:t>
                  </w:r>
                  <w:r>
                    <w:rPr>
                      <w:rFonts w:hint="default" w:ascii="Times New Roman" w:hAnsi="Times New Roman" w:cs="Times New Roman" w:eastAsiaTheme="minorEastAsia"/>
                      <w:color w:val="FF0000"/>
                      <w:sz w:val="18"/>
                      <w:szCs w:val="18"/>
                      <w:highlight w:val="none"/>
                      <w:lang w:val="en-US" w:eastAsia="zh-CN"/>
                    </w:rPr>
                    <w:t>G</w:t>
                  </w:r>
                  <w:r>
                    <w:rPr>
                      <w:rFonts w:hint="eastAsia" w:cs="Times New Roman" w:eastAsiaTheme="minorEastAsia"/>
                      <w:color w:val="FF0000"/>
                      <w:sz w:val="18"/>
                      <w:szCs w:val="18"/>
                      <w:highlight w:val="none"/>
                      <w:lang w:val="en-US" w:eastAsia="zh-CN"/>
                    </w:rPr>
                    <w:t>7）</w:t>
                  </w:r>
                </w:p>
              </w:tc>
              <w:tc>
                <w:tcPr>
                  <w:tcW w:w="1213" w:type="dxa"/>
                  <w:vAlign w:val="center"/>
                </w:tcPr>
                <w:p w14:paraId="3A2FFC5D">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lang w:val="en-US" w:eastAsia="zh-CN"/>
                    </w:rPr>
                    <w:t>氨、臭气浓度</w:t>
                  </w:r>
                </w:p>
              </w:tc>
              <w:tc>
                <w:tcPr>
                  <w:tcW w:w="1627" w:type="dxa"/>
                  <w:vAlign w:val="center"/>
                </w:tcPr>
                <w:p w14:paraId="4BFBA686">
                  <w:pPr>
                    <w:jc w:val="center"/>
                    <w:rPr>
                      <w:rFonts w:hint="default" w:ascii="Times New Roman" w:hAnsi="Times New Roman" w:cs="Times New Roman" w:eastAsiaTheme="minorEastAsia"/>
                      <w:color w:val="FF0000"/>
                      <w:sz w:val="18"/>
                      <w:szCs w:val="18"/>
                      <w:highlight w:val="none"/>
                      <w:lang w:val="en-US" w:eastAsia="zh-CN"/>
                    </w:rPr>
                  </w:pPr>
                  <w:r>
                    <w:rPr>
                      <w:rFonts w:hint="eastAsia" w:ascii="Times New Roman" w:hAnsi="Times New Roman" w:cs="Times New Roman" w:eastAsiaTheme="minorEastAsia"/>
                      <w:color w:val="FF0000"/>
                      <w:sz w:val="18"/>
                      <w:szCs w:val="18"/>
                      <w:highlight w:val="none"/>
                      <w:lang w:val="en-US" w:eastAsia="zh-CN"/>
                    </w:rPr>
                    <w:t>/</w:t>
                  </w:r>
                </w:p>
              </w:tc>
              <w:tc>
                <w:tcPr>
                  <w:tcW w:w="1630" w:type="dxa"/>
                  <w:vMerge w:val="continue"/>
                  <w:vAlign w:val="center"/>
                </w:tcPr>
                <w:p w14:paraId="1D060E63">
                  <w:pPr>
                    <w:jc w:val="center"/>
                    <w:rPr>
                      <w:rFonts w:hint="default" w:ascii="Times New Roman" w:hAnsi="Times New Roman" w:cs="Times New Roman" w:eastAsiaTheme="minorEastAsia"/>
                      <w:color w:val="FF0000"/>
                      <w:sz w:val="18"/>
                      <w:szCs w:val="18"/>
                      <w:highlight w:val="none"/>
                      <w:lang w:val="en-US" w:eastAsia="zh-CN"/>
                    </w:rPr>
                  </w:pPr>
                </w:p>
              </w:tc>
            </w:tr>
            <w:tr w14:paraId="7AF85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9" w:type="dxa"/>
                  <w:vAlign w:val="center"/>
                </w:tcPr>
                <w:p w14:paraId="34A14FCE">
                  <w:pPr>
                    <w:jc w:val="center"/>
                    <w:rPr>
                      <w:rFonts w:hint="eastAsia" w:ascii="Times New Roman" w:hAnsi="Times New Roman" w:cs="Times New Roman" w:eastAsiaTheme="minorEastAsia"/>
                      <w:color w:val="FF0000"/>
                      <w:sz w:val="18"/>
                      <w:szCs w:val="18"/>
                      <w:highlight w:val="none"/>
                      <w:lang w:val="en-US" w:eastAsia="zh-CN"/>
                    </w:rPr>
                  </w:pPr>
                  <w:r>
                    <w:rPr>
                      <w:rFonts w:hint="eastAsia" w:cs="Times New Roman" w:eastAsiaTheme="minorEastAsia"/>
                      <w:color w:val="FF0000"/>
                      <w:sz w:val="18"/>
                      <w:szCs w:val="18"/>
                      <w:highlight w:val="none"/>
                      <w:lang w:val="en-US" w:eastAsia="zh-CN"/>
                    </w:rPr>
                    <w:t>废水</w:t>
                  </w:r>
                </w:p>
              </w:tc>
              <w:tc>
                <w:tcPr>
                  <w:tcW w:w="528" w:type="dxa"/>
                  <w:vAlign w:val="center"/>
                </w:tcPr>
                <w:p w14:paraId="2F90C901">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运营期</w:t>
                  </w:r>
                </w:p>
              </w:tc>
              <w:tc>
                <w:tcPr>
                  <w:tcW w:w="2893" w:type="dxa"/>
                  <w:vAlign w:val="center"/>
                </w:tcPr>
                <w:p w14:paraId="00F5C8A2">
                  <w:pPr>
                    <w:jc w:val="center"/>
                    <w:rPr>
                      <w:rFonts w:hint="default" w:ascii="Times New Roman" w:hAnsi="Times New Roman" w:cs="Times New Roman" w:eastAsiaTheme="minorEastAsia"/>
                      <w:color w:val="FF0000"/>
                      <w:sz w:val="18"/>
                      <w:szCs w:val="18"/>
                      <w:highlight w:val="none"/>
                      <w:lang w:val="en-US" w:eastAsia="zh-CN"/>
                    </w:rPr>
                  </w:pPr>
                  <w:r>
                    <w:rPr>
                      <w:rFonts w:hint="eastAsia" w:cs="Times New Roman" w:eastAsiaTheme="minorEastAsia"/>
                      <w:color w:val="FF0000"/>
                      <w:sz w:val="18"/>
                      <w:szCs w:val="18"/>
                      <w:highlight w:val="none"/>
                      <w:lang w:val="en-US" w:eastAsia="zh-CN"/>
                    </w:rPr>
                    <w:t>职工生活污水（W1）</w:t>
                  </w:r>
                </w:p>
              </w:tc>
              <w:tc>
                <w:tcPr>
                  <w:tcW w:w="1213" w:type="dxa"/>
                  <w:vAlign w:val="center"/>
                </w:tcPr>
                <w:p w14:paraId="50EE5AA5">
                  <w:pPr>
                    <w:jc w:val="center"/>
                    <w:rPr>
                      <w:rFonts w:hint="default" w:ascii="Times New Roman" w:hAnsi="Times New Roman" w:cs="Times New Roman" w:eastAsiaTheme="minorEastAsia"/>
                      <w:bCs/>
                      <w:color w:val="FF0000"/>
                      <w:sz w:val="18"/>
                      <w:szCs w:val="18"/>
                      <w:highlight w:val="none"/>
                      <w:lang w:val="en-US" w:eastAsia="zh-CN"/>
                    </w:rPr>
                  </w:pPr>
                  <w:r>
                    <w:rPr>
                      <w:rFonts w:hint="eastAsia" w:cs="Times New Roman" w:eastAsiaTheme="minorEastAsia"/>
                      <w:bCs/>
                      <w:color w:val="FF0000"/>
                      <w:sz w:val="18"/>
                      <w:szCs w:val="18"/>
                      <w:highlight w:val="none"/>
                      <w:lang w:val="en-US" w:eastAsia="zh-CN"/>
                    </w:rPr>
                    <w:t>COD、氨氮、BOD5、SS、总磷</w:t>
                  </w:r>
                </w:p>
              </w:tc>
              <w:tc>
                <w:tcPr>
                  <w:tcW w:w="3257" w:type="dxa"/>
                  <w:gridSpan w:val="2"/>
                  <w:vAlign w:val="center"/>
                </w:tcPr>
                <w:p w14:paraId="499E372E">
                  <w:pPr>
                    <w:jc w:val="center"/>
                    <w:rPr>
                      <w:rFonts w:hint="default" w:ascii="Times New Roman" w:hAnsi="Times New Roman" w:cs="Times New Roman" w:eastAsiaTheme="minorEastAsia"/>
                      <w:bCs/>
                      <w:color w:val="FF0000"/>
                      <w:sz w:val="18"/>
                      <w:szCs w:val="18"/>
                      <w:highlight w:val="none"/>
                    </w:rPr>
                  </w:pPr>
                  <w:r>
                    <w:rPr>
                      <w:rFonts w:hint="default" w:ascii="Times New Roman" w:hAnsi="Times New Roman" w:cs="Times New Roman" w:eastAsiaTheme="minorEastAsia"/>
                      <w:bCs/>
                      <w:color w:val="FF0000"/>
                      <w:sz w:val="18"/>
                      <w:szCs w:val="18"/>
                      <w:highlight w:val="none"/>
                    </w:rPr>
                    <w:t>经化粪池暂存后由环卫部门定期清运</w:t>
                  </w:r>
                </w:p>
              </w:tc>
            </w:tr>
            <w:tr w14:paraId="683D8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9" w:type="dxa"/>
                  <w:vAlign w:val="center"/>
                </w:tcPr>
                <w:p w14:paraId="743B3907">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噪声</w:t>
                  </w:r>
                </w:p>
              </w:tc>
              <w:tc>
                <w:tcPr>
                  <w:tcW w:w="528" w:type="dxa"/>
                  <w:vAlign w:val="center"/>
                </w:tcPr>
                <w:p w14:paraId="34A8B42D">
                  <w:pPr>
                    <w:jc w:val="center"/>
                    <w:rPr>
                      <w:rFonts w:hint="default" w:ascii="Times New Roman" w:hAnsi="Times New Roman" w:cs="Times New Roman" w:eastAsiaTheme="minorEastAsia"/>
                      <w:color w:val="FF0000"/>
                      <w:kern w:val="2"/>
                      <w:sz w:val="18"/>
                      <w:szCs w:val="18"/>
                      <w:highlight w:val="none"/>
                      <w:lang w:val="en-US" w:eastAsia="zh-CN" w:bidi="ar-SA"/>
                    </w:rPr>
                  </w:pPr>
                  <w:r>
                    <w:rPr>
                      <w:rFonts w:hint="default" w:ascii="Times New Roman" w:hAnsi="Times New Roman" w:cs="Times New Roman" w:eastAsiaTheme="minorEastAsia"/>
                      <w:color w:val="FF0000"/>
                      <w:sz w:val="18"/>
                      <w:szCs w:val="18"/>
                      <w:highlight w:val="none"/>
                    </w:rPr>
                    <w:t>运营期</w:t>
                  </w:r>
                </w:p>
              </w:tc>
              <w:tc>
                <w:tcPr>
                  <w:tcW w:w="2893" w:type="dxa"/>
                  <w:vAlign w:val="center"/>
                </w:tcPr>
                <w:p w14:paraId="339F367A">
                  <w:pPr>
                    <w:jc w:val="center"/>
                    <w:rPr>
                      <w:rFonts w:hint="default" w:ascii="Times New Roman" w:hAnsi="Times New Roman" w:cs="Times New Roman" w:eastAsiaTheme="minorEastAsia"/>
                      <w:color w:val="FF0000"/>
                      <w:kern w:val="2"/>
                      <w:sz w:val="18"/>
                      <w:szCs w:val="18"/>
                      <w:highlight w:val="none"/>
                      <w:lang w:val="en-US" w:eastAsia="zh-CN" w:bidi="ar-SA"/>
                    </w:rPr>
                  </w:pPr>
                  <w:r>
                    <w:rPr>
                      <w:rFonts w:hint="default" w:ascii="Times New Roman" w:hAnsi="Times New Roman" w:cs="Times New Roman" w:eastAsiaTheme="minorEastAsia"/>
                      <w:color w:val="FF0000"/>
                      <w:sz w:val="18"/>
                      <w:szCs w:val="18"/>
                      <w:highlight w:val="none"/>
                    </w:rPr>
                    <w:t>振动筛、螺旋上料机、行星混料机、空压机、布袋除尘器和风机运行噪声（N）</w:t>
                  </w:r>
                </w:p>
              </w:tc>
              <w:tc>
                <w:tcPr>
                  <w:tcW w:w="1213" w:type="dxa"/>
                  <w:vAlign w:val="center"/>
                </w:tcPr>
                <w:p w14:paraId="36536B53">
                  <w:pPr>
                    <w:jc w:val="center"/>
                    <w:rPr>
                      <w:rFonts w:hint="default" w:ascii="Times New Roman" w:hAnsi="Times New Roman" w:cs="Times New Roman" w:eastAsiaTheme="minorEastAsia"/>
                      <w:bCs/>
                      <w:color w:val="FF0000"/>
                      <w:kern w:val="2"/>
                      <w:sz w:val="18"/>
                      <w:szCs w:val="18"/>
                      <w:highlight w:val="none"/>
                      <w:lang w:val="en-US" w:eastAsia="zh-CN" w:bidi="ar-SA"/>
                    </w:rPr>
                  </w:pPr>
                  <w:r>
                    <w:rPr>
                      <w:rFonts w:hint="default" w:ascii="Times New Roman" w:hAnsi="Times New Roman" w:cs="Times New Roman" w:eastAsiaTheme="minorEastAsia"/>
                      <w:bCs/>
                      <w:color w:val="FF0000"/>
                      <w:sz w:val="18"/>
                      <w:szCs w:val="18"/>
                      <w:highlight w:val="none"/>
                    </w:rPr>
                    <w:t>噪声</w:t>
                  </w:r>
                </w:p>
              </w:tc>
              <w:tc>
                <w:tcPr>
                  <w:tcW w:w="3257" w:type="dxa"/>
                  <w:gridSpan w:val="2"/>
                  <w:vAlign w:val="center"/>
                </w:tcPr>
                <w:p w14:paraId="15373F58">
                  <w:pPr>
                    <w:jc w:val="center"/>
                    <w:rPr>
                      <w:rFonts w:hint="default" w:ascii="Times New Roman" w:hAnsi="Times New Roman" w:cs="Times New Roman" w:eastAsiaTheme="minorEastAsia"/>
                      <w:bCs/>
                      <w:color w:val="FF0000"/>
                      <w:kern w:val="2"/>
                      <w:sz w:val="18"/>
                      <w:szCs w:val="18"/>
                      <w:highlight w:val="none"/>
                      <w:lang w:val="en-US" w:eastAsia="zh-CN" w:bidi="ar-SA"/>
                    </w:rPr>
                  </w:pPr>
                  <w:r>
                    <w:rPr>
                      <w:rFonts w:hint="default" w:ascii="Times New Roman" w:hAnsi="Times New Roman" w:cs="Times New Roman" w:eastAsiaTheme="minorEastAsia"/>
                      <w:bCs/>
                      <w:color w:val="FF0000"/>
                      <w:sz w:val="18"/>
                      <w:szCs w:val="18"/>
                      <w:highlight w:val="none"/>
                    </w:rPr>
                    <w:t>隔声、减振、消声</w:t>
                  </w:r>
                </w:p>
              </w:tc>
            </w:tr>
            <w:tr w14:paraId="206BD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9" w:type="dxa"/>
                  <w:vMerge w:val="restart"/>
                  <w:vAlign w:val="center"/>
                </w:tcPr>
                <w:p w14:paraId="08B32C92">
                  <w:pPr>
                    <w:jc w:val="center"/>
                    <w:rPr>
                      <w:rFonts w:hint="eastAsia" w:ascii="Times New Roman" w:hAnsi="Times New Roman" w:cs="Times New Roman" w:eastAsiaTheme="minorEastAsia"/>
                      <w:color w:val="FF0000"/>
                      <w:sz w:val="18"/>
                      <w:szCs w:val="18"/>
                      <w:highlight w:val="none"/>
                      <w:lang w:val="en-US" w:eastAsia="zh-CN"/>
                    </w:rPr>
                  </w:pPr>
                  <w:r>
                    <w:rPr>
                      <w:rFonts w:hint="eastAsia" w:cs="Times New Roman" w:eastAsiaTheme="minorEastAsia"/>
                      <w:color w:val="FF0000"/>
                      <w:sz w:val="18"/>
                      <w:szCs w:val="18"/>
                      <w:highlight w:val="none"/>
                      <w:lang w:val="en-US" w:eastAsia="zh-CN"/>
                    </w:rPr>
                    <w:t>固体废物</w:t>
                  </w:r>
                </w:p>
              </w:tc>
              <w:tc>
                <w:tcPr>
                  <w:tcW w:w="528" w:type="dxa"/>
                  <w:vMerge w:val="restart"/>
                  <w:vAlign w:val="center"/>
                </w:tcPr>
                <w:p w14:paraId="32557EF1">
                  <w:pPr>
                    <w:jc w:val="center"/>
                    <w:rPr>
                      <w:rFonts w:hint="default" w:ascii="Times New Roman" w:hAnsi="Times New Roman" w:cs="Times New Roman" w:eastAsiaTheme="minorEastAsia"/>
                      <w:color w:val="FF0000"/>
                      <w:sz w:val="18"/>
                      <w:szCs w:val="18"/>
                      <w:highlight w:val="none"/>
                    </w:rPr>
                  </w:pPr>
                  <w:r>
                    <w:rPr>
                      <w:rFonts w:hint="default" w:ascii="Times New Roman" w:hAnsi="Times New Roman" w:cs="Times New Roman" w:eastAsiaTheme="minorEastAsia"/>
                      <w:color w:val="FF0000"/>
                      <w:sz w:val="18"/>
                      <w:szCs w:val="18"/>
                      <w:highlight w:val="none"/>
                    </w:rPr>
                    <w:t>运营期</w:t>
                  </w:r>
                </w:p>
              </w:tc>
              <w:tc>
                <w:tcPr>
                  <w:tcW w:w="2893" w:type="dxa"/>
                  <w:vAlign w:val="center"/>
                </w:tcPr>
                <w:p w14:paraId="5AB2AA82">
                  <w:pPr>
                    <w:jc w:val="center"/>
                    <w:rPr>
                      <w:rFonts w:hint="default" w:ascii="Times New Roman" w:hAnsi="Times New Roman" w:cs="Times New Roman" w:eastAsiaTheme="minorEastAsia"/>
                      <w:color w:val="FF0000"/>
                      <w:sz w:val="18"/>
                      <w:szCs w:val="18"/>
                      <w:highlight w:val="none"/>
                      <w:lang w:val="en-US" w:eastAsia="zh-CN"/>
                    </w:rPr>
                  </w:pPr>
                  <w:r>
                    <w:rPr>
                      <w:rFonts w:hint="eastAsia" w:cs="Times New Roman" w:eastAsiaTheme="minorEastAsia"/>
                      <w:color w:val="FF0000"/>
                      <w:sz w:val="18"/>
                      <w:szCs w:val="18"/>
                      <w:highlight w:val="none"/>
                      <w:lang w:val="en-US" w:eastAsia="zh-CN"/>
                    </w:rPr>
                    <w:t>废包装袋（S1、S4）</w:t>
                  </w:r>
                </w:p>
              </w:tc>
              <w:tc>
                <w:tcPr>
                  <w:tcW w:w="1213" w:type="dxa"/>
                  <w:vAlign w:val="center"/>
                </w:tcPr>
                <w:p w14:paraId="19EE913E">
                  <w:pPr>
                    <w:jc w:val="center"/>
                    <w:rPr>
                      <w:rFonts w:hint="eastAsia" w:ascii="Times New Roman" w:hAnsi="Times New Roman" w:cs="Times New Roman" w:eastAsiaTheme="minorEastAsia"/>
                      <w:bCs/>
                      <w:color w:val="FF0000"/>
                      <w:sz w:val="18"/>
                      <w:szCs w:val="18"/>
                      <w:highlight w:val="none"/>
                      <w:lang w:val="en-US" w:eastAsia="zh-CN"/>
                    </w:rPr>
                  </w:pPr>
                  <w:r>
                    <w:rPr>
                      <w:rFonts w:hint="eastAsia" w:cs="Times New Roman" w:eastAsiaTheme="minorEastAsia"/>
                      <w:color w:val="FF0000"/>
                      <w:sz w:val="18"/>
                      <w:szCs w:val="18"/>
                      <w:highlight w:val="none"/>
                      <w:lang w:val="en-US" w:eastAsia="zh-CN"/>
                    </w:rPr>
                    <w:t>包装袋</w:t>
                  </w:r>
                </w:p>
              </w:tc>
              <w:tc>
                <w:tcPr>
                  <w:tcW w:w="3257" w:type="dxa"/>
                  <w:gridSpan w:val="2"/>
                  <w:shd w:val="clear" w:color="auto" w:fill="auto"/>
                  <w:vAlign w:val="center"/>
                </w:tcPr>
                <w:p w14:paraId="45B73B75">
                  <w:pPr>
                    <w:adjustRightInd w:val="0"/>
                    <w:snapToGrid w:val="0"/>
                    <w:jc w:val="center"/>
                    <w:rPr>
                      <w:rFonts w:hint="default" w:ascii="Times New Roman" w:hAnsi="Times New Roman" w:eastAsia="宋体" w:cs="Times New Roman"/>
                      <w:color w:val="FF0000"/>
                      <w:kern w:val="2"/>
                      <w:sz w:val="18"/>
                      <w:szCs w:val="18"/>
                      <w:highlight w:val="none"/>
                      <w:lang w:val="en-US" w:eastAsia="zh-CN" w:bidi="ar-SA"/>
                    </w:rPr>
                  </w:pPr>
                  <w:r>
                    <w:rPr>
                      <w:color w:val="FF0000"/>
                      <w:sz w:val="18"/>
                      <w:szCs w:val="18"/>
                      <w:highlight w:val="none"/>
                    </w:rPr>
                    <w:t>暂存在一般固废暂存处，定期外卖</w:t>
                  </w:r>
                </w:p>
              </w:tc>
            </w:tr>
            <w:tr w14:paraId="7EA0C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9" w:type="dxa"/>
                  <w:vMerge w:val="continue"/>
                  <w:vAlign w:val="center"/>
                </w:tcPr>
                <w:p w14:paraId="7B5B0DD5">
                  <w:pPr>
                    <w:jc w:val="center"/>
                    <w:rPr>
                      <w:rFonts w:hint="eastAsia" w:cs="Times New Roman" w:eastAsiaTheme="minorEastAsia"/>
                      <w:color w:val="FF0000"/>
                      <w:sz w:val="18"/>
                      <w:szCs w:val="18"/>
                      <w:highlight w:val="none"/>
                      <w:lang w:val="en-US" w:eastAsia="zh-CN"/>
                    </w:rPr>
                  </w:pPr>
                </w:p>
              </w:tc>
              <w:tc>
                <w:tcPr>
                  <w:tcW w:w="528" w:type="dxa"/>
                  <w:vMerge w:val="continue"/>
                  <w:vAlign w:val="center"/>
                </w:tcPr>
                <w:p w14:paraId="2EB2ACA4">
                  <w:pPr>
                    <w:jc w:val="center"/>
                    <w:rPr>
                      <w:rFonts w:hint="default" w:ascii="Times New Roman" w:hAnsi="Times New Roman" w:cs="Times New Roman" w:eastAsiaTheme="minorEastAsia"/>
                      <w:color w:val="FF0000"/>
                      <w:sz w:val="18"/>
                      <w:szCs w:val="18"/>
                      <w:highlight w:val="none"/>
                    </w:rPr>
                  </w:pPr>
                </w:p>
              </w:tc>
              <w:tc>
                <w:tcPr>
                  <w:tcW w:w="2893" w:type="dxa"/>
                  <w:shd w:val="clear" w:color="auto" w:fill="auto"/>
                  <w:vAlign w:val="center"/>
                </w:tcPr>
                <w:p w14:paraId="612D1612">
                  <w:pPr>
                    <w:jc w:val="center"/>
                    <w:rPr>
                      <w:rFonts w:hint="eastAsia" w:ascii="Times New Roman" w:hAnsi="Times New Roman" w:cs="Times New Roman" w:eastAsiaTheme="minorEastAsia"/>
                      <w:color w:val="FF0000"/>
                      <w:kern w:val="2"/>
                      <w:sz w:val="18"/>
                      <w:szCs w:val="18"/>
                      <w:highlight w:val="none"/>
                      <w:lang w:val="en-US" w:eastAsia="zh-CN" w:bidi="ar-SA"/>
                    </w:rPr>
                  </w:pPr>
                  <w:r>
                    <w:rPr>
                      <w:rFonts w:hint="eastAsia" w:cs="Times New Roman" w:eastAsiaTheme="minorEastAsia"/>
                      <w:color w:val="FF0000"/>
                      <w:sz w:val="18"/>
                      <w:szCs w:val="18"/>
                      <w:highlight w:val="none"/>
                      <w:lang w:val="en-US" w:eastAsia="zh-CN"/>
                    </w:rPr>
                    <w:t>筛选出来的废料（S2）</w:t>
                  </w:r>
                </w:p>
              </w:tc>
              <w:tc>
                <w:tcPr>
                  <w:tcW w:w="1213" w:type="dxa"/>
                  <w:shd w:val="clear" w:color="auto" w:fill="auto"/>
                  <w:vAlign w:val="center"/>
                </w:tcPr>
                <w:p w14:paraId="7D06B390">
                  <w:pPr>
                    <w:jc w:val="center"/>
                    <w:rPr>
                      <w:rFonts w:hint="eastAsia" w:ascii="Times New Roman" w:hAnsi="Times New Roman" w:cs="Times New Roman" w:eastAsiaTheme="minorEastAsia"/>
                      <w:bCs/>
                      <w:color w:val="FF0000"/>
                      <w:kern w:val="2"/>
                      <w:sz w:val="18"/>
                      <w:szCs w:val="18"/>
                      <w:highlight w:val="none"/>
                      <w:lang w:val="en-US" w:eastAsia="zh-CN" w:bidi="ar-SA"/>
                    </w:rPr>
                  </w:pPr>
                  <w:r>
                    <w:rPr>
                      <w:rFonts w:hint="eastAsia" w:cs="Times New Roman" w:eastAsiaTheme="minorEastAsia"/>
                      <w:color w:val="FF0000"/>
                      <w:sz w:val="18"/>
                      <w:szCs w:val="18"/>
                      <w:highlight w:val="none"/>
                      <w:lang w:val="en-US" w:eastAsia="zh-CN"/>
                    </w:rPr>
                    <w:t>废料</w:t>
                  </w:r>
                </w:p>
              </w:tc>
              <w:tc>
                <w:tcPr>
                  <w:tcW w:w="3257" w:type="dxa"/>
                  <w:gridSpan w:val="2"/>
                  <w:shd w:val="clear" w:color="auto" w:fill="auto"/>
                  <w:vAlign w:val="center"/>
                </w:tcPr>
                <w:p w14:paraId="6585D305">
                  <w:pPr>
                    <w:adjustRightInd w:val="0"/>
                    <w:snapToGrid w:val="0"/>
                    <w:jc w:val="center"/>
                    <w:rPr>
                      <w:rFonts w:hint="eastAsia" w:ascii="Times New Roman" w:hAnsi="Times New Roman" w:eastAsia="宋体" w:cs="Times New Roman"/>
                      <w:color w:val="FF0000"/>
                      <w:kern w:val="2"/>
                      <w:sz w:val="18"/>
                      <w:szCs w:val="18"/>
                      <w:highlight w:val="none"/>
                      <w:lang w:val="en-US" w:eastAsia="zh-CN" w:bidi="ar-SA"/>
                    </w:rPr>
                  </w:pPr>
                  <w:r>
                    <w:rPr>
                      <w:color w:val="FF0000"/>
                      <w:sz w:val="18"/>
                      <w:szCs w:val="18"/>
                      <w:highlight w:val="none"/>
                    </w:rPr>
                    <w:t>暂存在一般固废暂存处，定期外卖</w:t>
                  </w:r>
                </w:p>
              </w:tc>
            </w:tr>
            <w:tr w14:paraId="39F20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9" w:type="dxa"/>
                  <w:vMerge w:val="continue"/>
                  <w:vAlign w:val="center"/>
                </w:tcPr>
                <w:p w14:paraId="4F937410">
                  <w:pPr>
                    <w:jc w:val="center"/>
                    <w:rPr>
                      <w:rFonts w:hint="eastAsia" w:cs="Times New Roman" w:eastAsiaTheme="minorEastAsia"/>
                      <w:color w:val="FF0000"/>
                      <w:sz w:val="18"/>
                      <w:szCs w:val="18"/>
                      <w:highlight w:val="none"/>
                      <w:lang w:val="en-US" w:eastAsia="zh-CN"/>
                    </w:rPr>
                  </w:pPr>
                </w:p>
              </w:tc>
              <w:tc>
                <w:tcPr>
                  <w:tcW w:w="528" w:type="dxa"/>
                  <w:vMerge w:val="continue"/>
                  <w:vAlign w:val="center"/>
                </w:tcPr>
                <w:p w14:paraId="18BBE8E8">
                  <w:pPr>
                    <w:jc w:val="center"/>
                    <w:rPr>
                      <w:rFonts w:hint="default" w:ascii="Times New Roman" w:hAnsi="Times New Roman" w:cs="Times New Roman" w:eastAsiaTheme="minorEastAsia"/>
                      <w:color w:val="FF0000"/>
                      <w:sz w:val="18"/>
                      <w:szCs w:val="18"/>
                      <w:highlight w:val="none"/>
                    </w:rPr>
                  </w:pPr>
                </w:p>
              </w:tc>
              <w:tc>
                <w:tcPr>
                  <w:tcW w:w="2893" w:type="dxa"/>
                  <w:vAlign w:val="center"/>
                </w:tcPr>
                <w:p w14:paraId="6CFBAF87">
                  <w:pPr>
                    <w:jc w:val="center"/>
                    <w:rPr>
                      <w:rFonts w:hint="eastAsia" w:cs="Times New Roman" w:eastAsiaTheme="minorEastAsia"/>
                      <w:color w:val="FF0000"/>
                      <w:sz w:val="18"/>
                      <w:szCs w:val="18"/>
                      <w:highlight w:val="none"/>
                      <w:lang w:val="en-US" w:eastAsia="zh-CN"/>
                    </w:rPr>
                  </w:pPr>
                  <w:r>
                    <w:rPr>
                      <w:rFonts w:hint="eastAsia" w:cs="Times New Roman" w:eastAsiaTheme="minorEastAsia"/>
                      <w:color w:val="FF0000"/>
                      <w:sz w:val="18"/>
                      <w:szCs w:val="18"/>
                      <w:highlight w:val="none"/>
                      <w:lang w:val="en-US" w:eastAsia="zh-CN"/>
                    </w:rPr>
                    <w:t>废布袋（S3）</w:t>
                  </w:r>
                </w:p>
              </w:tc>
              <w:tc>
                <w:tcPr>
                  <w:tcW w:w="1213" w:type="dxa"/>
                  <w:vAlign w:val="center"/>
                </w:tcPr>
                <w:p w14:paraId="7DA90839">
                  <w:pPr>
                    <w:jc w:val="center"/>
                    <w:rPr>
                      <w:rFonts w:hint="eastAsia" w:cs="Times New Roman" w:eastAsiaTheme="minorEastAsia"/>
                      <w:color w:val="FF0000"/>
                      <w:sz w:val="18"/>
                      <w:szCs w:val="18"/>
                      <w:highlight w:val="none"/>
                      <w:lang w:val="en-US" w:eastAsia="zh-CN"/>
                    </w:rPr>
                  </w:pPr>
                  <w:r>
                    <w:rPr>
                      <w:rFonts w:hint="eastAsia" w:cs="Times New Roman" w:eastAsiaTheme="minorEastAsia"/>
                      <w:color w:val="FF0000"/>
                      <w:sz w:val="18"/>
                      <w:szCs w:val="18"/>
                      <w:highlight w:val="none"/>
                      <w:lang w:val="en-US" w:eastAsia="zh-CN"/>
                    </w:rPr>
                    <w:t>布袋</w:t>
                  </w:r>
                </w:p>
              </w:tc>
              <w:tc>
                <w:tcPr>
                  <w:tcW w:w="3257" w:type="dxa"/>
                  <w:gridSpan w:val="2"/>
                  <w:shd w:val="clear" w:color="auto" w:fill="auto"/>
                  <w:vAlign w:val="center"/>
                </w:tcPr>
                <w:p w14:paraId="4860C87C">
                  <w:pPr>
                    <w:adjustRightInd w:val="0"/>
                    <w:snapToGrid w:val="0"/>
                    <w:jc w:val="center"/>
                    <w:rPr>
                      <w:rFonts w:hint="eastAsia" w:ascii="Times New Roman" w:hAnsi="Times New Roman" w:eastAsia="宋体" w:cs="Times New Roman"/>
                      <w:color w:val="FF0000"/>
                      <w:kern w:val="2"/>
                      <w:sz w:val="18"/>
                      <w:szCs w:val="18"/>
                      <w:highlight w:val="none"/>
                      <w:lang w:val="en-US" w:eastAsia="zh-CN" w:bidi="ar-SA"/>
                    </w:rPr>
                  </w:pPr>
                  <w:r>
                    <w:rPr>
                      <w:color w:val="FF0000"/>
                      <w:sz w:val="18"/>
                      <w:szCs w:val="18"/>
                      <w:highlight w:val="none"/>
                    </w:rPr>
                    <w:t>暂存在一般固废暂存处，定期外卖</w:t>
                  </w:r>
                </w:p>
              </w:tc>
            </w:tr>
            <w:tr w14:paraId="2B9E2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9" w:type="dxa"/>
                  <w:vMerge w:val="continue"/>
                  <w:vAlign w:val="center"/>
                </w:tcPr>
                <w:p w14:paraId="45A970A3">
                  <w:pPr>
                    <w:jc w:val="center"/>
                    <w:rPr>
                      <w:rFonts w:hint="eastAsia" w:cs="Times New Roman" w:eastAsiaTheme="minorEastAsia"/>
                      <w:color w:val="FF0000"/>
                      <w:sz w:val="18"/>
                      <w:szCs w:val="18"/>
                      <w:highlight w:val="none"/>
                      <w:lang w:val="en-US" w:eastAsia="zh-CN"/>
                    </w:rPr>
                  </w:pPr>
                </w:p>
              </w:tc>
              <w:tc>
                <w:tcPr>
                  <w:tcW w:w="528" w:type="dxa"/>
                  <w:vMerge w:val="continue"/>
                  <w:vAlign w:val="center"/>
                </w:tcPr>
                <w:p w14:paraId="2FFC14D9">
                  <w:pPr>
                    <w:jc w:val="center"/>
                    <w:rPr>
                      <w:rFonts w:hint="default" w:ascii="Times New Roman" w:hAnsi="Times New Roman" w:cs="Times New Roman" w:eastAsiaTheme="minorEastAsia"/>
                      <w:color w:val="FF0000"/>
                      <w:sz w:val="18"/>
                      <w:szCs w:val="18"/>
                      <w:highlight w:val="none"/>
                    </w:rPr>
                  </w:pPr>
                </w:p>
              </w:tc>
              <w:tc>
                <w:tcPr>
                  <w:tcW w:w="2893" w:type="dxa"/>
                  <w:shd w:val="clear" w:color="auto" w:fill="auto"/>
                  <w:vAlign w:val="center"/>
                </w:tcPr>
                <w:p w14:paraId="0A3C18D9">
                  <w:pPr>
                    <w:jc w:val="center"/>
                    <w:rPr>
                      <w:rFonts w:hint="eastAsia" w:ascii="Times New Roman" w:hAnsi="Times New Roman" w:cs="Times New Roman" w:eastAsiaTheme="minorEastAsia"/>
                      <w:color w:val="FF0000"/>
                      <w:kern w:val="2"/>
                      <w:sz w:val="18"/>
                      <w:szCs w:val="18"/>
                      <w:highlight w:val="none"/>
                      <w:lang w:val="en-US" w:eastAsia="zh-CN" w:bidi="ar-SA"/>
                    </w:rPr>
                  </w:pPr>
                  <w:r>
                    <w:rPr>
                      <w:rFonts w:hint="eastAsia" w:ascii="Times New Roman" w:hAnsi="Times New Roman" w:cs="Times New Roman" w:eastAsiaTheme="minorEastAsia"/>
                      <w:color w:val="FF0000"/>
                      <w:kern w:val="2"/>
                      <w:sz w:val="18"/>
                      <w:szCs w:val="18"/>
                      <w:highlight w:val="none"/>
                      <w:lang w:val="en-US" w:eastAsia="zh-CN" w:bidi="ar-SA"/>
                    </w:rPr>
                    <w:t>1#布袋除尘器收集的烟粉尘（S5</w:t>
                  </w:r>
                </w:p>
              </w:tc>
              <w:tc>
                <w:tcPr>
                  <w:tcW w:w="1213" w:type="dxa"/>
                  <w:shd w:val="clear" w:color="auto" w:fill="auto"/>
                  <w:vAlign w:val="center"/>
                </w:tcPr>
                <w:p w14:paraId="32E52716">
                  <w:pPr>
                    <w:jc w:val="center"/>
                    <w:rPr>
                      <w:rFonts w:hint="default" w:ascii="Times New Roman" w:hAnsi="Times New Roman" w:cs="Times New Roman" w:eastAsiaTheme="minorEastAsia"/>
                      <w:bCs/>
                      <w:color w:val="FF0000"/>
                      <w:kern w:val="2"/>
                      <w:sz w:val="18"/>
                      <w:szCs w:val="18"/>
                      <w:highlight w:val="none"/>
                      <w:lang w:val="en-US" w:eastAsia="zh-CN" w:bidi="ar-SA"/>
                    </w:rPr>
                  </w:pPr>
                  <w:r>
                    <w:rPr>
                      <w:rFonts w:hint="eastAsia" w:cs="Times New Roman" w:eastAsiaTheme="minorEastAsia"/>
                      <w:bCs/>
                      <w:color w:val="FF0000"/>
                      <w:kern w:val="2"/>
                      <w:sz w:val="18"/>
                      <w:szCs w:val="18"/>
                      <w:highlight w:val="none"/>
                      <w:lang w:val="en-US" w:eastAsia="zh-CN" w:bidi="ar-SA"/>
                    </w:rPr>
                    <w:t>烟尘、原料</w:t>
                  </w:r>
                </w:p>
              </w:tc>
              <w:tc>
                <w:tcPr>
                  <w:tcW w:w="3257" w:type="dxa"/>
                  <w:gridSpan w:val="2"/>
                  <w:shd w:val="clear" w:color="auto" w:fill="auto"/>
                  <w:vAlign w:val="center"/>
                </w:tcPr>
                <w:p w14:paraId="6188C039">
                  <w:pPr>
                    <w:jc w:val="center"/>
                    <w:rPr>
                      <w:rFonts w:hint="eastAsia" w:ascii="Times New Roman" w:hAnsi="Times New Roman" w:cs="Times New Roman" w:eastAsiaTheme="minorEastAsia"/>
                      <w:bCs/>
                      <w:color w:val="FF0000"/>
                      <w:kern w:val="2"/>
                      <w:sz w:val="18"/>
                      <w:szCs w:val="18"/>
                      <w:highlight w:val="none"/>
                      <w:lang w:val="en-US" w:eastAsia="zh-CN" w:bidi="ar-SA"/>
                    </w:rPr>
                  </w:pPr>
                  <w:r>
                    <w:rPr>
                      <w:color w:val="FF0000"/>
                      <w:sz w:val="18"/>
                      <w:szCs w:val="18"/>
                      <w:highlight w:val="none"/>
                    </w:rPr>
                    <w:t>暂存在一般固废暂存处，定期外卖</w:t>
                  </w:r>
                </w:p>
              </w:tc>
            </w:tr>
            <w:tr w14:paraId="5A8D7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9" w:type="dxa"/>
                  <w:vMerge w:val="continue"/>
                  <w:vAlign w:val="center"/>
                </w:tcPr>
                <w:p w14:paraId="03390CD0">
                  <w:pPr>
                    <w:jc w:val="center"/>
                    <w:rPr>
                      <w:rFonts w:hint="eastAsia" w:cs="Times New Roman" w:eastAsiaTheme="minorEastAsia"/>
                      <w:color w:val="FF0000"/>
                      <w:sz w:val="18"/>
                      <w:szCs w:val="18"/>
                      <w:highlight w:val="none"/>
                      <w:lang w:val="en-US" w:eastAsia="zh-CN"/>
                    </w:rPr>
                  </w:pPr>
                </w:p>
              </w:tc>
              <w:tc>
                <w:tcPr>
                  <w:tcW w:w="528" w:type="dxa"/>
                  <w:vMerge w:val="continue"/>
                  <w:vAlign w:val="center"/>
                </w:tcPr>
                <w:p w14:paraId="6CFDEFAC">
                  <w:pPr>
                    <w:jc w:val="center"/>
                    <w:rPr>
                      <w:rFonts w:hint="default" w:ascii="Times New Roman" w:hAnsi="Times New Roman" w:cs="Times New Roman" w:eastAsiaTheme="minorEastAsia"/>
                      <w:color w:val="FF0000"/>
                      <w:sz w:val="18"/>
                      <w:szCs w:val="18"/>
                      <w:highlight w:val="none"/>
                    </w:rPr>
                  </w:pPr>
                </w:p>
              </w:tc>
              <w:tc>
                <w:tcPr>
                  <w:tcW w:w="2893" w:type="dxa"/>
                  <w:shd w:val="clear" w:color="auto" w:fill="auto"/>
                  <w:vAlign w:val="center"/>
                </w:tcPr>
                <w:p w14:paraId="53C0221A">
                  <w:pPr>
                    <w:jc w:val="center"/>
                    <w:rPr>
                      <w:rFonts w:hint="eastAsia" w:ascii="Times New Roman" w:hAnsi="Times New Roman" w:cs="Times New Roman" w:eastAsiaTheme="minorEastAsia"/>
                      <w:color w:val="FF0000"/>
                      <w:kern w:val="2"/>
                      <w:sz w:val="18"/>
                      <w:szCs w:val="18"/>
                      <w:highlight w:val="none"/>
                      <w:lang w:val="en-US" w:eastAsia="zh-CN" w:bidi="ar-SA"/>
                    </w:rPr>
                  </w:pPr>
                  <w:r>
                    <w:rPr>
                      <w:rFonts w:hint="eastAsia" w:ascii="Times New Roman" w:hAnsi="Times New Roman" w:cs="Times New Roman" w:eastAsiaTheme="minorEastAsia"/>
                      <w:color w:val="FF0000"/>
                      <w:kern w:val="2"/>
                      <w:sz w:val="18"/>
                      <w:szCs w:val="18"/>
                      <w:highlight w:val="none"/>
                      <w:lang w:val="en-US" w:eastAsia="zh-CN" w:bidi="ar-SA"/>
                    </w:rPr>
                    <w:t>废润滑油及废油桶（S</w:t>
                  </w:r>
                  <w:r>
                    <w:rPr>
                      <w:rFonts w:hint="eastAsia" w:cs="Times New Roman" w:eastAsiaTheme="minorEastAsia"/>
                      <w:color w:val="FF0000"/>
                      <w:kern w:val="2"/>
                      <w:sz w:val="18"/>
                      <w:szCs w:val="18"/>
                      <w:highlight w:val="none"/>
                      <w:lang w:val="en-US" w:eastAsia="zh-CN" w:bidi="ar-SA"/>
                    </w:rPr>
                    <w:t>6</w:t>
                  </w:r>
                  <w:r>
                    <w:rPr>
                      <w:rFonts w:hint="eastAsia" w:ascii="Times New Roman" w:hAnsi="Times New Roman" w:cs="Times New Roman" w:eastAsiaTheme="minorEastAsia"/>
                      <w:color w:val="FF0000"/>
                      <w:kern w:val="2"/>
                      <w:sz w:val="18"/>
                      <w:szCs w:val="18"/>
                      <w:highlight w:val="none"/>
                      <w:lang w:val="en-US" w:eastAsia="zh-CN" w:bidi="ar-SA"/>
                    </w:rPr>
                    <w:t>）</w:t>
                  </w:r>
                </w:p>
              </w:tc>
              <w:tc>
                <w:tcPr>
                  <w:tcW w:w="1213" w:type="dxa"/>
                  <w:shd w:val="clear" w:color="auto" w:fill="auto"/>
                  <w:vAlign w:val="center"/>
                </w:tcPr>
                <w:p w14:paraId="6DB593CF">
                  <w:pPr>
                    <w:jc w:val="center"/>
                    <w:rPr>
                      <w:rFonts w:hint="default" w:ascii="Times New Roman" w:hAnsi="Times New Roman" w:cs="Times New Roman" w:eastAsiaTheme="minorEastAsia"/>
                      <w:bCs/>
                      <w:color w:val="FF0000"/>
                      <w:kern w:val="2"/>
                      <w:sz w:val="18"/>
                      <w:szCs w:val="18"/>
                      <w:highlight w:val="none"/>
                      <w:lang w:val="en-US" w:eastAsia="zh-CN" w:bidi="ar-SA"/>
                    </w:rPr>
                  </w:pPr>
                  <w:r>
                    <w:rPr>
                      <w:rFonts w:hint="eastAsia" w:ascii="Times New Roman" w:hAnsi="Times New Roman" w:cs="Times New Roman" w:eastAsiaTheme="minorEastAsia"/>
                      <w:bCs/>
                      <w:color w:val="FF0000"/>
                      <w:kern w:val="2"/>
                      <w:sz w:val="18"/>
                      <w:szCs w:val="18"/>
                      <w:highlight w:val="none"/>
                      <w:lang w:val="en-US" w:eastAsia="zh-CN" w:bidi="ar-SA"/>
                    </w:rPr>
                    <w:t>矿物油</w:t>
                  </w:r>
                </w:p>
              </w:tc>
              <w:tc>
                <w:tcPr>
                  <w:tcW w:w="3257" w:type="dxa"/>
                  <w:gridSpan w:val="2"/>
                  <w:shd w:val="clear" w:color="auto" w:fill="auto"/>
                  <w:vAlign w:val="center"/>
                </w:tcPr>
                <w:p w14:paraId="51D0D610">
                  <w:pPr>
                    <w:jc w:val="center"/>
                    <w:rPr>
                      <w:rFonts w:hint="default" w:ascii="Times New Roman" w:hAnsi="Times New Roman" w:cs="Times New Roman" w:eastAsiaTheme="minorEastAsia"/>
                      <w:bCs/>
                      <w:color w:val="FF0000"/>
                      <w:kern w:val="2"/>
                      <w:sz w:val="18"/>
                      <w:szCs w:val="18"/>
                      <w:highlight w:val="none"/>
                      <w:lang w:val="en-US" w:eastAsia="zh-CN" w:bidi="ar-SA"/>
                    </w:rPr>
                  </w:pPr>
                  <w:r>
                    <w:rPr>
                      <w:rFonts w:hint="eastAsia" w:ascii="Times New Roman" w:hAnsi="Times New Roman" w:cs="Times New Roman" w:eastAsiaTheme="minorEastAsia"/>
                      <w:bCs/>
                      <w:color w:val="FF0000"/>
                      <w:kern w:val="2"/>
                      <w:sz w:val="18"/>
                      <w:szCs w:val="18"/>
                      <w:highlight w:val="none"/>
                      <w:lang w:val="en-US" w:eastAsia="zh-CN" w:bidi="ar-SA"/>
                    </w:rPr>
                    <w:t>委托资质单位进行处理</w:t>
                  </w:r>
                </w:p>
              </w:tc>
            </w:tr>
            <w:tr w14:paraId="4862D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9" w:type="dxa"/>
                  <w:vMerge w:val="continue"/>
                  <w:vAlign w:val="center"/>
                </w:tcPr>
                <w:p w14:paraId="5579B7D9">
                  <w:pPr>
                    <w:jc w:val="center"/>
                    <w:rPr>
                      <w:rFonts w:hint="eastAsia" w:cs="Times New Roman" w:eastAsiaTheme="minorEastAsia"/>
                      <w:color w:val="FF0000"/>
                      <w:sz w:val="18"/>
                      <w:szCs w:val="18"/>
                      <w:highlight w:val="none"/>
                      <w:lang w:val="en-US" w:eastAsia="zh-CN"/>
                    </w:rPr>
                  </w:pPr>
                </w:p>
              </w:tc>
              <w:tc>
                <w:tcPr>
                  <w:tcW w:w="528" w:type="dxa"/>
                  <w:vMerge w:val="continue"/>
                  <w:vAlign w:val="center"/>
                </w:tcPr>
                <w:p w14:paraId="461B8128">
                  <w:pPr>
                    <w:jc w:val="center"/>
                    <w:rPr>
                      <w:rFonts w:hint="default" w:ascii="Times New Roman" w:hAnsi="Times New Roman" w:cs="Times New Roman" w:eastAsiaTheme="minorEastAsia"/>
                      <w:color w:val="FF0000"/>
                      <w:sz w:val="18"/>
                      <w:szCs w:val="18"/>
                      <w:highlight w:val="none"/>
                    </w:rPr>
                  </w:pPr>
                </w:p>
              </w:tc>
              <w:tc>
                <w:tcPr>
                  <w:tcW w:w="2893" w:type="dxa"/>
                  <w:shd w:val="clear" w:color="auto" w:fill="auto"/>
                  <w:vAlign w:val="center"/>
                </w:tcPr>
                <w:p w14:paraId="2FCEC4E8">
                  <w:pPr>
                    <w:jc w:val="center"/>
                    <w:rPr>
                      <w:rFonts w:hint="default" w:ascii="Times New Roman" w:hAnsi="Times New Roman" w:cs="Times New Roman" w:eastAsiaTheme="minorEastAsia"/>
                      <w:color w:val="FF0000"/>
                      <w:kern w:val="2"/>
                      <w:sz w:val="18"/>
                      <w:szCs w:val="18"/>
                      <w:highlight w:val="none"/>
                      <w:lang w:val="en-US" w:eastAsia="zh-CN" w:bidi="ar-SA"/>
                    </w:rPr>
                  </w:pPr>
                  <w:r>
                    <w:rPr>
                      <w:rFonts w:hint="eastAsia" w:cs="Times New Roman" w:eastAsiaTheme="minorEastAsia"/>
                      <w:color w:val="FF0000"/>
                      <w:sz w:val="18"/>
                      <w:szCs w:val="18"/>
                      <w:highlight w:val="none"/>
                      <w:lang w:val="en-US" w:eastAsia="zh-CN"/>
                    </w:rPr>
                    <w:t>职工生活（S7）</w:t>
                  </w:r>
                </w:p>
              </w:tc>
              <w:tc>
                <w:tcPr>
                  <w:tcW w:w="1213" w:type="dxa"/>
                  <w:shd w:val="clear" w:color="auto" w:fill="auto"/>
                  <w:vAlign w:val="center"/>
                </w:tcPr>
                <w:p w14:paraId="78EB16A6">
                  <w:pPr>
                    <w:jc w:val="center"/>
                    <w:rPr>
                      <w:rFonts w:hint="eastAsia" w:ascii="Times New Roman" w:hAnsi="Times New Roman" w:cs="Times New Roman" w:eastAsiaTheme="minorEastAsia"/>
                      <w:bCs/>
                      <w:color w:val="FF0000"/>
                      <w:kern w:val="2"/>
                      <w:sz w:val="18"/>
                      <w:szCs w:val="18"/>
                      <w:highlight w:val="none"/>
                      <w:lang w:val="en-US" w:eastAsia="zh-CN" w:bidi="ar-SA"/>
                    </w:rPr>
                  </w:pPr>
                  <w:r>
                    <w:rPr>
                      <w:rFonts w:hint="eastAsia" w:cs="Times New Roman" w:eastAsiaTheme="minorEastAsia"/>
                      <w:bCs/>
                      <w:color w:val="FF0000"/>
                      <w:sz w:val="18"/>
                      <w:szCs w:val="18"/>
                      <w:highlight w:val="none"/>
                      <w:lang w:val="en-US" w:eastAsia="zh-CN"/>
                    </w:rPr>
                    <w:t>生活垃圾</w:t>
                  </w:r>
                </w:p>
              </w:tc>
              <w:tc>
                <w:tcPr>
                  <w:tcW w:w="3257" w:type="dxa"/>
                  <w:gridSpan w:val="2"/>
                  <w:shd w:val="clear" w:color="auto" w:fill="auto"/>
                  <w:vAlign w:val="center"/>
                </w:tcPr>
                <w:p w14:paraId="03E3EA11">
                  <w:pPr>
                    <w:jc w:val="center"/>
                    <w:rPr>
                      <w:rFonts w:hint="eastAsia" w:ascii="Times New Roman" w:hAnsi="Times New Roman" w:cs="Times New Roman" w:eastAsiaTheme="minorEastAsia"/>
                      <w:bCs/>
                      <w:color w:val="FF0000"/>
                      <w:kern w:val="2"/>
                      <w:sz w:val="18"/>
                      <w:szCs w:val="18"/>
                      <w:highlight w:val="none"/>
                      <w:lang w:val="en-US" w:eastAsia="zh-CN" w:bidi="ar-SA"/>
                    </w:rPr>
                  </w:pPr>
                  <w:r>
                    <w:rPr>
                      <w:rFonts w:hint="eastAsia" w:cs="Times New Roman" w:eastAsiaTheme="minorEastAsia"/>
                      <w:bCs/>
                      <w:color w:val="FF0000"/>
                      <w:sz w:val="18"/>
                      <w:szCs w:val="18"/>
                      <w:highlight w:val="none"/>
                      <w:lang w:val="en-US" w:eastAsia="zh-CN"/>
                    </w:rPr>
                    <w:t>环卫部门定期清运</w:t>
                  </w:r>
                </w:p>
              </w:tc>
            </w:tr>
          </w:tbl>
          <w:p w14:paraId="1772A0E9">
            <w:pPr>
              <w:adjustRightInd w:val="0"/>
              <w:snapToGrid w:val="0"/>
              <w:spacing w:line="360" w:lineRule="auto"/>
              <w:ind w:firstLine="420" w:firstLineChars="200"/>
              <w:rPr>
                <w:rFonts w:hint="default" w:ascii="Times New Roman" w:hAnsi="Times New Roman" w:cs="Times New Roman"/>
                <w:color w:val="auto"/>
              </w:rPr>
            </w:pPr>
          </w:p>
        </w:tc>
      </w:tr>
      <w:tr w14:paraId="4B361D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4" w:type="dxa"/>
            <w:vAlign w:val="center"/>
          </w:tcPr>
          <w:p w14:paraId="1D0D4BFE">
            <w:pPr>
              <w:pStyle w:val="78"/>
              <w:adjustRightInd w:val="0"/>
              <w:snapToGrid w:val="0"/>
              <w:spacing w:before="0" w:beforeAutospacing="0" w:after="0" w:afterAutospacing="0" w:line="420" w:lineRule="exact"/>
              <w:jc w:val="center"/>
              <w:rPr>
                <w:rFonts w:hint="default" w:ascii="Times New Roman" w:hAnsi="Times New Roman" w:cs="Times New Roman"/>
                <w:color w:val="auto"/>
                <w:sz w:val="21"/>
                <w:szCs w:val="21"/>
              </w:rPr>
            </w:pPr>
            <w:r>
              <w:rPr>
                <w:rFonts w:hint="default" w:ascii="Times New Roman" w:hAnsi="Times New Roman" w:cs="Times New Roman"/>
                <w:bCs/>
                <w:color w:val="auto"/>
                <w:kern w:val="2"/>
                <w:sz w:val="21"/>
                <w:szCs w:val="21"/>
              </w:rPr>
              <w:t>与项目有关的原有环境污染问题</w:t>
            </w:r>
          </w:p>
        </w:tc>
        <w:tc>
          <w:tcPr>
            <w:tcW w:w="8636" w:type="dxa"/>
            <w:vAlign w:val="center"/>
          </w:tcPr>
          <w:p w14:paraId="64E8CDBA">
            <w:pPr>
              <w:spacing w:line="360" w:lineRule="auto"/>
              <w:ind w:firstLine="422"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一、现有工程履行环境影响评价及竣工环境保护验收</w:t>
            </w:r>
          </w:p>
          <w:p w14:paraId="78E54F58">
            <w:pPr>
              <w:adjustRightInd w:val="0"/>
              <w:snapToGrid w:val="0"/>
              <w:spacing w:line="360" w:lineRule="auto"/>
              <w:ind w:firstLine="420" w:firstLineChars="200"/>
              <w:rPr>
                <w:rFonts w:hint="default" w:cs="Times New Roman"/>
                <w:color w:val="auto"/>
                <w:kern w:val="2"/>
                <w:sz w:val="21"/>
                <w:szCs w:val="21"/>
                <w:highlight w:val="none"/>
                <w:lang w:val="en-US" w:eastAsia="zh-CN" w:bidi="ar-SA"/>
              </w:rPr>
            </w:pPr>
            <w:r>
              <w:rPr>
                <w:rFonts w:hint="eastAsia" w:cs="Times New Roman"/>
                <w:color w:val="auto"/>
                <w:kern w:val="2"/>
                <w:sz w:val="21"/>
                <w:szCs w:val="21"/>
                <w:lang w:val="en-US" w:eastAsia="zh-CN" w:bidi="ar-SA"/>
              </w:rPr>
              <w:t>淄博奢瓷装饰材料技术有限公司成立于2013年12月，</w:t>
            </w:r>
            <w:r>
              <w:rPr>
                <w:rFonts w:hint="default" w:ascii="Times New Roman" w:hAnsi="Times New Roman" w:eastAsia="宋体" w:cs="Times New Roman"/>
                <w:color w:val="auto"/>
                <w:kern w:val="2"/>
                <w:sz w:val="21"/>
                <w:szCs w:val="21"/>
                <w:lang w:val="en-US" w:eastAsia="zh-CN" w:bidi="ar-SA"/>
              </w:rPr>
              <w:t>位于</w:t>
            </w:r>
            <w:r>
              <w:rPr>
                <w:rFonts w:hint="eastAsia" w:cs="Times New Roman"/>
                <w:color w:val="auto"/>
                <w:kern w:val="2"/>
                <w:sz w:val="21"/>
                <w:szCs w:val="21"/>
                <w:lang w:val="en-US" w:eastAsia="zh-CN" w:bidi="ar-SA"/>
              </w:rPr>
              <w:t>山东省</w:t>
            </w:r>
            <w:r>
              <w:rPr>
                <w:rFonts w:hint="default" w:ascii="Times New Roman" w:hAnsi="Times New Roman" w:eastAsia="宋体" w:cs="Times New Roman"/>
                <w:color w:val="auto"/>
                <w:kern w:val="2"/>
                <w:sz w:val="21"/>
                <w:szCs w:val="21"/>
                <w:lang w:val="en-US" w:eastAsia="zh-CN" w:bidi="ar-SA"/>
              </w:rPr>
              <w:t>淄博市</w:t>
            </w:r>
            <w:r>
              <w:rPr>
                <w:rFonts w:hint="eastAsia" w:cs="Times New Roman"/>
                <w:color w:val="auto"/>
                <w:lang w:val="en-US" w:eastAsia="zh-CN"/>
              </w:rPr>
              <w:t>经济开发区李家工业园</w:t>
            </w:r>
            <w:r>
              <w:rPr>
                <w:rFonts w:hint="default" w:ascii="Times New Roman" w:hAnsi="Times New Roman" w:eastAsia="宋体" w:cs="Times New Roman"/>
                <w:color w:val="auto"/>
                <w:kern w:val="2"/>
                <w:sz w:val="21"/>
                <w:szCs w:val="21"/>
                <w:lang w:val="en-US" w:eastAsia="zh-CN" w:bidi="ar-SA"/>
              </w:rPr>
              <w:t>，注册资本50万元</w:t>
            </w:r>
            <w:r>
              <w:rPr>
                <w:rFonts w:hint="default" w:ascii="Times New Roman" w:hAnsi="Times New Roman"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公司</w:t>
            </w:r>
            <w:r>
              <w:rPr>
                <w:rFonts w:hint="eastAsia" w:cs="Times New Roman"/>
                <w:color w:val="auto"/>
                <w:kern w:val="2"/>
                <w:sz w:val="21"/>
                <w:szCs w:val="21"/>
                <w:lang w:val="en-US" w:eastAsia="zh-CN" w:bidi="ar-SA"/>
              </w:rPr>
              <w:t>2017年编制的</w:t>
            </w:r>
            <w:r>
              <w:rPr>
                <w:rFonts w:hint="default" w:ascii="Times New Roman" w:hAnsi="Times New Roman" w:eastAsia="宋体" w:cs="Times New Roman"/>
                <w:color w:val="auto"/>
                <w:kern w:val="2"/>
                <w:sz w:val="21"/>
                <w:szCs w:val="21"/>
                <w:lang w:val="en-US" w:eastAsia="zh-CN" w:bidi="ar-SA"/>
              </w:rPr>
              <w:t>《</w:t>
            </w:r>
            <w:r>
              <w:rPr>
                <w:rFonts w:hint="eastAsia" w:cs="Times New Roman"/>
                <w:color w:val="auto"/>
                <w:kern w:val="2"/>
                <w:sz w:val="21"/>
                <w:szCs w:val="21"/>
                <w:lang w:val="en-US" w:eastAsia="zh-CN" w:bidi="ar-SA"/>
              </w:rPr>
              <w:t>年加工20万平方米的装饰画背景墙</w:t>
            </w:r>
            <w:r>
              <w:rPr>
                <w:rFonts w:hint="default" w:ascii="Times New Roman" w:hAnsi="Times New Roman" w:eastAsia="宋体" w:cs="Times New Roman"/>
                <w:color w:val="auto"/>
                <w:kern w:val="2"/>
                <w:sz w:val="21"/>
                <w:szCs w:val="21"/>
                <w:lang w:val="en-US" w:eastAsia="zh-CN" w:bidi="ar-SA"/>
              </w:rPr>
              <w:t>项目</w:t>
            </w:r>
            <w:r>
              <w:rPr>
                <w:rFonts w:hint="eastAsia" w:cs="Times New Roman"/>
                <w:color w:val="auto"/>
                <w:kern w:val="2"/>
                <w:sz w:val="21"/>
                <w:szCs w:val="21"/>
                <w:lang w:val="en-US" w:eastAsia="zh-CN" w:bidi="ar-SA"/>
              </w:rPr>
              <w:t>环境影响报告表</w:t>
            </w:r>
            <w:r>
              <w:rPr>
                <w:rFonts w:hint="default" w:ascii="Times New Roman" w:hAnsi="Times New Roman" w:eastAsia="宋体" w:cs="Times New Roman"/>
                <w:color w:val="auto"/>
                <w:kern w:val="2"/>
                <w:sz w:val="21"/>
                <w:szCs w:val="21"/>
                <w:lang w:val="en-US" w:eastAsia="zh-CN" w:bidi="ar-SA"/>
              </w:rPr>
              <w:t>》</w:t>
            </w:r>
            <w:r>
              <w:rPr>
                <w:rFonts w:hint="eastAsia" w:ascii="Times New Roman" w:hAnsi="Times New Roman" w:eastAsia="宋体" w:cs="Times New Roman"/>
                <w:color w:val="auto"/>
                <w:kern w:val="2"/>
                <w:sz w:val="21"/>
                <w:szCs w:val="21"/>
                <w:lang w:val="en-US" w:eastAsia="zh-CN" w:bidi="ar-SA"/>
              </w:rPr>
              <w:t>，2017年7月3日取得淄博市环境保护局周村分局批复（周环报告表[2017]140号），2017年8月23日通过淄博市环境保护局周村分局的验收（周环 验[2017]140号），</w:t>
            </w:r>
            <w:r>
              <w:rPr>
                <w:rFonts w:hint="default" w:ascii="Times New Roman" w:hAnsi="Times New Roman" w:eastAsia="宋体" w:cs="Times New Roman"/>
                <w:color w:val="auto"/>
                <w:kern w:val="2"/>
                <w:sz w:val="21"/>
                <w:szCs w:val="21"/>
                <w:lang w:val="en-US" w:eastAsia="zh-CN" w:bidi="ar-SA"/>
              </w:rPr>
              <w:t>建设有1条</w:t>
            </w:r>
            <w:r>
              <w:rPr>
                <w:rFonts w:hint="eastAsia" w:cs="Times New Roman"/>
                <w:color w:val="auto"/>
                <w:kern w:val="2"/>
                <w:sz w:val="21"/>
                <w:szCs w:val="21"/>
                <w:lang w:val="en-US" w:eastAsia="zh-CN" w:bidi="ar-SA"/>
              </w:rPr>
              <w:t>装饰画背景墙</w:t>
            </w:r>
            <w:r>
              <w:rPr>
                <w:rFonts w:hint="default" w:ascii="Times New Roman" w:hAnsi="Times New Roman" w:eastAsia="宋体" w:cs="Times New Roman"/>
                <w:color w:val="auto"/>
                <w:kern w:val="2"/>
                <w:sz w:val="21"/>
                <w:szCs w:val="21"/>
                <w:lang w:val="en-US" w:eastAsia="zh-CN" w:bidi="ar-SA"/>
              </w:rPr>
              <w:t>生产线，可年产</w:t>
            </w:r>
            <w:r>
              <w:rPr>
                <w:rFonts w:hint="eastAsia" w:cs="Times New Roman"/>
                <w:color w:val="auto"/>
                <w:kern w:val="2"/>
                <w:sz w:val="21"/>
                <w:szCs w:val="21"/>
                <w:lang w:val="en-US" w:eastAsia="zh-CN" w:bidi="ar-SA"/>
              </w:rPr>
              <w:t>20万平方米装饰画背景墙，2021</w:t>
            </w:r>
            <w:r>
              <w:rPr>
                <w:rFonts w:hint="default" w:ascii="Times New Roman" w:hAnsi="Times New Roman" w:eastAsia="宋体" w:cs="Times New Roman"/>
                <w:color w:val="auto"/>
                <w:kern w:val="2"/>
                <w:sz w:val="21"/>
                <w:szCs w:val="21"/>
                <w:lang w:val="en-US" w:eastAsia="zh-CN" w:bidi="ar-SA"/>
              </w:rPr>
              <w:t>年</w:t>
            </w:r>
            <w:r>
              <w:rPr>
                <w:rFonts w:hint="eastAsia" w:cs="Times New Roman"/>
                <w:color w:val="auto"/>
                <w:kern w:val="2"/>
                <w:sz w:val="21"/>
                <w:szCs w:val="21"/>
                <w:lang w:val="en-US" w:eastAsia="zh-CN" w:bidi="ar-SA"/>
              </w:rPr>
              <w:t>6月</w:t>
            </w:r>
            <w:r>
              <w:rPr>
                <w:rFonts w:hint="default" w:ascii="Times New Roman" w:hAnsi="Times New Roman" w:eastAsia="宋体" w:cs="Times New Roman"/>
                <w:color w:val="auto"/>
                <w:kern w:val="2"/>
                <w:sz w:val="21"/>
                <w:szCs w:val="21"/>
                <w:lang w:val="en-US" w:eastAsia="zh-CN" w:bidi="ar-SA"/>
              </w:rPr>
              <w:t>关停原有装饰画背景墙</w:t>
            </w:r>
            <w:r>
              <w:rPr>
                <w:rFonts w:hint="default" w:ascii="Times New Roman" w:hAnsi="Times New Roman" w:cs="Times New Roman"/>
                <w:color w:val="auto"/>
                <w:kern w:val="2"/>
                <w:sz w:val="21"/>
                <w:szCs w:val="21"/>
                <w:lang w:val="en-US" w:eastAsia="zh-CN" w:bidi="ar-SA"/>
              </w:rPr>
              <w:t>项目，不再生产</w:t>
            </w:r>
            <w:r>
              <w:rPr>
                <w:rFonts w:hint="eastAsia" w:cs="Times New Roman"/>
                <w:color w:val="auto"/>
                <w:kern w:val="2"/>
                <w:sz w:val="21"/>
                <w:szCs w:val="21"/>
                <w:lang w:val="en-US" w:eastAsia="zh-CN" w:bidi="ar-SA"/>
              </w:rPr>
              <w:t>，</w:t>
            </w:r>
            <w:r>
              <w:rPr>
                <w:rFonts w:hint="default" w:ascii="Times New Roman" w:hAnsi="Times New Roman" w:cs="Times New Roman"/>
                <w:color w:val="auto"/>
                <w:kern w:val="2"/>
                <w:sz w:val="21"/>
                <w:szCs w:val="21"/>
                <w:lang w:val="en-US" w:eastAsia="zh-CN" w:bidi="ar-SA"/>
              </w:rPr>
              <w:t>设备均已</w:t>
            </w:r>
            <w:r>
              <w:rPr>
                <w:rFonts w:hint="default" w:ascii="Times New Roman" w:hAnsi="Times New Roman" w:cs="Times New Roman"/>
                <w:color w:val="auto"/>
                <w:kern w:val="2"/>
                <w:sz w:val="21"/>
                <w:szCs w:val="21"/>
                <w:highlight w:val="none"/>
                <w:lang w:val="en-US" w:eastAsia="zh-CN" w:bidi="ar-SA"/>
              </w:rPr>
              <w:t>拆除，</w:t>
            </w:r>
            <w:r>
              <w:rPr>
                <w:rFonts w:hint="eastAsia" w:cs="Times New Roman"/>
                <w:color w:val="FF0000"/>
                <w:kern w:val="2"/>
                <w:sz w:val="21"/>
                <w:szCs w:val="21"/>
                <w:highlight w:val="none"/>
                <w:lang w:val="en-US" w:eastAsia="zh-CN" w:bidi="ar-SA"/>
              </w:rPr>
              <w:t>将原1条80m辊道窑改造为1条60m的隧道窑，新上《产品升级及节能降耗项目》（2021年6月13日</w:t>
            </w:r>
            <w:r>
              <w:rPr>
                <w:rFonts w:hint="eastAsia"/>
                <w:color w:val="FF0000"/>
                <w:highlight w:val="none"/>
                <w:lang w:eastAsia="zh-CN"/>
              </w:rPr>
              <w:t>《山东省建设项目登记备案证明》项目代码：</w:t>
            </w:r>
            <w:r>
              <w:rPr>
                <w:rFonts w:hint="eastAsia" w:cs="Times New Roman"/>
                <w:color w:val="FF0000"/>
                <w:kern w:val="2"/>
                <w:sz w:val="21"/>
                <w:szCs w:val="21"/>
                <w:highlight w:val="none"/>
                <w:lang w:val="en-US" w:eastAsia="zh-CN" w:bidi="ar-SA"/>
              </w:rPr>
              <w:t>2106-370393-89-02-743966），</w:t>
            </w:r>
            <w:r>
              <w:rPr>
                <w:rFonts w:hint="eastAsia" w:ascii="Times New Roman" w:hAnsi="Times New Roman" w:cs="Times New Roman" w:eastAsiaTheme="minorEastAsia"/>
                <w:color w:val="FF0000"/>
                <w:highlight w:val="none"/>
                <w:lang w:val="en-US" w:eastAsia="zh-CN"/>
              </w:rPr>
              <w:t>主要产品为</w:t>
            </w:r>
            <w:r>
              <w:rPr>
                <w:rFonts w:hint="eastAsia" w:cs="Times New Roman" w:eastAsiaTheme="minorEastAsia"/>
                <w:color w:val="FF0000"/>
                <w:highlight w:val="none"/>
                <w:lang w:val="en-US" w:eastAsia="zh-CN"/>
              </w:rPr>
              <w:t>陶瓷手模</w:t>
            </w:r>
            <w:r>
              <w:rPr>
                <w:rFonts w:hint="eastAsia" w:ascii="Times New Roman" w:hAnsi="Times New Roman" w:cs="Times New Roman" w:eastAsiaTheme="minorEastAsia"/>
                <w:color w:val="FF0000"/>
                <w:highlight w:val="none"/>
                <w:lang w:val="en-US" w:eastAsia="zh-CN"/>
              </w:rPr>
              <w:t>，根据国民经济行业分类(GBT4754-2017)(按第1号修改单修订)，该项目属于C30</w:t>
            </w:r>
            <w:r>
              <w:rPr>
                <w:rFonts w:hint="eastAsia" w:cs="Times New Roman" w:eastAsiaTheme="minorEastAsia"/>
                <w:color w:val="FF0000"/>
                <w:highlight w:val="none"/>
                <w:lang w:val="en-US" w:eastAsia="zh-CN"/>
              </w:rPr>
              <w:t>79其他陶瓷制品制造</w:t>
            </w:r>
            <w:r>
              <w:rPr>
                <w:rFonts w:hint="eastAsia" w:ascii="Times New Roman" w:hAnsi="Times New Roman" w:cs="Times New Roman" w:eastAsiaTheme="minorEastAsia"/>
                <w:color w:val="FF0000"/>
                <w:highlight w:val="none"/>
                <w:lang w:val="en-US" w:eastAsia="zh-CN"/>
              </w:rPr>
              <w:t>，</w:t>
            </w:r>
            <w:r>
              <w:rPr>
                <w:rFonts w:hint="eastAsia" w:cs="Times New Roman" w:eastAsiaTheme="minorEastAsia"/>
                <w:color w:val="FF0000"/>
                <w:highlight w:val="none"/>
                <w:lang w:val="en-US" w:eastAsia="zh-CN"/>
              </w:rPr>
              <w:t>主要原料为高岭土、长石等，主要燃料为天然气，不使用高污染燃料</w:t>
            </w:r>
            <w:r>
              <w:rPr>
                <w:rFonts w:hint="eastAsia" w:ascii="Times New Roman" w:hAnsi="Times New Roman" w:cs="Times New Roman" w:eastAsiaTheme="minorEastAsia"/>
                <w:color w:val="FF0000"/>
                <w:highlight w:val="none"/>
                <w:lang w:val="en-US" w:eastAsia="zh-CN"/>
              </w:rPr>
              <w:t>。根据国家生态环境部发布的《建设项目环境影响评价分类管理名录》（2021年版）及国民经济行业类别，该项目的行业类别属于二十七“非金属矿物制品业30”、5</w:t>
            </w:r>
            <w:r>
              <w:rPr>
                <w:rFonts w:hint="eastAsia" w:cs="Times New Roman" w:eastAsiaTheme="minorEastAsia"/>
                <w:color w:val="FF0000"/>
                <w:highlight w:val="none"/>
                <w:lang w:val="en-US" w:eastAsia="zh-CN"/>
              </w:rPr>
              <w:t>9</w:t>
            </w:r>
            <w:r>
              <w:rPr>
                <w:rFonts w:hint="eastAsia" w:ascii="Times New Roman" w:hAnsi="Times New Roman" w:cs="Times New Roman" w:eastAsiaTheme="minorEastAsia"/>
                <w:color w:val="FF0000"/>
                <w:highlight w:val="none"/>
                <w:lang w:val="en-US" w:eastAsia="zh-CN"/>
              </w:rPr>
              <w:t>“</w:t>
            </w:r>
            <w:r>
              <w:rPr>
                <w:rFonts w:hint="eastAsia" w:cs="Times New Roman" w:eastAsiaTheme="minorEastAsia"/>
                <w:color w:val="FF0000"/>
                <w:highlight w:val="none"/>
                <w:lang w:val="en-US" w:eastAsia="zh-CN"/>
              </w:rPr>
              <w:t>陶瓷</w:t>
            </w:r>
            <w:r>
              <w:rPr>
                <w:rFonts w:hint="eastAsia" w:ascii="Times New Roman" w:hAnsi="Times New Roman" w:cs="Times New Roman" w:eastAsiaTheme="minorEastAsia"/>
                <w:color w:val="FF0000"/>
                <w:highlight w:val="none"/>
                <w:lang w:val="en-US" w:eastAsia="zh-CN"/>
              </w:rPr>
              <w:t>制品制造30</w:t>
            </w:r>
            <w:r>
              <w:rPr>
                <w:rFonts w:hint="eastAsia" w:cs="Times New Roman" w:eastAsiaTheme="minorEastAsia"/>
                <w:color w:val="FF0000"/>
                <w:highlight w:val="none"/>
                <w:lang w:val="en-US" w:eastAsia="zh-CN"/>
              </w:rPr>
              <w:t>7</w:t>
            </w:r>
            <w:r>
              <w:rPr>
                <w:rFonts w:hint="eastAsia" w:ascii="Times New Roman" w:hAnsi="Times New Roman" w:cs="Times New Roman" w:eastAsiaTheme="minorEastAsia"/>
                <w:color w:val="FF0000"/>
                <w:highlight w:val="none"/>
                <w:lang w:val="en-US" w:eastAsia="zh-CN"/>
              </w:rPr>
              <w:t>”，不需纳入建设项目环境影响评价管理。</w:t>
            </w:r>
            <w:r>
              <w:rPr>
                <w:rFonts w:hint="eastAsia" w:cs="Times New Roman" w:eastAsiaTheme="minorEastAsia"/>
                <w:color w:val="FF0000"/>
                <w:highlight w:val="none"/>
                <w:lang w:val="en-US" w:eastAsia="zh-CN"/>
              </w:rPr>
              <w:t>陶瓷手模生产线于2021年底停产，设备只保留</w:t>
            </w:r>
            <w:r>
              <w:rPr>
                <w:rFonts w:hint="eastAsia" w:cs="Times New Roman"/>
                <w:color w:val="FF0000"/>
                <w:kern w:val="2"/>
                <w:sz w:val="21"/>
                <w:szCs w:val="21"/>
                <w:highlight w:val="none"/>
                <w:lang w:val="en-US" w:eastAsia="zh-CN" w:bidi="ar-SA"/>
              </w:rPr>
              <w:t>1条60m的隧</w:t>
            </w:r>
            <w:r>
              <w:rPr>
                <w:rFonts w:hint="eastAsia" w:cs="Times New Roman"/>
                <w:color w:val="auto"/>
                <w:kern w:val="2"/>
                <w:sz w:val="21"/>
                <w:szCs w:val="21"/>
                <w:highlight w:val="none"/>
                <w:lang w:val="en-US" w:eastAsia="zh-CN" w:bidi="ar-SA"/>
              </w:rPr>
              <w:t>道窑，其他设备已拆除，</w:t>
            </w:r>
            <w:r>
              <w:rPr>
                <w:rFonts w:hint="default" w:ascii="Times New Roman" w:hAnsi="Times New Roman" w:cs="Times New Roman"/>
                <w:color w:val="auto"/>
                <w:kern w:val="2"/>
                <w:sz w:val="21"/>
                <w:szCs w:val="21"/>
                <w:highlight w:val="none"/>
                <w:lang w:val="en-US" w:eastAsia="zh-CN" w:bidi="ar-SA"/>
              </w:rPr>
              <w:t>后期也不再生产</w:t>
            </w:r>
            <w:r>
              <w:rPr>
                <w:rFonts w:hint="eastAsia" w:ascii="Times New Roman" w:hAnsi="Times New Roman" w:cs="Times New Roman"/>
                <w:color w:val="auto"/>
                <w:kern w:val="2"/>
                <w:sz w:val="21"/>
                <w:szCs w:val="21"/>
                <w:highlight w:val="none"/>
                <w:lang w:val="en-US" w:eastAsia="zh-CN" w:bidi="ar-SA"/>
              </w:rPr>
              <w:t>，由于</w:t>
            </w:r>
            <w:r>
              <w:rPr>
                <w:rFonts w:hint="eastAsia" w:cs="Times New Roman"/>
                <w:color w:val="auto"/>
                <w:kern w:val="2"/>
                <w:sz w:val="21"/>
                <w:szCs w:val="21"/>
                <w:highlight w:val="none"/>
                <w:lang w:val="en-US" w:eastAsia="zh-CN" w:bidi="ar-SA"/>
              </w:rPr>
              <w:t>生产期间未进行污染源检测，本次评价主要对现有污染物产生及排放情况进行统计。</w:t>
            </w:r>
          </w:p>
          <w:p w14:paraId="4F37E1C5">
            <w:pPr>
              <w:spacing w:line="360" w:lineRule="auto"/>
              <w:ind w:firstLine="422"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二、排污许可手续办理情况</w:t>
            </w:r>
          </w:p>
          <w:p w14:paraId="54694E65">
            <w:pPr>
              <w:adjustRightInd w:val="0"/>
              <w:snapToGrid w:val="0"/>
              <w:spacing w:line="360" w:lineRule="auto"/>
              <w:ind w:firstLine="420" w:firstLineChars="200"/>
              <w:rPr>
                <w:rFonts w:hint="default" w:cs="Times New Roman"/>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eastAsia="zh-CN"/>
              </w:rPr>
              <w:t>202</w:t>
            </w:r>
            <w:r>
              <w:rPr>
                <w:rFonts w:hint="eastAsia" w:cs="Times New Roman" w:eastAsiaTheme="minorEastAsia"/>
                <w:color w:val="auto"/>
                <w:highlight w:val="none"/>
                <w:lang w:val="en-US" w:eastAsia="zh-CN"/>
              </w:rPr>
              <w:t>1</w:t>
            </w:r>
            <w:r>
              <w:rPr>
                <w:rFonts w:hint="default" w:ascii="Times New Roman" w:hAnsi="Times New Roman" w:cs="Times New Roman" w:eastAsiaTheme="minorEastAsia"/>
                <w:color w:val="auto"/>
                <w:highlight w:val="none"/>
                <w:lang w:eastAsia="zh-CN"/>
              </w:rPr>
              <w:t>年</w:t>
            </w:r>
            <w:r>
              <w:rPr>
                <w:rFonts w:hint="eastAsia" w:cs="Times New Roman" w:eastAsiaTheme="minorEastAsia"/>
                <w:color w:val="auto"/>
                <w:highlight w:val="none"/>
                <w:lang w:val="en-US" w:eastAsia="zh-CN"/>
              </w:rPr>
              <w:t>4</w:t>
            </w:r>
            <w:r>
              <w:rPr>
                <w:rFonts w:hint="default" w:ascii="Times New Roman" w:hAnsi="Times New Roman" w:cs="Times New Roman" w:eastAsiaTheme="minorEastAsia"/>
                <w:color w:val="auto"/>
                <w:highlight w:val="none"/>
                <w:lang w:eastAsia="zh-CN"/>
              </w:rPr>
              <w:t>月</w:t>
            </w:r>
            <w:r>
              <w:rPr>
                <w:rFonts w:hint="eastAsia" w:cs="Times New Roman" w:eastAsiaTheme="minorEastAsia"/>
                <w:color w:val="auto"/>
                <w:highlight w:val="none"/>
                <w:lang w:val="en-US" w:eastAsia="zh-CN"/>
              </w:rPr>
              <w:t>24</w:t>
            </w:r>
            <w:r>
              <w:rPr>
                <w:rFonts w:hint="default" w:ascii="Times New Roman" w:hAnsi="Times New Roman" w:cs="Times New Roman" w:eastAsiaTheme="minorEastAsia"/>
                <w:color w:val="auto"/>
                <w:highlight w:val="none"/>
                <w:lang w:val="en-US" w:eastAsia="zh-CN"/>
              </w:rPr>
              <w:t>日</w:t>
            </w:r>
            <w:r>
              <w:rPr>
                <w:rFonts w:hint="eastAsia" w:cs="Times New Roman" w:eastAsiaTheme="minorEastAsia"/>
                <w:color w:val="auto"/>
                <w:highlight w:val="none"/>
                <w:lang w:val="en-US" w:eastAsia="zh-CN"/>
              </w:rPr>
              <w:t>首次</w:t>
            </w:r>
            <w:r>
              <w:rPr>
                <w:rFonts w:hint="default" w:ascii="Times New Roman" w:hAnsi="Times New Roman" w:cs="Times New Roman" w:eastAsiaTheme="minorEastAsia"/>
                <w:color w:val="auto"/>
                <w:highlight w:val="none"/>
                <w:lang w:eastAsia="zh-CN"/>
              </w:rPr>
              <w:t>取得</w:t>
            </w:r>
            <w:r>
              <w:rPr>
                <w:rFonts w:hint="eastAsia" w:ascii="Times New Roman" w:hAnsi="Times New Roman" w:cs="Times New Roman" w:eastAsiaTheme="minorEastAsia"/>
                <w:color w:val="auto"/>
                <w:highlight w:val="none"/>
                <w:lang w:val="en-US" w:eastAsia="zh-CN"/>
              </w:rPr>
              <w:t>排污登记回执</w:t>
            </w:r>
            <w:r>
              <w:rPr>
                <w:rFonts w:hint="default" w:ascii="Times New Roman" w:hAnsi="Times New Roman" w:cs="Times New Roman" w:eastAsiaTheme="minorEastAsia"/>
                <w:color w:val="auto"/>
                <w:highlight w:val="none"/>
                <w:lang w:eastAsia="zh-CN"/>
              </w:rPr>
              <w:t>（编号：913703060897879537001W）</w:t>
            </w:r>
            <w:r>
              <w:rPr>
                <w:rFonts w:hint="eastAsia" w:cs="Times New Roman" w:eastAsiaTheme="minorEastAsia"/>
                <w:color w:val="auto"/>
                <w:highlight w:val="none"/>
                <w:lang w:eastAsia="zh-CN"/>
              </w:rPr>
              <w:t>，</w:t>
            </w:r>
            <w:r>
              <w:rPr>
                <w:rFonts w:hint="eastAsia" w:cs="Times New Roman" w:eastAsiaTheme="minorEastAsia"/>
                <w:color w:val="auto"/>
                <w:highlight w:val="none"/>
                <w:lang w:val="en-US" w:eastAsia="zh-CN"/>
              </w:rPr>
              <w:t>2024年6月13日进行变更，有效期为2024年6月13日至2029年6月12日。</w:t>
            </w:r>
          </w:p>
          <w:p w14:paraId="019567A6">
            <w:pPr>
              <w:spacing w:line="360" w:lineRule="auto"/>
              <w:ind w:firstLine="422" w:firstLineChars="200"/>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三、核算现有工程污染物</w:t>
            </w:r>
            <w:r>
              <w:rPr>
                <w:rFonts w:hint="default" w:ascii="Times New Roman" w:hAnsi="Times New Roman" w:cs="Times New Roman"/>
                <w:b/>
                <w:bCs/>
                <w:color w:val="auto"/>
                <w:sz w:val="21"/>
                <w:szCs w:val="21"/>
                <w:highlight w:val="none"/>
                <w:lang w:eastAsia="zh-CN"/>
              </w:rPr>
              <w:t>排放情况</w:t>
            </w:r>
          </w:p>
          <w:p w14:paraId="3B414203">
            <w:pPr>
              <w:adjustRightInd w:val="0"/>
              <w:snapToGrid w:val="0"/>
              <w:spacing w:line="360" w:lineRule="auto"/>
              <w:ind w:firstLine="420" w:firstLineChars="200"/>
              <w:rPr>
                <w:rFonts w:hint="eastAsia" w:ascii="Times New Roman" w:hAnsi="Times New Roman" w:cs="Times New Roman"/>
                <w:color w:val="auto"/>
                <w:kern w:val="2"/>
                <w:sz w:val="21"/>
                <w:szCs w:val="21"/>
                <w:highlight w:val="none"/>
                <w:lang w:val="en-US" w:eastAsia="zh-CN" w:bidi="ar-SA"/>
              </w:rPr>
            </w:pPr>
            <w:r>
              <w:rPr>
                <w:rFonts w:hint="eastAsia" w:cs="Times New Roman" w:eastAsiaTheme="minorEastAsia"/>
                <w:color w:val="auto"/>
                <w:highlight w:val="none"/>
                <w:lang w:val="en-US" w:eastAsia="zh-CN"/>
              </w:rPr>
              <w:t>陶瓷手模生产线于2021年底停产，设备只保留</w:t>
            </w:r>
            <w:r>
              <w:rPr>
                <w:rFonts w:hint="eastAsia" w:cs="Times New Roman"/>
                <w:color w:val="auto"/>
                <w:kern w:val="2"/>
                <w:sz w:val="21"/>
                <w:szCs w:val="21"/>
                <w:highlight w:val="none"/>
                <w:lang w:val="en-US" w:eastAsia="zh-CN" w:bidi="ar-SA"/>
              </w:rPr>
              <w:t>1条60m的隧道窑，其他设备已拆除，</w:t>
            </w:r>
            <w:r>
              <w:rPr>
                <w:rFonts w:hint="default" w:ascii="Times New Roman" w:hAnsi="Times New Roman" w:cs="Times New Roman"/>
                <w:color w:val="auto"/>
                <w:kern w:val="2"/>
                <w:sz w:val="21"/>
                <w:szCs w:val="21"/>
                <w:highlight w:val="none"/>
                <w:lang w:val="en-US" w:eastAsia="zh-CN" w:bidi="ar-SA"/>
              </w:rPr>
              <w:t>后期也不再生产</w:t>
            </w:r>
            <w:r>
              <w:rPr>
                <w:rFonts w:hint="eastAsia" w:ascii="Times New Roman" w:hAnsi="Times New Roman" w:cs="Times New Roman"/>
                <w:color w:val="auto"/>
                <w:kern w:val="2"/>
                <w:sz w:val="21"/>
                <w:szCs w:val="21"/>
                <w:highlight w:val="none"/>
                <w:lang w:val="en-US" w:eastAsia="zh-CN" w:bidi="ar-SA"/>
              </w:rPr>
              <w:t>，由于</w:t>
            </w:r>
            <w:r>
              <w:rPr>
                <w:rFonts w:hint="eastAsia" w:cs="Times New Roman"/>
                <w:color w:val="auto"/>
                <w:kern w:val="2"/>
                <w:sz w:val="21"/>
                <w:szCs w:val="21"/>
                <w:highlight w:val="none"/>
                <w:lang w:val="en-US" w:eastAsia="zh-CN" w:bidi="ar-SA"/>
              </w:rPr>
              <w:t>生产期间未进行污染源检测，本次评价主要对现有污染物产生及排放情况进行统计。</w:t>
            </w:r>
          </w:p>
          <w:p w14:paraId="06CA6C78">
            <w:pPr>
              <w:pStyle w:val="10"/>
              <w:numPr>
                <w:ilvl w:val="0"/>
                <w:numId w:val="20"/>
              </w:numPr>
              <w:spacing w:line="360" w:lineRule="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废气</w:t>
            </w:r>
          </w:p>
          <w:p w14:paraId="60B30DBA">
            <w:pPr>
              <w:pStyle w:val="10"/>
              <w:numPr>
                <w:ilvl w:val="0"/>
                <w:numId w:val="0"/>
              </w:numPr>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（1）污染物排放及达标情况分析</w:t>
            </w:r>
          </w:p>
          <w:p w14:paraId="363193EC">
            <w:pPr>
              <w:spacing w:line="360" w:lineRule="auto"/>
              <w:ind w:firstLine="420" w:firstLineChars="200"/>
              <w:jc w:val="both"/>
              <w:rPr>
                <w:rFonts w:hint="eastAsia"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现有项目</w:t>
            </w:r>
            <w:r>
              <w:rPr>
                <w:rFonts w:hint="default" w:ascii="Times New Roman" w:hAnsi="Times New Roman" w:cs="Times New Roman"/>
                <w:color w:val="auto"/>
                <w:sz w:val="21"/>
                <w:szCs w:val="21"/>
                <w:highlight w:val="none"/>
              </w:rPr>
              <w:t>废气包括</w:t>
            </w:r>
            <w:r>
              <w:rPr>
                <w:rFonts w:hint="default" w:ascii="Times New Roman" w:hAnsi="Times New Roman" w:cs="Times New Roman"/>
                <w:color w:val="auto"/>
                <w:sz w:val="21"/>
                <w:szCs w:val="21"/>
                <w:highlight w:val="none"/>
                <w:lang w:eastAsia="zh-CN"/>
              </w:rPr>
              <w:t>：</w:t>
            </w:r>
            <w:r>
              <w:rPr>
                <w:rFonts w:hint="eastAsia"/>
                <w:color w:val="auto"/>
                <w:highlight w:val="none"/>
                <w:lang w:val="en-US" w:eastAsia="zh-CN"/>
              </w:rPr>
              <w:t>天然气燃烧过程产生的烟尘、SO</w:t>
            </w:r>
            <w:r>
              <w:rPr>
                <w:rFonts w:hint="eastAsia"/>
                <w:color w:val="auto"/>
                <w:highlight w:val="none"/>
                <w:vertAlign w:val="subscript"/>
                <w:lang w:val="en-US" w:eastAsia="zh-CN"/>
              </w:rPr>
              <w:t>2</w:t>
            </w:r>
            <w:r>
              <w:rPr>
                <w:rFonts w:hint="eastAsia"/>
                <w:color w:val="auto"/>
                <w:highlight w:val="none"/>
                <w:lang w:val="en-US" w:eastAsia="zh-CN"/>
              </w:rPr>
              <w:t>、NOx，上料过程产生的粉尘、筛分过程产生的粉尘、</w:t>
            </w:r>
            <w:r>
              <w:rPr>
                <w:rFonts w:hint="eastAsia" w:cs="Times New Roman"/>
                <w:color w:val="auto"/>
                <w:sz w:val="21"/>
                <w:szCs w:val="21"/>
                <w:highlight w:val="none"/>
                <w:lang w:val="en-US" w:eastAsia="zh-CN"/>
              </w:rPr>
              <w:t>SNCR脱硝</w:t>
            </w:r>
            <w:r>
              <w:rPr>
                <w:rFonts w:hint="default" w:ascii="Times New Roman" w:hAnsi="Times New Roman" w:cs="Times New Roman"/>
                <w:color w:val="auto"/>
                <w:sz w:val="21"/>
                <w:szCs w:val="21"/>
                <w:highlight w:val="none"/>
                <w:lang w:val="en-US" w:eastAsia="zh-CN"/>
              </w:rPr>
              <w:t>过程未被利用逃逸的氨、臭气浓度</w:t>
            </w:r>
            <w:r>
              <w:rPr>
                <w:rFonts w:hint="eastAsia"/>
                <w:color w:val="auto"/>
                <w:highlight w:val="none"/>
                <w:lang w:val="en-US" w:eastAsia="zh-CN"/>
              </w:rPr>
              <w:t>。</w:t>
            </w:r>
          </w:p>
          <w:p w14:paraId="03FCEAC7">
            <w:pPr>
              <w:pStyle w:val="2"/>
              <w:adjustRightInd w:val="0"/>
              <w:snapToGrid w:val="0"/>
              <w:spacing w:after="0" w:line="360" w:lineRule="auto"/>
              <w:ind w:left="0" w:leftChars="0" w:firstLine="422"/>
              <w:rPr>
                <w:rFonts w:hint="eastAsia"/>
                <w:sz w:val="21"/>
                <w:szCs w:val="21"/>
                <w:highlight w:val="none"/>
                <w:lang w:val="en-US" w:eastAsia="zh-CN"/>
              </w:rPr>
            </w:pPr>
            <w:r>
              <w:rPr>
                <w:rFonts w:hint="eastAsia" w:ascii="宋体" w:hAnsi="宋体" w:eastAsia="宋体" w:cs="宋体"/>
                <w:sz w:val="21"/>
                <w:szCs w:val="21"/>
                <w:highlight w:val="none"/>
                <w:lang w:val="en-US" w:eastAsia="zh-CN"/>
              </w:rPr>
              <w:t>①</w:t>
            </w:r>
            <w:r>
              <w:rPr>
                <w:rFonts w:hint="eastAsia"/>
                <w:sz w:val="21"/>
                <w:szCs w:val="21"/>
                <w:highlight w:val="none"/>
                <w:lang w:val="en-US" w:eastAsia="zh-CN"/>
              </w:rPr>
              <w:t>上料过程产生的粉尘</w:t>
            </w:r>
          </w:p>
          <w:p w14:paraId="00599E1F">
            <w:pPr>
              <w:pStyle w:val="2"/>
              <w:adjustRightInd w:val="0"/>
              <w:snapToGrid w:val="0"/>
              <w:spacing w:after="0" w:line="360" w:lineRule="auto"/>
              <w:ind w:left="0" w:leftChars="0" w:firstLine="422"/>
              <w:rPr>
                <w:rFonts w:hint="eastAsia"/>
                <w:color w:val="auto"/>
                <w:sz w:val="21"/>
                <w:szCs w:val="21"/>
                <w:highlight w:val="none"/>
                <w:lang w:val="en-US" w:eastAsia="zh-CN"/>
              </w:rPr>
            </w:pPr>
            <w:r>
              <w:rPr>
                <w:rFonts w:hint="eastAsia"/>
                <w:color w:val="auto"/>
                <w:sz w:val="21"/>
                <w:szCs w:val="21"/>
                <w:highlight w:val="none"/>
                <w:lang w:val="en-US" w:eastAsia="zh-CN"/>
              </w:rPr>
              <w:t>上料工序产尘参照《逸散性工业粉尘控制技术》中表22-1第1条，逸散性粉尘产生量约为0.02kg/t（送料上堆），现有项目陶瓷手模原料总量为1500t/a，则上料工序粉尘产生量为0.03t/a。</w:t>
            </w:r>
          </w:p>
          <w:p w14:paraId="642EAC96">
            <w:pPr>
              <w:adjustRightInd w:val="0"/>
              <w:snapToGrid w:val="0"/>
              <w:spacing w:line="360" w:lineRule="auto"/>
              <w:ind w:firstLine="420" w:firstLineChars="200"/>
              <w:rPr>
                <w:rFonts w:hint="eastAsia"/>
                <w:sz w:val="21"/>
                <w:szCs w:val="21"/>
                <w:highlight w:val="none"/>
                <w:lang w:val="en-US" w:eastAsia="zh-CN"/>
              </w:rPr>
            </w:pPr>
            <w:r>
              <w:rPr>
                <w:rFonts w:hint="eastAsia" w:ascii="宋体" w:hAnsi="宋体" w:eastAsia="宋体" w:cs="宋体"/>
                <w:sz w:val="21"/>
                <w:szCs w:val="21"/>
                <w:highlight w:val="none"/>
                <w:lang w:val="en-US" w:eastAsia="zh-CN"/>
              </w:rPr>
              <w:t>②</w:t>
            </w:r>
            <w:r>
              <w:rPr>
                <w:rFonts w:hint="eastAsia"/>
                <w:sz w:val="21"/>
                <w:szCs w:val="21"/>
                <w:highlight w:val="none"/>
                <w:lang w:val="en-US" w:eastAsia="zh-CN"/>
              </w:rPr>
              <w:t>筛分过程产生的粉尘</w:t>
            </w:r>
          </w:p>
          <w:p w14:paraId="5FF323B4">
            <w:pPr>
              <w:adjustRightInd w:val="0"/>
              <w:snapToGrid w:val="0"/>
              <w:spacing w:line="360" w:lineRule="auto"/>
              <w:ind w:firstLine="420" w:firstLineChars="200"/>
              <w:rPr>
                <w:rFonts w:hint="default" w:ascii="Times New Roman" w:hAnsi="Times New Roman" w:cs="Times New Roman"/>
                <w:color w:val="auto"/>
                <w:kern w:val="2"/>
                <w:sz w:val="21"/>
                <w:szCs w:val="21"/>
                <w:highlight w:val="none"/>
                <w:lang w:val="en-US" w:eastAsia="zh-CN" w:bidi="ar-SA"/>
              </w:rPr>
            </w:pPr>
            <w:r>
              <w:rPr>
                <w:rFonts w:hint="eastAsia"/>
                <w:color w:val="auto"/>
                <w:sz w:val="21"/>
                <w:szCs w:val="21"/>
                <w:highlight w:val="none"/>
                <w:lang w:val="en-US" w:eastAsia="zh-CN"/>
              </w:rPr>
              <w:t>筛分过程产生的粉尘参照《排放源统计调查产排污核算方法和系数手册》“3099 其他非金属矿物制品制造行业系数表”中筛分的产污系数为1.13kg/t-产品，现有项目筛分工序原料总量为1500t/a，则筛分过程粉尘产生量为1.695t/a。</w:t>
            </w:r>
          </w:p>
          <w:p w14:paraId="7B6C91FE">
            <w:pPr>
              <w:pStyle w:val="381"/>
              <w:snapToGrid/>
              <w:ind w:firstLine="420"/>
              <w:rPr>
                <w:rFonts w:hint="eastAsia"/>
                <w:sz w:val="21"/>
                <w:szCs w:val="21"/>
                <w:highlight w:val="none"/>
                <w:lang w:val="en-US" w:eastAsia="zh-CN"/>
              </w:rPr>
            </w:pPr>
            <w:r>
              <w:rPr>
                <w:rFonts w:hint="eastAsia" w:ascii="宋体" w:hAnsi="宋体" w:eastAsia="宋体" w:cs="宋体"/>
                <w:sz w:val="21"/>
                <w:szCs w:val="21"/>
                <w:highlight w:val="none"/>
                <w:lang w:val="en-US" w:eastAsia="zh-CN"/>
              </w:rPr>
              <w:t>③</w:t>
            </w:r>
            <w:r>
              <w:rPr>
                <w:rFonts w:hint="eastAsia"/>
                <w:sz w:val="21"/>
                <w:szCs w:val="21"/>
                <w:highlight w:val="none"/>
                <w:lang w:val="en-US" w:eastAsia="zh-CN"/>
              </w:rPr>
              <w:t>天然气燃烧过程产生的烟尘、SO</w:t>
            </w:r>
            <w:r>
              <w:rPr>
                <w:rFonts w:hint="eastAsia"/>
                <w:sz w:val="21"/>
                <w:szCs w:val="21"/>
                <w:highlight w:val="none"/>
                <w:vertAlign w:val="subscript"/>
                <w:lang w:val="en-US" w:eastAsia="zh-CN"/>
              </w:rPr>
              <w:t>2</w:t>
            </w:r>
            <w:r>
              <w:rPr>
                <w:rFonts w:hint="eastAsia"/>
                <w:sz w:val="21"/>
                <w:szCs w:val="21"/>
                <w:highlight w:val="none"/>
                <w:lang w:val="en-US" w:eastAsia="zh-CN"/>
              </w:rPr>
              <w:t>、NOx：</w:t>
            </w:r>
          </w:p>
          <w:p w14:paraId="20C1B473">
            <w:pPr>
              <w:pStyle w:val="381"/>
              <w:snapToGrid/>
              <w:ind w:firstLine="42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根据企业提供资料和计算，天然气燃料低位热值为 15.71MJ/kg,根据《排污许可证申请与核发技术规范工业炉窑》( HJ1121-2020)表 6 加热炉、热处理炉、干燥窑排放口参考绩效值表，利用插值法核算产污系数（见表 4-</w:t>
            </w:r>
            <w:r>
              <w:rPr>
                <w:rFonts w:hint="eastAsia" w:cs="Times New Roman" w:eastAsiaTheme="minorEastAsia"/>
                <w:color w:val="auto"/>
                <w:sz w:val="21"/>
                <w:szCs w:val="21"/>
                <w:highlight w:val="none"/>
                <w:lang w:val="en-US" w:eastAsia="zh-CN"/>
              </w:rPr>
              <w:t>4</w:t>
            </w:r>
            <w:r>
              <w:rPr>
                <w:rFonts w:hint="default" w:ascii="Times New Roman" w:hAnsi="Times New Roman" w:cs="Times New Roman" w:eastAsiaTheme="minorEastAsia"/>
                <w:color w:val="auto"/>
                <w:sz w:val="21"/>
                <w:szCs w:val="21"/>
                <w:highlight w:val="none"/>
                <w:lang w:val="en-US" w:eastAsia="zh-CN"/>
              </w:rPr>
              <w:t>）。</w:t>
            </w:r>
          </w:p>
          <w:p w14:paraId="0D775B81">
            <w:pPr>
              <w:pStyle w:val="381"/>
              <w:snapToGrid/>
              <w:ind w:firstLine="42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参考《排污许可证申请与核发技术规范 工业炉窑》（HJ1121-20 20）表 6 加热炉、热处理炉、干燥炉（窑）排放口参考绩效值表，天然气低位热值 34.02 MJ/m</w:t>
            </w:r>
            <w:r>
              <w:rPr>
                <w:rFonts w:hint="default" w:ascii="Times New Roman" w:hAnsi="Times New Roman" w:cs="Times New Roman" w:eastAsiaTheme="minorEastAsia"/>
                <w:color w:val="auto"/>
                <w:sz w:val="21"/>
                <w:szCs w:val="21"/>
                <w:highlight w:val="none"/>
                <w:vertAlign w:val="superscript"/>
                <w:lang w:val="en-US" w:eastAsia="zh-CN"/>
              </w:rPr>
              <w:t>3</w:t>
            </w:r>
            <w:r>
              <w:rPr>
                <w:rFonts w:hint="default" w:ascii="Times New Roman" w:hAnsi="Times New Roman" w:cs="Times New Roman" w:eastAsiaTheme="minorEastAsia"/>
                <w:color w:val="auto"/>
                <w:sz w:val="21"/>
                <w:szCs w:val="21"/>
                <w:highlight w:val="none"/>
                <w:lang w:val="en-US" w:eastAsia="zh-CN"/>
              </w:rPr>
              <w:t>时(根据附件 8 天然气成份分析报告 高热位值-各组分单位体积燃烧生成的水的潜热计算），利用插值法核算产污系数。</w:t>
            </w:r>
          </w:p>
          <w:p w14:paraId="748A0727">
            <w:pPr>
              <w:pStyle w:val="1313"/>
              <w:adjustRightInd w:val="0"/>
              <w:snapToGrid/>
              <w:ind w:firstLine="422" w:firstLineChars="20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eastAsia" w:ascii="Times New Roman" w:hAnsi="Times New Roman" w:eastAsia="宋体"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rPr>
              <w:t>燃气（天然气）工业炉窑产排污系数一览表</w:t>
            </w:r>
          </w:p>
          <w:tbl>
            <w:tblPr>
              <w:tblStyle w:val="83"/>
              <w:tblW w:w="4994"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189"/>
              <w:gridCol w:w="1191"/>
              <w:gridCol w:w="1195"/>
              <w:gridCol w:w="1195"/>
              <w:gridCol w:w="1196"/>
              <w:gridCol w:w="1211"/>
              <w:gridCol w:w="1228"/>
            </w:tblGrid>
            <w:tr w14:paraId="22E0DC18">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190" w:type="dxa"/>
                  <w:noWrap w:val="0"/>
                  <w:vAlign w:val="center"/>
                </w:tcPr>
                <w:p w14:paraId="029C8BB6">
                  <w:pPr>
                    <w:spacing w:line="240" w:lineRule="exact"/>
                    <w:jc w:val="center"/>
                    <w:rPr>
                      <w:color w:val="auto"/>
                      <w:sz w:val="18"/>
                      <w:szCs w:val="18"/>
                      <w:highlight w:val="none"/>
                    </w:rPr>
                  </w:pPr>
                  <w:r>
                    <w:rPr>
                      <w:color w:val="auto"/>
                      <w:sz w:val="18"/>
                      <w:szCs w:val="18"/>
                      <w:highlight w:val="none"/>
                    </w:rPr>
                    <w:t>燃料名称</w:t>
                  </w:r>
                </w:p>
              </w:tc>
              <w:tc>
                <w:tcPr>
                  <w:tcW w:w="1191" w:type="dxa"/>
                  <w:noWrap w:val="0"/>
                  <w:vAlign w:val="center"/>
                </w:tcPr>
                <w:p w14:paraId="7EC7487F">
                  <w:pPr>
                    <w:spacing w:line="24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工艺名称</w:t>
                  </w:r>
                </w:p>
              </w:tc>
              <w:tc>
                <w:tcPr>
                  <w:tcW w:w="1195" w:type="dxa"/>
                  <w:noWrap w:val="0"/>
                  <w:vAlign w:val="center"/>
                </w:tcPr>
                <w:p w14:paraId="65E3BFFD">
                  <w:pPr>
                    <w:spacing w:line="24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低位热值</w:t>
                  </w:r>
                </w:p>
              </w:tc>
              <w:tc>
                <w:tcPr>
                  <w:tcW w:w="1195" w:type="dxa"/>
                  <w:shd w:val="clear" w:color="auto" w:fill="auto"/>
                  <w:noWrap w:val="0"/>
                  <w:vAlign w:val="center"/>
                </w:tcPr>
                <w:p w14:paraId="010B5219">
                  <w:pPr>
                    <w:spacing w:line="240" w:lineRule="exact"/>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污染物</w:t>
                  </w:r>
                </w:p>
              </w:tc>
              <w:tc>
                <w:tcPr>
                  <w:tcW w:w="1196" w:type="dxa"/>
                  <w:shd w:val="clear" w:color="auto" w:fill="auto"/>
                  <w:noWrap w:val="0"/>
                  <w:vAlign w:val="center"/>
                </w:tcPr>
                <w:p w14:paraId="78E3C99E">
                  <w:pPr>
                    <w:spacing w:line="240" w:lineRule="exact"/>
                    <w:jc w:val="center"/>
                    <w:rPr>
                      <w:color w:val="auto"/>
                      <w:sz w:val="18"/>
                      <w:szCs w:val="18"/>
                      <w:highlight w:val="none"/>
                    </w:rPr>
                  </w:pPr>
                  <w:r>
                    <w:rPr>
                      <w:color w:val="auto"/>
                      <w:sz w:val="18"/>
                      <w:szCs w:val="18"/>
                      <w:highlight w:val="none"/>
                    </w:rPr>
                    <w:t>单位</w:t>
                  </w:r>
                </w:p>
              </w:tc>
              <w:tc>
                <w:tcPr>
                  <w:tcW w:w="1211" w:type="dxa"/>
                  <w:shd w:val="clear" w:color="auto" w:fill="auto"/>
                  <w:noWrap w:val="0"/>
                  <w:vAlign w:val="center"/>
                </w:tcPr>
                <w:p w14:paraId="0647969D">
                  <w:pPr>
                    <w:spacing w:line="240" w:lineRule="exact"/>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产污系数</w:t>
                  </w:r>
                </w:p>
              </w:tc>
              <w:tc>
                <w:tcPr>
                  <w:tcW w:w="1228" w:type="dxa"/>
                  <w:noWrap w:val="0"/>
                  <w:vAlign w:val="center"/>
                </w:tcPr>
                <w:p w14:paraId="7ACA24C1">
                  <w:pPr>
                    <w:spacing w:line="240" w:lineRule="exact"/>
                    <w:jc w:val="center"/>
                    <w:rPr>
                      <w:color w:val="auto"/>
                      <w:sz w:val="18"/>
                      <w:szCs w:val="18"/>
                      <w:highlight w:val="none"/>
                    </w:rPr>
                  </w:pPr>
                  <w:r>
                    <w:rPr>
                      <w:rFonts w:hint="eastAsia"/>
                      <w:color w:val="auto"/>
                      <w:sz w:val="18"/>
                      <w:szCs w:val="18"/>
                      <w:highlight w:val="none"/>
                      <w:lang w:val="en-US" w:eastAsia="zh-CN"/>
                    </w:rPr>
                    <w:t>产生量</w:t>
                  </w:r>
                </w:p>
              </w:tc>
            </w:tr>
            <w:tr w14:paraId="073EBC0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jc w:val="center"/>
              </w:trPr>
              <w:tc>
                <w:tcPr>
                  <w:tcW w:w="1190" w:type="dxa"/>
                  <w:vMerge w:val="restart"/>
                  <w:noWrap w:val="0"/>
                  <w:vAlign w:val="center"/>
                </w:tcPr>
                <w:p w14:paraId="5BF1E5E7">
                  <w:pPr>
                    <w:spacing w:line="240" w:lineRule="exact"/>
                    <w:jc w:val="center"/>
                    <w:rPr>
                      <w:color w:val="auto"/>
                      <w:sz w:val="18"/>
                      <w:szCs w:val="18"/>
                      <w:highlight w:val="none"/>
                    </w:rPr>
                  </w:pPr>
                  <w:r>
                    <w:rPr>
                      <w:color w:val="auto"/>
                      <w:sz w:val="18"/>
                      <w:szCs w:val="18"/>
                      <w:highlight w:val="none"/>
                    </w:rPr>
                    <w:t>天然气</w:t>
                  </w:r>
                </w:p>
              </w:tc>
              <w:tc>
                <w:tcPr>
                  <w:tcW w:w="1191" w:type="dxa"/>
                  <w:vMerge w:val="restart"/>
                  <w:noWrap w:val="0"/>
                  <w:vAlign w:val="center"/>
                </w:tcPr>
                <w:p w14:paraId="380E4519">
                  <w:pPr>
                    <w:spacing w:line="24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烧制</w:t>
                  </w:r>
                </w:p>
              </w:tc>
              <w:tc>
                <w:tcPr>
                  <w:tcW w:w="1195" w:type="dxa"/>
                  <w:vMerge w:val="restart"/>
                  <w:noWrap w:val="0"/>
                  <w:vAlign w:val="center"/>
                </w:tcPr>
                <w:p w14:paraId="59CDCEF0">
                  <w:pPr>
                    <w:spacing w:line="240" w:lineRule="exact"/>
                    <w:jc w:val="center"/>
                    <w:rPr>
                      <w:color w:val="auto"/>
                      <w:sz w:val="18"/>
                      <w:szCs w:val="18"/>
                      <w:highlight w:val="none"/>
                    </w:rPr>
                  </w:pPr>
                  <w:r>
                    <w:rPr>
                      <w:rFonts w:hint="eastAsia"/>
                      <w:color w:val="auto"/>
                      <w:sz w:val="18"/>
                      <w:szCs w:val="18"/>
                      <w:highlight w:val="none"/>
                    </w:rPr>
                    <w:t xml:space="preserve"> 34.02 </w:t>
                  </w:r>
                  <w:r>
                    <w:rPr>
                      <w:rFonts w:hint="eastAsia"/>
                      <w:color w:val="auto"/>
                      <w:sz w:val="18"/>
                      <w:szCs w:val="18"/>
                      <w:highlight w:val="none"/>
                      <w:lang w:val="en-US" w:eastAsia="zh-CN"/>
                    </w:rPr>
                    <w:t>M</w:t>
                  </w:r>
                  <w:r>
                    <w:rPr>
                      <w:rFonts w:hint="eastAsia"/>
                      <w:color w:val="auto"/>
                      <w:sz w:val="18"/>
                      <w:szCs w:val="18"/>
                      <w:highlight w:val="none"/>
                    </w:rPr>
                    <w:t>J/m</w:t>
                  </w:r>
                  <w:r>
                    <w:rPr>
                      <w:rFonts w:hint="eastAsia"/>
                      <w:color w:val="auto"/>
                      <w:sz w:val="18"/>
                      <w:szCs w:val="18"/>
                      <w:highlight w:val="none"/>
                      <w:vertAlign w:val="superscript"/>
                    </w:rPr>
                    <w:t>3</w:t>
                  </w:r>
                </w:p>
              </w:tc>
              <w:tc>
                <w:tcPr>
                  <w:tcW w:w="1195" w:type="dxa"/>
                  <w:shd w:val="clear" w:color="auto" w:fill="auto"/>
                  <w:noWrap w:val="0"/>
                  <w:vAlign w:val="center"/>
                </w:tcPr>
                <w:p w14:paraId="41538793">
                  <w:pPr>
                    <w:spacing w:line="240" w:lineRule="exact"/>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二氧化硫</w:t>
                  </w:r>
                </w:p>
              </w:tc>
              <w:tc>
                <w:tcPr>
                  <w:tcW w:w="1196" w:type="dxa"/>
                  <w:shd w:val="clear" w:color="auto" w:fill="auto"/>
                  <w:noWrap w:val="0"/>
                  <w:vAlign w:val="center"/>
                </w:tcPr>
                <w:p w14:paraId="57DAB6BD">
                  <w:pPr>
                    <w:spacing w:line="240" w:lineRule="exact"/>
                    <w:jc w:val="center"/>
                    <w:rPr>
                      <w:color w:val="auto"/>
                      <w:sz w:val="18"/>
                      <w:szCs w:val="18"/>
                      <w:highlight w:val="none"/>
                    </w:rPr>
                  </w:pPr>
                  <w:r>
                    <w:rPr>
                      <w:color w:val="auto"/>
                      <w:sz w:val="18"/>
                      <w:szCs w:val="18"/>
                      <w:highlight w:val="none"/>
                    </w:rPr>
                    <w:t>g/m</w:t>
                  </w:r>
                  <w:r>
                    <w:rPr>
                      <w:color w:val="auto"/>
                      <w:sz w:val="18"/>
                      <w:szCs w:val="18"/>
                      <w:highlight w:val="none"/>
                      <w:vertAlign w:val="superscript"/>
                    </w:rPr>
                    <w:t>3</w:t>
                  </w:r>
                  <w:r>
                    <w:rPr>
                      <w:rFonts w:hint="eastAsia"/>
                      <w:color w:val="auto"/>
                      <w:sz w:val="18"/>
                      <w:szCs w:val="18"/>
                      <w:highlight w:val="none"/>
                      <w:lang w:val="en-US" w:eastAsia="zh-CN"/>
                    </w:rPr>
                    <w:t>燃料</w:t>
                  </w:r>
                </w:p>
              </w:tc>
              <w:tc>
                <w:tcPr>
                  <w:tcW w:w="1211" w:type="dxa"/>
                  <w:shd w:val="clear" w:color="auto" w:fill="auto"/>
                  <w:noWrap w:val="0"/>
                  <w:vAlign w:val="center"/>
                </w:tcPr>
                <w:p w14:paraId="4703F328">
                  <w:pPr>
                    <w:spacing w:line="240" w:lineRule="exact"/>
                    <w:jc w:val="center"/>
                    <w:rPr>
                      <w:color w:val="auto"/>
                      <w:sz w:val="18"/>
                      <w:szCs w:val="18"/>
                      <w:highlight w:val="none"/>
                    </w:rPr>
                  </w:pPr>
                  <w:r>
                    <w:rPr>
                      <w:rFonts w:hint="eastAsia"/>
                      <w:color w:val="auto"/>
                      <w:sz w:val="18"/>
                      <w:szCs w:val="18"/>
                      <w:highlight w:val="none"/>
                      <w:lang w:val="en-US" w:eastAsia="zh-CN"/>
                    </w:rPr>
                    <w:t>0.1625</w:t>
                  </w:r>
                </w:p>
              </w:tc>
              <w:tc>
                <w:tcPr>
                  <w:tcW w:w="1228" w:type="dxa"/>
                  <w:shd w:val="clear" w:color="auto" w:fill="auto"/>
                  <w:noWrap w:val="0"/>
                  <w:vAlign w:val="center"/>
                </w:tcPr>
                <w:p w14:paraId="32B814FC">
                  <w:pPr>
                    <w:spacing w:line="240" w:lineRule="exact"/>
                    <w:jc w:val="center"/>
                    <w:rPr>
                      <w:rFonts w:hint="default"/>
                      <w:color w:val="auto"/>
                      <w:sz w:val="18"/>
                      <w:szCs w:val="18"/>
                      <w:highlight w:val="none"/>
                      <w:lang w:val="en-US"/>
                    </w:rPr>
                  </w:pPr>
                  <w:r>
                    <w:rPr>
                      <w:rFonts w:hint="eastAsia"/>
                      <w:color w:val="auto"/>
                      <w:sz w:val="18"/>
                      <w:szCs w:val="18"/>
                      <w:highlight w:val="none"/>
                      <w:lang w:val="en-US" w:eastAsia="zh-CN"/>
                    </w:rPr>
                    <w:t>0.033</w:t>
                  </w:r>
                </w:p>
              </w:tc>
            </w:tr>
            <w:tr w14:paraId="29772A1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jc w:val="center"/>
              </w:trPr>
              <w:tc>
                <w:tcPr>
                  <w:tcW w:w="1190" w:type="dxa"/>
                  <w:vMerge w:val="continue"/>
                  <w:noWrap w:val="0"/>
                  <w:vAlign w:val="center"/>
                </w:tcPr>
                <w:p w14:paraId="59F9F453">
                  <w:pPr>
                    <w:spacing w:line="240" w:lineRule="exact"/>
                    <w:jc w:val="center"/>
                    <w:rPr>
                      <w:color w:val="auto"/>
                      <w:sz w:val="18"/>
                      <w:szCs w:val="18"/>
                      <w:highlight w:val="none"/>
                    </w:rPr>
                  </w:pPr>
                </w:p>
              </w:tc>
              <w:tc>
                <w:tcPr>
                  <w:tcW w:w="1191" w:type="dxa"/>
                  <w:vMerge w:val="continue"/>
                  <w:noWrap w:val="0"/>
                  <w:vAlign w:val="center"/>
                </w:tcPr>
                <w:p w14:paraId="0E516801">
                  <w:pPr>
                    <w:spacing w:line="240" w:lineRule="exact"/>
                    <w:jc w:val="center"/>
                    <w:rPr>
                      <w:color w:val="auto"/>
                      <w:sz w:val="18"/>
                      <w:szCs w:val="18"/>
                      <w:highlight w:val="none"/>
                    </w:rPr>
                  </w:pPr>
                </w:p>
              </w:tc>
              <w:tc>
                <w:tcPr>
                  <w:tcW w:w="1195" w:type="dxa"/>
                  <w:vMerge w:val="continue"/>
                  <w:noWrap w:val="0"/>
                  <w:vAlign w:val="center"/>
                </w:tcPr>
                <w:p w14:paraId="6205E06D">
                  <w:pPr>
                    <w:spacing w:line="240" w:lineRule="exact"/>
                    <w:jc w:val="center"/>
                    <w:rPr>
                      <w:color w:val="auto"/>
                      <w:sz w:val="18"/>
                      <w:szCs w:val="18"/>
                      <w:highlight w:val="none"/>
                    </w:rPr>
                  </w:pPr>
                </w:p>
              </w:tc>
              <w:tc>
                <w:tcPr>
                  <w:tcW w:w="1195" w:type="dxa"/>
                  <w:shd w:val="clear" w:color="auto" w:fill="auto"/>
                  <w:noWrap w:val="0"/>
                  <w:vAlign w:val="center"/>
                </w:tcPr>
                <w:p w14:paraId="2F46F46C">
                  <w:pPr>
                    <w:spacing w:line="240" w:lineRule="exact"/>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氮氧化物</w:t>
                  </w:r>
                </w:p>
              </w:tc>
              <w:tc>
                <w:tcPr>
                  <w:tcW w:w="1196" w:type="dxa"/>
                  <w:shd w:val="clear" w:color="auto" w:fill="auto"/>
                  <w:noWrap w:val="0"/>
                  <w:vAlign w:val="center"/>
                </w:tcPr>
                <w:p w14:paraId="603BB1AD">
                  <w:pPr>
                    <w:spacing w:line="240" w:lineRule="exact"/>
                    <w:jc w:val="center"/>
                    <w:rPr>
                      <w:color w:val="auto"/>
                      <w:sz w:val="18"/>
                      <w:szCs w:val="18"/>
                      <w:highlight w:val="none"/>
                    </w:rPr>
                  </w:pPr>
                  <w:r>
                    <w:rPr>
                      <w:color w:val="auto"/>
                      <w:sz w:val="18"/>
                      <w:szCs w:val="18"/>
                      <w:highlight w:val="none"/>
                    </w:rPr>
                    <w:t>g/m</w:t>
                  </w:r>
                  <w:r>
                    <w:rPr>
                      <w:color w:val="auto"/>
                      <w:sz w:val="18"/>
                      <w:szCs w:val="18"/>
                      <w:highlight w:val="none"/>
                      <w:vertAlign w:val="superscript"/>
                    </w:rPr>
                    <w:t>3</w:t>
                  </w:r>
                  <w:r>
                    <w:rPr>
                      <w:rFonts w:hint="eastAsia"/>
                      <w:color w:val="auto"/>
                      <w:sz w:val="18"/>
                      <w:szCs w:val="18"/>
                      <w:highlight w:val="none"/>
                      <w:lang w:val="en-US" w:eastAsia="zh-CN"/>
                    </w:rPr>
                    <w:t>燃料</w:t>
                  </w:r>
                </w:p>
              </w:tc>
              <w:tc>
                <w:tcPr>
                  <w:tcW w:w="1211" w:type="dxa"/>
                  <w:shd w:val="clear" w:color="auto" w:fill="auto"/>
                  <w:noWrap w:val="0"/>
                  <w:vAlign w:val="center"/>
                </w:tcPr>
                <w:p w14:paraId="507DA1DA">
                  <w:pPr>
                    <w:spacing w:line="240" w:lineRule="exact"/>
                    <w:jc w:val="center"/>
                    <w:rPr>
                      <w:color w:val="auto"/>
                      <w:sz w:val="18"/>
                      <w:szCs w:val="18"/>
                      <w:highlight w:val="none"/>
                    </w:rPr>
                  </w:pPr>
                  <w:r>
                    <w:rPr>
                      <w:rFonts w:hint="eastAsia"/>
                      <w:color w:val="auto"/>
                      <w:sz w:val="18"/>
                      <w:szCs w:val="18"/>
                      <w:highlight w:val="none"/>
                      <w:lang w:val="en-US" w:eastAsia="zh-CN"/>
                    </w:rPr>
                    <w:t>0.1625</w:t>
                  </w:r>
                </w:p>
              </w:tc>
              <w:tc>
                <w:tcPr>
                  <w:tcW w:w="1228" w:type="dxa"/>
                  <w:shd w:val="clear" w:color="auto" w:fill="auto"/>
                  <w:noWrap w:val="0"/>
                  <w:vAlign w:val="center"/>
                </w:tcPr>
                <w:p w14:paraId="77906E22">
                  <w:pPr>
                    <w:spacing w:line="240" w:lineRule="exact"/>
                    <w:jc w:val="center"/>
                    <w:rPr>
                      <w:rFonts w:hint="default"/>
                      <w:color w:val="auto"/>
                      <w:sz w:val="18"/>
                      <w:szCs w:val="18"/>
                      <w:highlight w:val="none"/>
                      <w:lang w:val="en-US"/>
                    </w:rPr>
                  </w:pPr>
                  <w:r>
                    <w:rPr>
                      <w:rFonts w:hint="eastAsia"/>
                      <w:color w:val="auto"/>
                      <w:sz w:val="18"/>
                      <w:szCs w:val="18"/>
                      <w:highlight w:val="none"/>
                      <w:lang w:val="en-US" w:eastAsia="zh-CN"/>
                    </w:rPr>
                    <w:t>0.033</w:t>
                  </w:r>
                </w:p>
              </w:tc>
            </w:tr>
            <w:tr w14:paraId="2C02CFC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PrEx>
              <w:trPr>
                <w:jc w:val="center"/>
              </w:trPr>
              <w:tc>
                <w:tcPr>
                  <w:tcW w:w="1190" w:type="dxa"/>
                  <w:vMerge w:val="continue"/>
                  <w:noWrap w:val="0"/>
                  <w:vAlign w:val="center"/>
                </w:tcPr>
                <w:p w14:paraId="41B6C0C3">
                  <w:pPr>
                    <w:spacing w:line="240" w:lineRule="exact"/>
                    <w:jc w:val="center"/>
                    <w:rPr>
                      <w:color w:val="auto"/>
                      <w:sz w:val="18"/>
                      <w:szCs w:val="18"/>
                      <w:highlight w:val="none"/>
                    </w:rPr>
                  </w:pPr>
                </w:p>
              </w:tc>
              <w:tc>
                <w:tcPr>
                  <w:tcW w:w="1191" w:type="dxa"/>
                  <w:vMerge w:val="continue"/>
                  <w:noWrap w:val="0"/>
                  <w:vAlign w:val="center"/>
                </w:tcPr>
                <w:p w14:paraId="696FD69F">
                  <w:pPr>
                    <w:spacing w:line="240" w:lineRule="exact"/>
                    <w:jc w:val="center"/>
                    <w:rPr>
                      <w:color w:val="auto"/>
                      <w:sz w:val="18"/>
                      <w:szCs w:val="18"/>
                      <w:highlight w:val="none"/>
                    </w:rPr>
                  </w:pPr>
                </w:p>
              </w:tc>
              <w:tc>
                <w:tcPr>
                  <w:tcW w:w="1195" w:type="dxa"/>
                  <w:vMerge w:val="continue"/>
                  <w:noWrap w:val="0"/>
                  <w:vAlign w:val="center"/>
                </w:tcPr>
                <w:p w14:paraId="29920D63">
                  <w:pPr>
                    <w:spacing w:line="240" w:lineRule="exact"/>
                    <w:jc w:val="center"/>
                    <w:rPr>
                      <w:color w:val="auto"/>
                      <w:sz w:val="18"/>
                      <w:szCs w:val="18"/>
                      <w:highlight w:val="none"/>
                    </w:rPr>
                  </w:pPr>
                </w:p>
              </w:tc>
              <w:tc>
                <w:tcPr>
                  <w:tcW w:w="1195" w:type="dxa"/>
                  <w:shd w:val="clear" w:color="auto" w:fill="auto"/>
                  <w:noWrap w:val="0"/>
                  <w:vAlign w:val="center"/>
                </w:tcPr>
                <w:p w14:paraId="4281C6DE">
                  <w:pPr>
                    <w:spacing w:line="240" w:lineRule="exact"/>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烟尘</w:t>
                  </w:r>
                </w:p>
              </w:tc>
              <w:tc>
                <w:tcPr>
                  <w:tcW w:w="1196" w:type="dxa"/>
                  <w:shd w:val="clear" w:color="auto" w:fill="auto"/>
                  <w:noWrap w:val="0"/>
                  <w:vAlign w:val="center"/>
                </w:tcPr>
                <w:p w14:paraId="03468F8E">
                  <w:pPr>
                    <w:spacing w:line="240" w:lineRule="exact"/>
                    <w:jc w:val="center"/>
                    <w:rPr>
                      <w:color w:val="auto"/>
                      <w:sz w:val="18"/>
                      <w:szCs w:val="18"/>
                      <w:highlight w:val="none"/>
                    </w:rPr>
                  </w:pPr>
                  <w:r>
                    <w:rPr>
                      <w:color w:val="auto"/>
                      <w:sz w:val="18"/>
                      <w:szCs w:val="18"/>
                      <w:highlight w:val="none"/>
                    </w:rPr>
                    <w:t>g/m</w:t>
                  </w:r>
                  <w:r>
                    <w:rPr>
                      <w:color w:val="auto"/>
                      <w:sz w:val="18"/>
                      <w:szCs w:val="18"/>
                      <w:highlight w:val="none"/>
                      <w:vertAlign w:val="superscript"/>
                    </w:rPr>
                    <w:t>3</w:t>
                  </w:r>
                  <w:r>
                    <w:rPr>
                      <w:rFonts w:hint="eastAsia"/>
                      <w:color w:val="auto"/>
                      <w:sz w:val="18"/>
                      <w:szCs w:val="18"/>
                      <w:highlight w:val="none"/>
                      <w:lang w:val="en-US" w:eastAsia="zh-CN"/>
                    </w:rPr>
                    <w:t>燃料</w:t>
                  </w:r>
                </w:p>
              </w:tc>
              <w:tc>
                <w:tcPr>
                  <w:tcW w:w="1211" w:type="dxa"/>
                  <w:shd w:val="clear" w:color="auto" w:fill="auto"/>
                  <w:noWrap w:val="0"/>
                  <w:vAlign w:val="center"/>
                </w:tcPr>
                <w:p w14:paraId="5D8BB1EB">
                  <w:pPr>
                    <w:spacing w:line="240" w:lineRule="exact"/>
                    <w:jc w:val="center"/>
                    <w:rPr>
                      <w:color w:val="auto"/>
                      <w:sz w:val="18"/>
                      <w:szCs w:val="18"/>
                      <w:highlight w:val="none"/>
                    </w:rPr>
                  </w:pPr>
                  <w:r>
                    <w:rPr>
                      <w:rFonts w:hint="eastAsia"/>
                      <w:color w:val="auto"/>
                      <w:sz w:val="18"/>
                      <w:szCs w:val="18"/>
                      <w:highlight w:val="none"/>
                      <w:lang w:val="en-US" w:eastAsia="zh-CN"/>
                    </w:rPr>
                    <w:t>2.4446</w:t>
                  </w:r>
                </w:p>
              </w:tc>
              <w:tc>
                <w:tcPr>
                  <w:tcW w:w="1228" w:type="dxa"/>
                  <w:shd w:val="clear" w:color="auto" w:fill="auto"/>
                  <w:noWrap w:val="0"/>
                  <w:vAlign w:val="center"/>
                </w:tcPr>
                <w:p w14:paraId="68BB7E6B">
                  <w:pPr>
                    <w:spacing w:line="240" w:lineRule="exact"/>
                    <w:jc w:val="center"/>
                    <w:rPr>
                      <w:rFonts w:hint="default"/>
                      <w:color w:val="auto"/>
                      <w:sz w:val="18"/>
                      <w:szCs w:val="18"/>
                      <w:highlight w:val="none"/>
                      <w:lang w:val="en-US"/>
                    </w:rPr>
                  </w:pPr>
                  <w:r>
                    <w:rPr>
                      <w:rFonts w:hint="eastAsia"/>
                      <w:color w:val="auto"/>
                      <w:sz w:val="18"/>
                      <w:szCs w:val="18"/>
                      <w:highlight w:val="none"/>
                      <w:lang w:val="en-US" w:eastAsia="zh-CN"/>
                    </w:rPr>
                    <w:t>0.489</w:t>
                  </w:r>
                </w:p>
              </w:tc>
            </w:tr>
          </w:tbl>
          <w:p w14:paraId="7809055A">
            <w:pPr>
              <w:adjustRightInd w:val="0"/>
              <w:snapToGrid w:val="0"/>
              <w:spacing w:line="360" w:lineRule="auto"/>
              <w:ind w:firstLine="420" w:firstLineChars="200"/>
              <w:rPr>
                <w:rFonts w:hint="eastAsia" w:ascii="Times New Roman" w:hAnsi="Times New Roman" w:eastAsia="宋体" w:cs="Times New Roman"/>
                <w:bCs/>
                <w:color w:val="auto"/>
                <w:szCs w:val="21"/>
                <w:highlight w:val="none"/>
                <w:lang w:eastAsia="zh-CN"/>
              </w:rPr>
            </w:pPr>
            <w:r>
              <w:rPr>
                <w:rFonts w:hint="eastAsia" w:cs="Times New Roman" w:eastAsiaTheme="minorEastAsia"/>
                <w:color w:val="auto"/>
                <w:sz w:val="21"/>
                <w:szCs w:val="21"/>
                <w:highlight w:val="none"/>
                <w:lang w:val="en-US" w:eastAsia="zh-CN"/>
              </w:rPr>
              <w:t>现有</w:t>
            </w:r>
            <w:r>
              <w:rPr>
                <w:rFonts w:hint="default" w:ascii="Times New Roman" w:hAnsi="Times New Roman" w:cs="Times New Roman" w:eastAsiaTheme="minorEastAsia"/>
                <w:color w:val="auto"/>
                <w:sz w:val="21"/>
                <w:szCs w:val="21"/>
                <w:highlight w:val="none"/>
                <w:lang w:val="en-US" w:eastAsia="zh-CN"/>
              </w:rPr>
              <w:t>项目</w:t>
            </w:r>
            <w:r>
              <w:rPr>
                <w:rFonts w:hint="eastAsia"/>
                <w:color w:val="auto"/>
                <w:sz w:val="21"/>
                <w:szCs w:val="21"/>
                <w:highlight w:val="none"/>
                <w:lang w:val="en-US" w:eastAsia="zh-CN"/>
              </w:rPr>
              <w:t>烧制工序</w:t>
            </w:r>
            <w:r>
              <w:rPr>
                <w:rFonts w:hint="default" w:ascii="Times New Roman" w:hAnsi="Times New Roman" w:eastAsia="宋体" w:cs="Times New Roman"/>
                <w:color w:val="auto"/>
                <w:sz w:val="21"/>
                <w:szCs w:val="21"/>
                <w:highlight w:val="none"/>
                <w:lang w:val="en-US" w:eastAsia="zh-CN"/>
              </w:rPr>
              <w:t>天然气用量</w:t>
            </w:r>
            <w:r>
              <w:rPr>
                <w:rFonts w:hint="eastAsia" w:cs="Times New Roman"/>
                <w:color w:val="auto"/>
                <w:sz w:val="21"/>
                <w:szCs w:val="21"/>
                <w:highlight w:val="none"/>
                <w:lang w:val="en-US" w:eastAsia="zh-CN"/>
              </w:rPr>
              <w:t>20万</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/a，</w:t>
            </w:r>
            <w:r>
              <w:rPr>
                <w:rFonts w:hint="default" w:ascii="Times New Roman" w:hAnsi="Times New Roman" w:cs="Times New Roman"/>
                <w:color w:val="auto"/>
                <w:sz w:val="21"/>
                <w:szCs w:val="21"/>
                <w:highlight w:val="none"/>
              </w:rPr>
              <w:t>经计算，</w:t>
            </w:r>
            <w:r>
              <w:rPr>
                <w:color w:val="auto"/>
                <w:sz w:val="21"/>
                <w:szCs w:val="21"/>
                <w:highlight w:val="none"/>
              </w:rPr>
              <w:t>颗粒物、SO</w:t>
            </w:r>
            <w:r>
              <w:rPr>
                <w:color w:val="auto"/>
                <w:sz w:val="21"/>
                <w:szCs w:val="21"/>
                <w:highlight w:val="none"/>
                <w:vertAlign w:val="subscript"/>
              </w:rPr>
              <w:t>2</w:t>
            </w:r>
            <w:r>
              <w:rPr>
                <w:color w:val="auto"/>
                <w:sz w:val="21"/>
                <w:szCs w:val="21"/>
                <w:highlight w:val="none"/>
              </w:rPr>
              <w:t>、NO</w:t>
            </w:r>
            <w:r>
              <w:rPr>
                <w:color w:val="auto"/>
                <w:sz w:val="21"/>
                <w:szCs w:val="21"/>
                <w:highlight w:val="none"/>
                <w:vertAlign w:val="subscript"/>
              </w:rPr>
              <w:t>X</w:t>
            </w:r>
            <w:r>
              <w:rPr>
                <w:rFonts w:hint="eastAsia"/>
                <w:color w:val="auto"/>
                <w:sz w:val="21"/>
                <w:szCs w:val="21"/>
                <w:highlight w:val="none"/>
              </w:rPr>
              <w:t>产生量</w:t>
            </w:r>
            <w:r>
              <w:rPr>
                <w:color w:val="auto"/>
                <w:sz w:val="21"/>
                <w:szCs w:val="21"/>
                <w:highlight w:val="none"/>
              </w:rPr>
              <w:t>分别为</w:t>
            </w:r>
            <w:r>
              <w:rPr>
                <w:rFonts w:hint="eastAsia"/>
                <w:color w:val="auto"/>
                <w:sz w:val="21"/>
                <w:szCs w:val="21"/>
                <w:highlight w:val="none"/>
                <w:lang w:val="en-US" w:eastAsia="zh-CN"/>
              </w:rPr>
              <w:t>0.033</w:t>
            </w:r>
            <w:r>
              <w:rPr>
                <w:color w:val="auto"/>
                <w:sz w:val="21"/>
                <w:szCs w:val="21"/>
                <w:highlight w:val="none"/>
              </w:rPr>
              <w:t>t/a、0.</w:t>
            </w:r>
            <w:r>
              <w:rPr>
                <w:rFonts w:hint="eastAsia"/>
                <w:color w:val="auto"/>
                <w:sz w:val="21"/>
                <w:szCs w:val="21"/>
                <w:highlight w:val="none"/>
                <w:lang w:val="en-US" w:eastAsia="zh-CN"/>
              </w:rPr>
              <w:t>033</w:t>
            </w:r>
            <w:r>
              <w:rPr>
                <w:color w:val="auto"/>
                <w:sz w:val="21"/>
                <w:szCs w:val="21"/>
                <w:highlight w:val="none"/>
              </w:rPr>
              <w:t>t/a、</w:t>
            </w:r>
            <w:r>
              <w:rPr>
                <w:rFonts w:hint="eastAsia"/>
                <w:color w:val="auto"/>
                <w:sz w:val="21"/>
                <w:szCs w:val="21"/>
                <w:highlight w:val="none"/>
                <w:lang w:val="en-US" w:eastAsia="zh-CN"/>
              </w:rPr>
              <w:t>0.489</w:t>
            </w:r>
            <w:r>
              <w:rPr>
                <w:color w:val="auto"/>
                <w:sz w:val="21"/>
                <w:szCs w:val="21"/>
                <w:highlight w:val="none"/>
              </w:rPr>
              <w:t>t/a</w:t>
            </w:r>
            <w:r>
              <w:rPr>
                <w:rFonts w:hint="eastAsia"/>
                <w:color w:val="auto"/>
                <w:sz w:val="21"/>
                <w:szCs w:val="21"/>
                <w:highlight w:val="none"/>
                <w:lang w:eastAsia="zh-CN"/>
              </w:rPr>
              <w:t>。</w:t>
            </w:r>
          </w:p>
          <w:p w14:paraId="3CEFD182">
            <w:pPr>
              <w:adjustRightInd w:val="0"/>
              <w:snapToGrid w:val="0"/>
              <w:spacing w:line="360" w:lineRule="auto"/>
              <w:ind w:firstLine="420" w:firstLineChars="200"/>
              <w:rPr>
                <w:rFonts w:hint="eastAsia" w:ascii="Times New Roman" w:hAnsi="Times New Roman" w:cs="Times New Roman"/>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④</w:t>
            </w:r>
            <w:r>
              <w:rPr>
                <w:rFonts w:hint="eastAsia" w:cs="Times New Roman"/>
                <w:color w:val="auto"/>
                <w:sz w:val="21"/>
                <w:szCs w:val="21"/>
                <w:highlight w:val="none"/>
                <w:lang w:val="en-US" w:eastAsia="zh-CN"/>
              </w:rPr>
              <w:t>SNCR脱硝</w:t>
            </w:r>
            <w:r>
              <w:rPr>
                <w:rFonts w:hint="default" w:ascii="Times New Roman" w:hAnsi="Times New Roman" w:cs="Times New Roman"/>
                <w:color w:val="auto"/>
                <w:sz w:val="21"/>
                <w:szCs w:val="21"/>
                <w:highlight w:val="none"/>
                <w:lang w:val="en-US" w:eastAsia="zh-CN"/>
              </w:rPr>
              <w:t>过程未被利用逃逸的氨、臭气浓度</w:t>
            </w:r>
          </w:p>
          <w:p w14:paraId="628221A4">
            <w:pPr>
              <w:adjustRightInd w:val="0"/>
              <w:snapToGrid w:val="0"/>
              <w:spacing w:line="360" w:lineRule="auto"/>
              <w:ind w:firstLine="420" w:firstLineChars="200"/>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SNCR脱硝设施未被利用逃逸出的氨排放量按照《火电厂污染防治可行技术指南》(HJ 2301-2017)，</w:t>
            </w:r>
            <w:r>
              <w:rPr>
                <w:rFonts w:hint="eastAsia" w:cs="Times New Roman"/>
                <w:color w:val="auto"/>
                <w:sz w:val="21"/>
                <w:szCs w:val="21"/>
                <w:highlight w:val="none"/>
                <w:lang w:val="en-US" w:eastAsia="zh-CN"/>
              </w:rPr>
              <w:t>氨逃逸浓度宜小于8mg/m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，本次环评按照8mg/</w:t>
            </w: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计。</w:t>
            </w:r>
            <w:r>
              <w:rPr>
                <w:rFonts w:hint="eastAsia" w:cs="Times New Roman" w:eastAsiaTheme="minorEastAsia"/>
                <w:color w:val="auto"/>
                <w:sz w:val="21"/>
                <w:szCs w:val="21"/>
                <w:highlight w:val="none"/>
                <w:lang w:val="en-US" w:eastAsia="zh-CN"/>
              </w:rPr>
              <w:t>现有</w:t>
            </w:r>
            <w:r>
              <w:rPr>
                <w:rFonts w:hint="default" w:ascii="Times New Roman" w:hAnsi="Times New Roman" w:cs="Times New Roman" w:eastAsiaTheme="minorEastAsia"/>
                <w:color w:val="auto"/>
                <w:sz w:val="21"/>
                <w:szCs w:val="21"/>
                <w:highlight w:val="none"/>
                <w:lang w:val="en-US" w:eastAsia="zh-CN"/>
              </w:rPr>
              <w:t>项目</w:t>
            </w:r>
            <w:r>
              <w:rPr>
                <w:rFonts w:hint="default" w:ascii="Times New Roman" w:hAnsi="Times New Roman" w:cs="Times New Roman"/>
                <w:color w:val="auto"/>
                <w:sz w:val="21"/>
                <w:szCs w:val="21"/>
                <w:highlight w:val="none"/>
                <w:lang w:val="en-US" w:eastAsia="zh-CN"/>
              </w:rPr>
              <w:t>烟气量为</w:t>
            </w:r>
            <w:r>
              <w:rPr>
                <w:rFonts w:hint="eastAsia" w:cs="Times New Roman"/>
                <w:color w:val="auto"/>
                <w:sz w:val="21"/>
                <w:szCs w:val="21"/>
                <w:highlight w:val="none"/>
                <w:lang w:val="en-US" w:eastAsia="zh-CN"/>
              </w:rPr>
              <w:t>2000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cs="Times New Roman"/>
                <w:color w:val="auto"/>
                <w:sz w:val="21"/>
                <w:szCs w:val="21"/>
                <w:highlight w:val="none"/>
                <w:lang w:val="en-US" w:eastAsia="zh-CN"/>
              </w:rPr>
              <w:t>，则氨的排放量为0.</w:t>
            </w:r>
            <w:r>
              <w:rPr>
                <w:rFonts w:hint="eastAsia" w:cs="Times New Roman"/>
                <w:color w:val="auto"/>
                <w:sz w:val="21"/>
                <w:szCs w:val="21"/>
                <w:highlight w:val="none"/>
                <w:lang w:val="en-US" w:eastAsia="zh-CN"/>
              </w:rPr>
              <w:t>115</w:t>
            </w:r>
            <w:r>
              <w:rPr>
                <w:rFonts w:hint="default" w:ascii="Times New Roman" w:hAnsi="Times New Roman" w:cs="Times New Roman"/>
                <w:color w:val="auto"/>
                <w:sz w:val="21"/>
                <w:szCs w:val="21"/>
                <w:highlight w:val="none"/>
                <w:lang w:val="en-US" w:eastAsia="zh-CN"/>
              </w:rPr>
              <w:t>t/a，经计算，氨有组织排放速率为0.0</w:t>
            </w:r>
            <w:r>
              <w:rPr>
                <w:rFonts w:hint="eastAsia" w:cs="Times New Roman"/>
                <w:color w:val="auto"/>
                <w:sz w:val="21"/>
                <w:szCs w:val="21"/>
                <w:highlight w:val="none"/>
                <w:lang w:val="en-US" w:eastAsia="zh-CN"/>
              </w:rPr>
              <w:t>48</w:t>
            </w:r>
            <w:r>
              <w:rPr>
                <w:rFonts w:hint="default" w:ascii="Times New Roman" w:hAnsi="Times New Roman" w:cs="Times New Roman"/>
                <w:color w:val="auto"/>
                <w:sz w:val="21"/>
                <w:szCs w:val="21"/>
                <w:highlight w:val="none"/>
                <w:lang w:val="en-US" w:eastAsia="zh-CN"/>
              </w:rPr>
              <w:t>kg/h</w:t>
            </w:r>
            <w:r>
              <w:rPr>
                <w:rFonts w:hint="eastAsia" w:cs="Times New Roman"/>
                <w:color w:val="auto"/>
                <w:sz w:val="21"/>
                <w:szCs w:val="21"/>
                <w:highlight w:val="none"/>
                <w:lang w:val="en-US" w:eastAsia="zh-CN"/>
              </w:rPr>
              <w:t>，排放浓度为8</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cs="Times New Roman"/>
                <w:color w:val="auto"/>
                <w:sz w:val="21"/>
                <w:szCs w:val="21"/>
                <w:highlight w:val="none"/>
                <w:vertAlign w:val="baseline"/>
                <w:lang w:eastAsia="zh-CN"/>
              </w:rPr>
              <w:t>，</w:t>
            </w:r>
            <w:r>
              <w:rPr>
                <w:rFonts w:hint="eastAsia"/>
                <w:color w:val="auto"/>
                <w:sz w:val="21"/>
                <w:szCs w:val="21"/>
                <w:highlight w:val="none"/>
                <w:lang w:val="en-US" w:eastAsia="zh-CN"/>
              </w:rPr>
              <w:t>臭气浓度小于2000（无量纲</w:t>
            </w:r>
            <w:r>
              <w:rPr>
                <w:color w:val="auto"/>
                <w:sz w:val="21"/>
                <w:szCs w:val="21"/>
                <w:highlight w:val="none"/>
              </w:rPr>
              <w:t>）</w:t>
            </w:r>
            <w:r>
              <w:rPr>
                <w:rFonts w:hint="eastAsia"/>
                <w:color w:val="auto"/>
                <w:sz w:val="21"/>
                <w:szCs w:val="21"/>
                <w:highlight w:val="none"/>
                <w:lang w:eastAsia="zh-CN"/>
              </w:rPr>
              <w:t>。</w:t>
            </w:r>
          </w:p>
          <w:p w14:paraId="2381955E">
            <w:pPr>
              <w:spacing w:line="360" w:lineRule="auto"/>
              <w:ind w:firstLine="420" w:firstLineChars="200"/>
              <w:jc w:val="both"/>
              <w:rPr>
                <w:rFonts w:hint="eastAsia" w:ascii="Times New Roman" w:hAnsi="Times New Roman" w:eastAsia="宋体" w:cs="Times New Roman"/>
                <w:color w:val="auto"/>
                <w:kern w:val="2"/>
                <w:sz w:val="21"/>
                <w:szCs w:val="21"/>
                <w:highlight w:val="none"/>
                <w:lang w:val="en-US" w:eastAsia="zh-CN" w:bidi="ar-SA"/>
              </w:rPr>
            </w:pPr>
            <w:r>
              <w:rPr>
                <w:rFonts w:hint="eastAsia" w:cs="Times New Roman"/>
                <w:bCs/>
                <w:color w:val="auto"/>
                <w:highlight w:val="none"/>
                <w:lang w:val="en-US" w:eastAsia="zh-CN"/>
              </w:rPr>
              <w:t>天然气燃烧产生的废气经SNCR脱硝+布袋除尘器处理后与SNCR脱硝过程未被利用逃逸的氨、臭气浓度一同经15m高排气筒（DA001）</w:t>
            </w:r>
            <w:r>
              <w:rPr>
                <w:rFonts w:hint="eastAsia" w:cs="Times New Roman"/>
                <w:bCs/>
                <w:color w:val="auto"/>
                <w:sz w:val="21"/>
                <w:szCs w:val="21"/>
                <w:highlight w:val="none"/>
                <w:lang w:val="en-US" w:eastAsia="zh-CN"/>
              </w:rPr>
              <w:t>排放</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上料、筛分工序</w:t>
            </w:r>
            <w:r>
              <w:rPr>
                <w:rFonts w:hint="default" w:ascii="Times New Roman" w:hAnsi="Times New Roman" w:cs="Times New Roman"/>
                <w:bCs/>
                <w:color w:val="auto"/>
                <w:sz w:val="21"/>
                <w:szCs w:val="21"/>
                <w:highlight w:val="none"/>
              </w:rPr>
              <w:t>产生的粉尘经</w:t>
            </w:r>
            <w:r>
              <w:rPr>
                <w:rFonts w:hint="eastAsia" w:cs="Times New Roman"/>
                <w:bCs/>
                <w:color w:val="auto"/>
                <w:sz w:val="21"/>
                <w:szCs w:val="21"/>
                <w:highlight w:val="none"/>
                <w:lang w:val="en-US" w:eastAsia="zh-CN"/>
              </w:rPr>
              <w:t>集气罩收集，经布袋除尘器处理后由15m高排气筒（DA002）排放，</w:t>
            </w:r>
            <w:r>
              <w:rPr>
                <w:rFonts w:hint="eastAsia" w:cs="Times New Roman"/>
                <w:color w:val="auto"/>
                <w:sz w:val="21"/>
                <w:szCs w:val="21"/>
                <w:highlight w:val="none"/>
                <w:lang w:val="en-US" w:eastAsia="zh-CN"/>
              </w:rPr>
              <w:t>集气罩</w:t>
            </w:r>
            <w:r>
              <w:rPr>
                <w:rFonts w:hint="default" w:ascii="Times New Roman" w:hAnsi="Times New Roman" w:cs="Times New Roman"/>
                <w:color w:val="auto"/>
                <w:highlight w:val="none"/>
                <w:lang w:val="en-US" w:eastAsia="zh-CN"/>
              </w:rPr>
              <w:t>收集效率为95%</w:t>
            </w:r>
            <w:r>
              <w:rPr>
                <w:rFonts w:hint="eastAsia" w:ascii="Times New Roman" w:hAnsi="Times New Roman" w:cs="Times New Roman"/>
                <w:color w:val="auto"/>
                <w:highlight w:val="none"/>
                <w:lang w:val="en-US" w:eastAsia="zh-CN"/>
              </w:rPr>
              <w:t>，</w:t>
            </w:r>
            <w:r>
              <w:rPr>
                <w:rFonts w:hint="default" w:ascii="Times New Roman" w:hAnsi="Times New Roman" w:cs="Times New Roman"/>
                <w:bCs/>
                <w:color w:val="auto"/>
                <w:sz w:val="21"/>
                <w:szCs w:val="21"/>
                <w:highlight w:val="none"/>
                <w:lang w:val="en-US" w:eastAsia="zh-CN"/>
              </w:rPr>
              <w:t>SNCR脱硝</w:t>
            </w:r>
            <w:r>
              <w:rPr>
                <w:rFonts w:hint="eastAsia" w:cs="Times New Roman"/>
                <w:color w:val="auto"/>
                <w:sz w:val="21"/>
                <w:szCs w:val="21"/>
                <w:highlight w:val="none"/>
                <w:lang w:val="en-US" w:eastAsia="zh-CN"/>
              </w:rPr>
              <w:t>效率按50%，</w:t>
            </w:r>
            <w:r>
              <w:rPr>
                <w:rFonts w:hint="default" w:ascii="Times New Roman" w:hAnsi="Times New Roman" w:cs="Times New Roman"/>
                <w:color w:val="auto"/>
                <w:highlight w:val="none"/>
                <w:lang w:val="en-US" w:eastAsia="zh-CN"/>
              </w:rPr>
              <w:t>布袋除尘器</w:t>
            </w:r>
            <w:r>
              <w:rPr>
                <w:rFonts w:hint="eastAsia" w:ascii="Times New Roman" w:hAnsi="Times New Roman" w:cs="Times New Roman"/>
                <w:color w:val="auto"/>
                <w:highlight w:val="none"/>
                <w:lang w:val="en-US" w:eastAsia="zh-CN"/>
              </w:rPr>
              <w:t>处理效率为98%</w:t>
            </w:r>
            <w:r>
              <w:rPr>
                <w:rFonts w:hint="eastAsia" w:cs="Times New Roman"/>
                <w:color w:val="auto"/>
                <w:highlight w:val="none"/>
                <w:lang w:val="en-US" w:eastAsia="zh-CN"/>
              </w:rPr>
              <w:t>，经计算，DA001排气筒</w:t>
            </w:r>
            <w:r>
              <w:rPr>
                <w:color w:val="auto"/>
                <w:sz w:val="21"/>
                <w:szCs w:val="21"/>
                <w:highlight w:val="none"/>
              </w:rPr>
              <w:t>颗粒物、SO</w:t>
            </w:r>
            <w:r>
              <w:rPr>
                <w:color w:val="auto"/>
                <w:sz w:val="21"/>
                <w:szCs w:val="21"/>
                <w:highlight w:val="none"/>
                <w:vertAlign w:val="subscript"/>
              </w:rPr>
              <w:t>2</w:t>
            </w:r>
            <w:r>
              <w:rPr>
                <w:color w:val="auto"/>
                <w:sz w:val="21"/>
                <w:szCs w:val="21"/>
                <w:highlight w:val="none"/>
              </w:rPr>
              <w:t>、NO</w:t>
            </w:r>
            <w:r>
              <w:rPr>
                <w:color w:val="auto"/>
                <w:sz w:val="21"/>
                <w:szCs w:val="21"/>
                <w:highlight w:val="none"/>
                <w:vertAlign w:val="subscript"/>
              </w:rPr>
              <w:t>X</w:t>
            </w:r>
            <w:r>
              <w:rPr>
                <w:rFonts w:hint="eastAsia"/>
                <w:color w:val="auto"/>
                <w:sz w:val="21"/>
                <w:szCs w:val="21"/>
                <w:highlight w:val="none"/>
                <w:lang w:val="en-US" w:eastAsia="zh-CN"/>
              </w:rPr>
              <w:t>有组织排放</w:t>
            </w:r>
            <w:r>
              <w:rPr>
                <w:rFonts w:hint="eastAsia"/>
                <w:color w:val="auto"/>
                <w:sz w:val="21"/>
                <w:szCs w:val="21"/>
                <w:highlight w:val="none"/>
              </w:rPr>
              <w:t>量</w:t>
            </w:r>
            <w:r>
              <w:rPr>
                <w:color w:val="auto"/>
                <w:sz w:val="21"/>
                <w:szCs w:val="21"/>
                <w:highlight w:val="none"/>
              </w:rPr>
              <w:t>分别为</w:t>
            </w:r>
            <w:r>
              <w:rPr>
                <w:rFonts w:hint="eastAsia"/>
                <w:color w:val="auto"/>
                <w:sz w:val="21"/>
                <w:szCs w:val="21"/>
                <w:highlight w:val="none"/>
                <w:lang w:val="en-US" w:eastAsia="zh-CN"/>
              </w:rPr>
              <w:t>0.001</w:t>
            </w:r>
            <w:r>
              <w:rPr>
                <w:color w:val="auto"/>
                <w:sz w:val="21"/>
                <w:szCs w:val="21"/>
                <w:highlight w:val="none"/>
              </w:rPr>
              <w:t>t/a、0.</w:t>
            </w:r>
            <w:r>
              <w:rPr>
                <w:rFonts w:hint="eastAsia"/>
                <w:color w:val="auto"/>
                <w:sz w:val="21"/>
                <w:szCs w:val="21"/>
                <w:highlight w:val="none"/>
                <w:lang w:val="en-US" w:eastAsia="zh-CN"/>
              </w:rPr>
              <w:t>033</w:t>
            </w:r>
            <w:r>
              <w:rPr>
                <w:color w:val="auto"/>
                <w:sz w:val="21"/>
                <w:szCs w:val="21"/>
                <w:highlight w:val="none"/>
              </w:rPr>
              <w:t>t/a、</w:t>
            </w:r>
            <w:r>
              <w:rPr>
                <w:rFonts w:hint="eastAsia"/>
                <w:color w:val="auto"/>
                <w:sz w:val="21"/>
                <w:szCs w:val="21"/>
                <w:highlight w:val="none"/>
                <w:lang w:val="en-US" w:eastAsia="zh-CN"/>
              </w:rPr>
              <w:t>0.245</w:t>
            </w:r>
            <w:r>
              <w:rPr>
                <w:color w:val="auto"/>
                <w:sz w:val="21"/>
                <w:szCs w:val="21"/>
                <w:highlight w:val="none"/>
              </w:rPr>
              <w:t>t/a</w:t>
            </w:r>
            <w:r>
              <w:rPr>
                <w:rFonts w:hint="eastAsia"/>
                <w:color w:val="auto"/>
                <w:sz w:val="21"/>
                <w:szCs w:val="21"/>
                <w:highlight w:val="none"/>
                <w:lang w:eastAsia="zh-CN"/>
              </w:rPr>
              <w:t>，</w:t>
            </w:r>
            <w:r>
              <w:rPr>
                <w:rFonts w:hint="eastAsia" w:cs="Times New Roman"/>
                <w:color w:val="auto"/>
                <w:highlight w:val="none"/>
                <w:lang w:val="en-US" w:eastAsia="zh-CN"/>
              </w:rPr>
              <w:t>DA001排气筒</w:t>
            </w:r>
            <w:r>
              <w:rPr>
                <w:color w:val="auto"/>
                <w:sz w:val="21"/>
                <w:szCs w:val="21"/>
                <w:highlight w:val="none"/>
              </w:rPr>
              <w:t>颗粒物</w:t>
            </w:r>
            <w:r>
              <w:rPr>
                <w:rFonts w:hint="eastAsia"/>
                <w:color w:val="auto"/>
                <w:sz w:val="21"/>
                <w:szCs w:val="21"/>
                <w:highlight w:val="none"/>
                <w:lang w:val="en-US" w:eastAsia="zh-CN"/>
              </w:rPr>
              <w:t>有组织排放</w:t>
            </w:r>
            <w:r>
              <w:rPr>
                <w:rFonts w:hint="eastAsia"/>
                <w:color w:val="auto"/>
                <w:sz w:val="21"/>
                <w:szCs w:val="21"/>
                <w:highlight w:val="none"/>
              </w:rPr>
              <w:t>量</w:t>
            </w:r>
            <w:r>
              <w:rPr>
                <w:color w:val="auto"/>
                <w:sz w:val="21"/>
                <w:szCs w:val="21"/>
                <w:highlight w:val="none"/>
              </w:rPr>
              <w:t>为</w:t>
            </w:r>
            <w:r>
              <w:rPr>
                <w:rFonts w:hint="eastAsia"/>
                <w:color w:val="auto"/>
                <w:sz w:val="21"/>
                <w:szCs w:val="21"/>
                <w:highlight w:val="none"/>
                <w:lang w:val="en-US" w:eastAsia="zh-CN"/>
              </w:rPr>
              <w:t>0.033</w:t>
            </w:r>
            <w:r>
              <w:rPr>
                <w:color w:val="auto"/>
                <w:sz w:val="21"/>
                <w:szCs w:val="21"/>
                <w:highlight w:val="none"/>
              </w:rPr>
              <w:t>t/a</w:t>
            </w:r>
            <w:r>
              <w:rPr>
                <w:rFonts w:hint="eastAsia" w:cs="Times New Roman"/>
                <w:bCs/>
                <w:color w:val="auto"/>
                <w:sz w:val="21"/>
                <w:szCs w:val="21"/>
                <w:highlight w:val="none"/>
                <w:lang w:val="en-US" w:eastAsia="zh-CN"/>
              </w:rPr>
              <w:t>。颗粒物无组织排放量为0.086</w:t>
            </w:r>
            <w:r>
              <w:rPr>
                <w:color w:val="auto"/>
                <w:sz w:val="21"/>
                <w:szCs w:val="21"/>
                <w:highlight w:val="none"/>
              </w:rPr>
              <w:t>t/a</w:t>
            </w:r>
            <w:r>
              <w:rPr>
                <w:rFonts w:hint="eastAsia"/>
                <w:color w:val="auto"/>
                <w:sz w:val="21"/>
                <w:szCs w:val="21"/>
                <w:highlight w:val="none"/>
                <w:lang w:eastAsia="zh-CN"/>
              </w:rPr>
              <w:t>。</w:t>
            </w:r>
          </w:p>
          <w:p w14:paraId="516F6ACC">
            <w:pPr>
              <w:pStyle w:val="3"/>
              <w:spacing w:after="0" w:line="360" w:lineRule="auto"/>
              <w:ind w:left="0" w:leftChars="0" w:firstLine="420" w:firstLineChars="200"/>
              <w:rPr>
                <w:rFonts w:hint="default" w:ascii="Times New Roman" w:hAnsi="Times New Roman" w:cs="Times New Roman"/>
                <w:color w:val="auto"/>
                <w:sz w:val="21"/>
                <w:szCs w:val="16"/>
                <w:highlight w:val="none"/>
              </w:rPr>
            </w:pPr>
            <w:r>
              <w:rPr>
                <w:rFonts w:hint="default" w:ascii="Times New Roman" w:hAnsi="Times New Roman" w:cs="Times New Roman"/>
                <w:color w:val="auto"/>
                <w:sz w:val="21"/>
                <w:szCs w:val="16"/>
                <w:highlight w:val="none"/>
              </w:rPr>
              <w:t>2、废水</w:t>
            </w:r>
          </w:p>
          <w:p w14:paraId="053D53A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现有</w:t>
            </w: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eastAsia="zh-CN"/>
              </w:rPr>
              <w:t>废水主要为生活污水</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经</w:t>
            </w:r>
            <w:r>
              <w:rPr>
                <w:rFonts w:hint="eastAsia" w:cs="Times New Roman"/>
                <w:color w:val="auto"/>
                <w:sz w:val="21"/>
                <w:szCs w:val="21"/>
                <w:highlight w:val="none"/>
                <w:lang w:eastAsia="zh-CN"/>
              </w:rPr>
              <w:t>化粪池处理后由环卫部门定期清运。</w:t>
            </w:r>
            <w:r>
              <w:rPr>
                <w:rFonts w:hint="eastAsia" w:cs="Times New Roman"/>
                <w:color w:val="auto"/>
                <w:sz w:val="21"/>
                <w:szCs w:val="21"/>
                <w:highlight w:val="none"/>
                <w:lang w:val="en-US" w:eastAsia="zh-CN"/>
              </w:rPr>
              <w:t>搅拌</w:t>
            </w:r>
            <w:r>
              <w:rPr>
                <w:rFonts w:hint="eastAsia" w:cs="Times New Roman"/>
                <w:color w:val="auto"/>
                <w:sz w:val="21"/>
                <w:szCs w:val="21"/>
                <w:highlight w:val="none"/>
                <w:lang w:eastAsia="zh-CN"/>
              </w:rPr>
              <w:t>用水、氨水稀释用水、</w:t>
            </w:r>
            <w:r>
              <w:rPr>
                <w:rFonts w:hint="eastAsia" w:cs="Times New Roman"/>
                <w:color w:val="auto"/>
                <w:sz w:val="21"/>
                <w:szCs w:val="21"/>
                <w:highlight w:val="none"/>
                <w:lang w:val="en-US" w:eastAsia="zh-CN"/>
              </w:rPr>
              <w:t>打磨用水</w:t>
            </w:r>
            <w:r>
              <w:rPr>
                <w:rFonts w:hint="eastAsia" w:cs="Times New Roman"/>
                <w:color w:val="auto"/>
                <w:sz w:val="21"/>
                <w:szCs w:val="21"/>
                <w:highlight w:val="none"/>
                <w:lang w:val="en-US" w:eastAsia="zh-CN"/>
              </w:rPr>
              <w:t>全部蒸发损耗，不外排。</w:t>
            </w:r>
          </w:p>
          <w:p w14:paraId="731A5CC7">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3、噪声</w:t>
            </w:r>
            <w:bookmarkStart w:id="1" w:name="_GoBack"/>
            <w:bookmarkEnd w:id="1"/>
          </w:p>
          <w:p w14:paraId="7FD00947">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现有</w:t>
            </w:r>
            <w:r>
              <w:rPr>
                <w:rFonts w:hint="default" w:ascii="Times New Roman" w:hAnsi="Times New Roman" w:eastAsia="宋体" w:cs="Times New Roman"/>
                <w:color w:val="auto"/>
                <w:sz w:val="21"/>
                <w:szCs w:val="21"/>
                <w:highlight w:val="none"/>
              </w:rPr>
              <w:t>项目噪声主要为</w:t>
            </w:r>
            <w:r>
              <w:rPr>
                <w:rFonts w:hint="eastAsia" w:cs="Times New Roman"/>
                <w:color w:val="auto"/>
                <w:sz w:val="21"/>
                <w:szCs w:val="21"/>
                <w:highlight w:val="none"/>
                <w:lang w:val="en-US" w:eastAsia="zh-CN"/>
              </w:rPr>
              <w:t>真空搅拌机、振动筛、真空泵、隔膜泵</w:t>
            </w:r>
            <w:r>
              <w:rPr>
                <w:rFonts w:hint="default" w:ascii="Times New Roman" w:hAnsi="Times New Roman" w:eastAsia="宋体" w:cs="Times New Roman"/>
                <w:color w:val="auto"/>
                <w:sz w:val="21"/>
                <w:szCs w:val="21"/>
                <w:highlight w:val="none"/>
              </w:rPr>
              <w:t>及环保设备配套风机等设备所产生的噪声。项目机械设备均安装在室内，车间通过采取减震及加强厂区厂界绿化、加强车间管理等措施，可以有效地降低设备噪声对周围环境的影响</w:t>
            </w:r>
            <w:r>
              <w:rPr>
                <w:rFonts w:hint="default" w:ascii="Times New Roman" w:hAnsi="Times New Roman" w:eastAsia="宋体" w:cs="Times New Roman"/>
                <w:color w:val="auto"/>
                <w:sz w:val="21"/>
                <w:szCs w:val="21"/>
                <w:highlight w:val="none"/>
                <w:lang w:eastAsia="zh-CN"/>
              </w:rPr>
              <w:t>。</w:t>
            </w:r>
          </w:p>
          <w:p w14:paraId="727B5339">
            <w:pPr>
              <w:pStyle w:val="10"/>
              <w:adjustRightInd w:val="0"/>
              <w:snapToGrid w:val="0"/>
              <w:spacing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4、固废</w:t>
            </w:r>
          </w:p>
          <w:p w14:paraId="30FB5A3B">
            <w:pPr>
              <w:adjustRightInd w:val="0"/>
              <w:snapToGrid w:val="0"/>
              <w:spacing w:line="360" w:lineRule="auto"/>
              <w:ind w:firstLine="420" w:firstLineChars="200"/>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固体废物主要包括职工生活垃圾、废包装袋、废石膏模具</w:t>
            </w:r>
            <w:r>
              <w:rPr>
                <w:rFonts w:hint="eastAsia" w:cs="Times New Roman"/>
                <w:color w:val="auto"/>
                <w:kern w:val="2"/>
                <w:sz w:val="21"/>
                <w:szCs w:val="21"/>
                <w:highlight w:val="none"/>
                <w:lang w:val="en-US" w:eastAsia="zh-CN" w:bidi="ar-SA"/>
              </w:rPr>
              <w:t>、废布袋、筛分废料</w:t>
            </w:r>
            <w:r>
              <w:rPr>
                <w:rFonts w:hint="eastAsia" w:ascii="Times New Roman" w:hAnsi="Times New Roman" w:cs="Times New Roman"/>
                <w:color w:val="auto"/>
                <w:kern w:val="2"/>
                <w:sz w:val="21"/>
                <w:szCs w:val="21"/>
                <w:highlight w:val="none"/>
                <w:lang w:val="en-US" w:eastAsia="zh-CN" w:bidi="ar-SA"/>
              </w:rPr>
              <w:t>、布袋除尘器收集的粉尘、沉淀池泥浆及不合格品</w:t>
            </w:r>
            <w:r>
              <w:rPr>
                <w:rFonts w:hint="eastAsia" w:cs="Times New Roman"/>
                <w:color w:val="auto"/>
                <w:kern w:val="2"/>
                <w:sz w:val="21"/>
                <w:szCs w:val="21"/>
                <w:highlight w:val="none"/>
                <w:lang w:val="en-US" w:eastAsia="zh-CN" w:bidi="ar-SA"/>
              </w:rPr>
              <w:t>、废润滑油及废油桶</w:t>
            </w:r>
            <w:r>
              <w:rPr>
                <w:rFonts w:hint="eastAsia" w:ascii="Times New Roman" w:hAnsi="Times New Roman" w:cs="Times New Roman"/>
                <w:color w:val="auto"/>
                <w:kern w:val="2"/>
                <w:sz w:val="21"/>
                <w:szCs w:val="21"/>
                <w:highlight w:val="none"/>
                <w:lang w:val="en-US" w:eastAsia="zh-CN" w:bidi="ar-SA"/>
              </w:rPr>
              <w:t>。</w:t>
            </w:r>
          </w:p>
          <w:p w14:paraId="3933A2B3">
            <w:pPr>
              <w:adjustRightInd w:val="0"/>
              <w:snapToGrid w:val="0"/>
              <w:spacing w:line="360" w:lineRule="auto"/>
              <w:ind w:firstLine="420" w:firstLineChars="200"/>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（1）废包装袋产生量为3t/a，经收集后暂存于一般固废暂存处，定期外卖。</w:t>
            </w:r>
          </w:p>
          <w:p w14:paraId="041182A2">
            <w:pPr>
              <w:adjustRightInd w:val="0"/>
              <w:snapToGrid w:val="0"/>
              <w:spacing w:line="360" w:lineRule="auto"/>
              <w:ind w:firstLine="420" w:firstLineChars="200"/>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（2）废旧石膏模具约 4</w:t>
            </w:r>
            <w:r>
              <w:rPr>
                <w:rFonts w:hint="eastAsia" w:cs="Times New Roman"/>
                <w:color w:val="auto"/>
                <w:kern w:val="2"/>
                <w:sz w:val="21"/>
                <w:szCs w:val="21"/>
                <w:highlight w:val="none"/>
                <w:lang w:val="en-US" w:eastAsia="zh-CN" w:bidi="ar-SA"/>
              </w:rPr>
              <w:t>0</w:t>
            </w:r>
            <w:r>
              <w:rPr>
                <w:rFonts w:hint="eastAsia" w:ascii="Times New Roman" w:hAnsi="Times New Roman" w:cs="Times New Roman"/>
                <w:color w:val="auto"/>
                <w:kern w:val="2"/>
                <w:sz w:val="21"/>
                <w:szCs w:val="21"/>
                <w:highlight w:val="none"/>
                <w:lang w:val="en-US" w:eastAsia="zh-CN" w:bidi="ar-SA"/>
              </w:rPr>
              <w:t>0t/a，作为建材原料外卖处理。</w:t>
            </w:r>
          </w:p>
          <w:p w14:paraId="741A81DD">
            <w:pPr>
              <w:adjustRightInd w:val="0"/>
              <w:snapToGrid w:val="0"/>
              <w:spacing w:line="360" w:lineRule="auto"/>
              <w:ind w:firstLine="420" w:firstLineChars="200"/>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（3）废布袋：废布袋产生量为0.2</w:t>
            </w:r>
            <w:r>
              <w:rPr>
                <w:rFonts w:hint="eastAsia" w:ascii="Times New Roman" w:hAnsi="Times New Roman" w:cs="Times New Roman"/>
                <w:color w:val="auto"/>
                <w:kern w:val="2"/>
                <w:sz w:val="21"/>
                <w:szCs w:val="21"/>
                <w:highlight w:val="none"/>
                <w:lang w:val="en-US" w:eastAsia="zh-CN" w:bidi="ar-SA"/>
              </w:rPr>
              <w:t>t/a，经收集后暂存于一般固废暂存处，定期外卖</w:t>
            </w:r>
            <w:r>
              <w:rPr>
                <w:rFonts w:hint="eastAsia" w:cs="Times New Roman"/>
                <w:color w:val="auto"/>
                <w:kern w:val="2"/>
                <w:sz w:val="21"/>
                <w:szCs w:val="21"/>
                <w:highlight w:val="none"/>
                <w:lang w:val="en-US" w:eastAsia="zh-CN" w:bidi="ar-SA"/>
              </w:rPr>
              <w:t>。</w:t>
            </w:r>
          </w:p>
          <w:p w14:paraId="7FA04644">
            <w:pPr>
              <w:adjustRightInd w:val="0"/>
              <w:snapToGrid w:val="0"/>
              <w:spacing w:line="360" w:lineRule="auto"/>
              <w:ind w:firstLine="420" w:firstLineChars="200"/>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（4）筛分废料：筛分废料产生量按原料的1%，约为15</w:t>
            </w:r>
            <w:r>
              <w:rPr>
                <w:rFonts w:hint="eastAsia" w:ascii="Times New Roman" w:hAnsi="Times New Roman" w:cs="Times New Roman"/>
                <w:color w:val="auto"/>
                <w:kern w:val="2"/>
                <w:sz w:val="21"/>
                <w:szCs w:val="21"/>
                <w:highlight w:val="none"/>
                <w:lang w:val="en-US" w:eastAsia="zh-CN" w:bidi="ar-SA"/>
              </w:rPr>
              <w:t>t/a，经收集后暂存于一般固废暂存处，定期外卖</w:t>
            </w:r>
            <w:r>
              <w:rPr>
                <w:rFonts w:hint="eastAsia" w:cs="Times New Roman"/>
                <w:color w:val="auto"/>
                <w:kern w:val="2"/>
                <w:sz w:val="21"/>
                <w:szCs w:val="21"/>
                <w:highlight w:val="none"/>
                <w:lang w:val="en-US" w:eastAsia="zh-CN" w:bidi="ar-SA"/>
              </w:rPr>
              <w:t>。</w:t>
            </w:r>
          </w:p>
          <w:p w14:paraId="6D948E7E">
            <w:pPr>
              <w:adjustRightInd w:val="0"/>
              <w:snapToGrid w:val="0"/>
              <w:spacing w:line="360" w:lineRule="auto"/>
              <w:ind w:firstLine="420" w:firstLineChars="200"/>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5</w:t>
            </w:r>
            <w:r>
              <w:rPr>
                <w:rFonts w:hint="eastAsia" w:ascii="Times New Roman" w:hAnsi="Times New Roman" w:cs="Times New Roman"/>
                <w:color w:val="auto"/>
                <w:kern w:val="2"/>
                <w:sz w:val="21"/>
                <w:szCs w:val="21"/>
                <w:highlight w:val="none"/>
                <w:lang w:val="en-US" w:eastAsia="zh-CN" w:bidi="ar-SA"/>
              </w:rPr>
              <w:t>）布袋除尘器收集的粉尘，约</w:t>
            </w:r>
            <w:r>
              <w:rPr>
                <w:rFonts w:hint="eastAsia" w:cs="Times New Roman"/>
                <w:color w:val="auto"/>
                <w:kern w:val="2"/>
                <w:sz w:val="21"/>
                <w:szCs w:val="21"/>
                <w:highlight w:val="none"/>
                <w:lang w:val="en-US" w:eastAsia="zh-CN" w:bidi="ar-SA"/>
              </w:rPr>
              <w:t>1.638</w:t>
            </w:r>
            <w:r>
              <w:rPr>
                <w:rFonts w:hint="eastAsia" w:ascii="Times New Roman" w:hAnsi="Times New Roman" w:cs="Times New Roman"/>
                <w:color w:val="auto"/>
                <w:kern w:val="2"/>
                <w:sz w:val="21"/>
                <w:szCs w:val="21"/>
                <w:highlight w:val="none"/>
                <w:lang w:val="en-US" w:eastAsia="zh-CN" w:bidi="ar-SA"/>
              </w:rPr>
              <w:t>t/a，经收集后暂存于一般固废暂存处，定期外卖。</w:t>
            </w:r>
          </w:p>
          <w:p w14:paraId="0FD72330">
            <w:pPr>
              <w:adjustRightInd w:val="0"/>
              <w:snapToGrid w:val="0"/>
              <w:spacing w:line="360" w:lineRule="auto"/>
              <w:ind w:firstLine="420" w:firstLineChars="200"/>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6</w:t>
            </w:r>
            <w:r>
              <w:rPr>
                <w:rFonts w:hint="eastAsia" w:ascii="Times New Roman" w:hAnsi="Times New Roman" w:cs="Times New Roman"/>
                <w:color w:val="auto"/>
                <w:kern w:val="2"/>
                <w:sz w:val="21"/>
                <w:szCs w:val="21"/>
                <w:highlight w:val="none"/>
                <w:lang w:val="en-US" w:eastAsia="zh-CN" w:bidi="ar-SA"/>
              </w:rPr>
              <w:t>）沉淀池泥浆</w:t>
            </w:r>
            <w:r>
              <w:rPr>
                <w:rFonts w:hint="eastAsia" w:cs="Times New Roman"/>
                <w:color w:val="auto"/>
                <w:kern w:val="2"/>
                <w:sz w:val="21"/>
                <w:szCs w:val="21"/>
                <w:highlight w:val="none"/>
                <w:lang w:val="en-US" w:eastAsia="zh-CN" w:bidi="ar-SA"/>
              </w:rPr>
              <w:t>：产生量</w:t>
            </w:r>
            <w:r>
              <w:rPr>
                <w:rFonts w:hint="eastAsia" w:ascii="Times New Roman" w:hAnsi="Times New Roman" w:cs="Times New Roman"/>
                <w:color w:val="auto"/>
                <w:kern w:val="2"/>
                <w:sz w:val="21"/>
                <w:szCs w:val="21"/>
                <w:highlight w:val="none"/>
                <w:lang w:val="en-US" w:eastAsia="zh-CN" w:bidi="ar-SA"/>
              </w:rPr>
              <w:t>约 600</w:t>
            </w:r>
            <w:r>
              <w:rPr>
                <w:rFonts w:hint="eastAsia" w:cs="Times New Roman"/>
                <w:color w:val="auto"/>
                <w:kern w:val="2"/>
                <w:sz w:val="21"/>
                <w:szCs w:val="21"/>
                <w:highlight w:val="none"/>
                <w:lang w:val="en-US" w:eastAsia="zh-CN" w:bidi="ar-SA"/>
              </w:rPr>
              <w:t>t</w:t>
            </w:r>
            <w:r>
              <w:rPr>
                <w:rFonts w:hint="eastAsia" w:ascii="Times New Roman" w:hAnsi="Times New Roman" w:cs="Times New Roman"/>
                <w:color w:val="auto"/>
                <w:kern w:val="2"/>
                <w:sz w:val="21"/>
                <w:szCs w:val="21"/>
                <w:highlight w:val="none"/>
                <w:lang w:val="en-US" w:eastAsia="zh-CN" w:bidi="ar-SA"/>
              </w:rPr>
              <w:t>/a，经收集后暂存于一般固废暂存处，定期外卖。</w:t>
            </w:r>
          </w:p>
          <w:p w14:paraId="302DA828">
            <w:pPr>
              <w:adjustRightInd w:val="0"/>
              <w:snapToGrid w:val="0"/>
              <w:spacing w:line="360" w:lineRule="auto"/>
              <w:ind w:firstLine="420" w:firstLineChars="200"/>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7</w:t>
            </w:r>
            <w:r>
              <w:rPr>
                <w:rFonts w:hint="eastAsia" w:ascii="Times New Roman" w:hAnsi="Times New Roman" w:cs="Times New Roman"/>
                <w:color w:val="auto"/>
                <w:kern w:val="2"/>
                <w:sz w:val="21"/>
                <w:szCs w:val="21"/>
                <w:highlight w:val="none"/>
                <w:lang w:val="en-US" w:eastAsia="zh-CN" w:bidi="ar-SA"/>
              </w:rPr>
              <w:t>）不合格产品</w:t>
            </w:r>
            <w:r>
              <w:rPr>
                <w:rFonts w:hint="eastAsia" w:cs="Times New Roman"/>
                <w:color w:val="auto"/>
                <w:kern w:val="2"/>
                <w:sz w:val="21"/>
                <w:szCs w:val="21"/>
                <w:highlight w:val="none"/>
                <w:lang w:val="en-US" w:eastAsia="zh-CN" w:bidi="ar-SA"/>
              </w:rPr>
              <w:t>：</w:t>
            </w:r>
            <w:r>
              <w:rPr>
                <w:rFonts w:hint="eastAsia" w:ascii="Times New Roman" w:hAnsi="Times New Roman" w:cs="Times New Roman"/>
                <w:color w:val="auto"/>
                <w:kern w:val="2"/>
                <w:sz w:val="21"/>
                <w:szCs w:val="21"/>
                <w:highlight w:val="none"/>
                <w:lang w:val="en-US" w:eastAsia="zh-CN" w:bidi="ar-SA"/>
              </w:rPr>
              <w:t>废品率按 5%计，约</w:t>
            </w:r>
            <w:r>
              <w:rPr>
                <w:rFonts w:hint="eastAsia" w:cs="Times New Roman"/>
                <w:color w:val="auto"/>
                <w:kern w:val="2"/>
                <w:sz w:val="21"/>
                <w:szCs w:val="21"/>
                <w:highlight w:val="none"/>
                <w:lang w:val="en-US" w:eastAsia="zh-CN" w:bidi="ar-SA"/>
              </w:rPr>
              <w:t>4</w:t>
            </w:r>
            <w:r>
              <w:rPr>
                <w:rFonts w:hint="eastAsia" w:ascii="Times New Roman" w:hAnsi="Times New Roman" w:cs="Times New Roman"/>
                <w:color w:val="auto"/>
                <w:kern w:val="2"/>
                <w:sz w:val="21"/>
                <w:szCs w:val="21"/>
                <w:highlight w:val="none"/>
                <w:lang w:val="en-US" w:eastAsia="zh-CN" w:bidi="ar-SA"/>
              </w:rPr>
              <w:t>5t/a，不合格品外卖处理。</w:t>
            </w:r>
          </w:p>
          <w:p w14:paraId="54E120E0">
            <w:pPr>
              <w:adjustRightInd w:val="0"/>
              <w:snapToGrid w:val="0"/>
              <w:spacing w:line="360" w:lineRule="auto"/>
              <w:ind w:firstLine="420" w:firstLineChars="200"/>
              <w:rPr>
                <w:rFonts w:hint="eastAsia"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8</w:t>
            </w:r>
            <w:r>
              <w:rPr>
                <w:rFonts w:hint="eastAsia" w:ascii="Times New Roman" w:hAnsi="Times New Roman" w:cs="Times New Roman"/>
                <w:color w:val="auto"/>
                <w:kern w:val="2"/>
                <w:sz w:val="21"/>
                <w:szCs w:val="21"/>
                <w:highlight w:val="none"/>
                <w:lang w:val="en-US" w:eastAsia="zh-CN" w:bidi="ar-SA"/>
              </w:rPr>
              <w:t>）职工生活垃圾，</w:t>
            </w:r>
            <w:r>
              <w:rPr>
                <w:rFonts w:hint="eastAsia" w:cs="Times New Roman"/>
                <w:color w:val="auto"/>
                <w:kern w:val="2"/>
                <w:sz w:val="21"/>
                <w:szCs w:val="21"/>
                <w:highlight w:val="none"/>
                <w:lang w:val="en-US" w:eastAsia="zh-CN" w:bidi="ar-SA"/>
              </w:rPr>
              <w:t>现有</w:t>
            </w:r>
            <w:r>
              <w:rPr>
                <w:rFonts w:hint="eastAsia" w:ascii="Times New Roman" w:hAnsi="Times New Roman" w:cs="Times New Roman"/>
                <w:color w:val="auto"/>
                <w:kern w:val="2"/>
                <w:sz w:val="21"/>
                <w:szCs w:val="21"/>
                <w:highlight w:val="none"/>
                <w:lang w:val="en-US" w:eastAsia="zh-CN" w:bidi="ar-SA"/>
              </w:rPr>
              <w:t>项目职工</w:t>
            </w:r>
            <w:r>
              <w:rPr>
                <w:rFonts w:hint="eastAsia" w:cs="Times New Roman"/>
                <w:color w:val="auto"/>
                <w:kern w:val="2"/>
                <w:sz w:val="21"/>
                <w:szCs w:val="21"/>
                <w:highlight w:val="none"/>
                <w:lang w:val="en-US" w:eastAsia="zh-CN" w:bidi="ar-SA"/>
              </w:rPr>
              <w:t>5</w:t>
            </w:r>
            <w:r>
              <w:rPr>
                <w:rFonts w:hint="eastAsia" w:ascii="Times New Roman" w:hAnsi="Times New Roman" w:cs="Times New Roman"/>
                <w:color w:val="auto"/>
                <w:kern w:val="2"/>
                <w:sz w:val="21"/>
                <w:szCs w:val="21"/>
                <w:highlight w:val="none"/>
                <w:lang w:val="en-US" w:eastAsia="zh-CN" w:bidi="ar-SA"/>
              </w:rPr>
              <w:t xml:space="preserve">0人，生活垃圾产生量按 0.5kg/d 人，则职工生活垃圾产生量为 </w:t>
            </w:r>
            <w:r>
              <w:rPr>
                <w:rFonts w:hint="eastAsia" w:cs="Times New Roman"/>
                <w:color w:val="auto"/>
                <w:kern w:val="2"/>
                <w:sz w:val="21"/>
                <w:szCs w:val="21"/>
                <w:highlight w:val="none"/>
                <w:lang w:val="en-US" w:eastAsia="zh-CN" w:bidi="ar-SA"/>
              </w:rPr>
              <w:t>7.</w:t>
            </w:r>
            <w:r>
              <w:rPr>
                <w:rFonts w:hint="eastAsia" w:ascii="Times New Roman" w:hAnsi="Times New Roman" w:cs="Times New Roman"/>
                <w:color w:val="auto"/>
                <w:kern w:val="2"/>
                <w:sz w:val="21"/>
                <w:szCs w:val="21"/>
                <w:highlight w:val="none"/>
                <w:lang w:val="en-US" w:eastAsia="zh-CN" w:bidi="ar-SA"/>
              </w:rPr>
              <w:t>5t/a，均由环卫部门定期清理外运</w:t>
            </w:r>
            <w:r>
              <w:rPr>
                <w:rFonts w:hint="eastAsia" w:cs="Times New Roman"/>
                <w:color w:val="auto"/>
                <w:kern w:val="2"/>
                <w:sz w:val="21"/>
                <w:szCs w:val="21"/>
                <w:highlight w:val="none"/>
                <w:lang w:val="en-US" w:eastAsia="zh-CN" w:bidi="ar-SA"/>
              </w:rPr>
              <w:t>。</w:t>
            </w:r>
          </w:p>
          <w:p w14:paraId="789F957A">
            <w:pPr>
              <w:adjustRightInd w:val="0"/>
              <w:snapToGrid w:val="0"/>
              <w:spacing w:line="360" w:lineRule="auto"/>
              <w:ind w:firstLine="420" w:firstLineChars="200"/>
              <w:rPr>
                <w:rFonts w:hint="eastAsia"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（9）废润滑油及废油桶：润滑油用量为2t/a，废润滑油产生量按用量的10%，约为0.2t/a，废油桶产生量为1.44t/a，则</w:t>
            </w:r>
            <w:r>
              <w:rPr>
                <w:rFonts w:hint="eastAsia" w:cs="Times New Roman"/>
                <w:color w:val="auto"/>
                <w:highlight w:val="none"/>
                <w:lang w:val="en-US" w:eastAsia="zh-CN"/>
              </w:rPr>
              <w:t>废润滑油及废油桶产生总量为1.64t/a，</w:t>
            </w:r>
            <w:r>
              <w:rPr>
                <w:rFonts w:hint="eastAsia"/>
                <w:color w:val="auto"/>
                <w:highlight w:val="none"/>
                <w:lang w:val="en-US" w:eastAsia="zh-CN"/>
              </w:rPr>
              <w:t>属于危险废物，其编号为 HW08，危废代码900-249-08，收集后暂存在危废暂存间</w:t>
            </w:r>
            <w:r>
              <w:rPr>
                <w:rFonts w:hint="eastAsia"/>
                <w:color w:val="auto"/>
                <w:highlight w:val="none"/>
              </w:rPr>
              <w:t>，</w:t>
            </w:r>
            <w:r>
              <w:rPr>
                <w:color w:val="auto"/>
                <w:highlight w:val="none"/>
              </w:rPr>
              <w:t>委托有资质的单位处置</w:t>
            </w:r>
            <w:r>
              <w:rPr>
                <w:rFonts w:hint="eastAsia" w:cs="Times New Roman"/>
                <w:color w:val="auto"/>
                <w:kern w:val="2"/>
                <w:sz w:val="21"/>
                <w:szCs w:val="21"/>
                <w:highlight w:val="none"/>
                <w:lang w:val="en-US" w:eastAsia="zh-CN" w:bidi="ar-SA"/>
              </w:rPr>
              <w:t>。</w:t>
            </w:r>
          </w:p>
          <w:p w14:paraId="7BD955C9">
            <w:pPr>
              <w:adjustRightInd w:val="0"/>
              <w:snapToGrid w:val="0"/>
              <w:spacing w:line="360" w:lineRule="auto"/>
              <w:ind w:firstLine="422" w:firstLineChars="200"/>
              <w:jc w:val="center"/>
              <w:rPr>
                <w:rFonts w:hint="default"/>
                <w:b/>
                <w:bCs/>
                <w:color w:val="auto"/>
                <w:highlight w:val="none"/>
                <w:lang w:val="en-US" w:eastAsia="zh-CN"/>
              </w:rPr>
            </w:pPr>
            <w:r>
              <w:rPr>
                <w:rFonts w:hint="default"/>
                <w:b/>
                <w:bCs/>
                <w:color w:val="auto"/>
                <w:highlight w:val="none"/>
                <w:lang w:val="en-US" w:eastAsia="zh-CN"/>
              </w:rPr>
              <w:t>表2-</w:t>
            </w:r>
            <w:r>
              <w:rPr>
                <w:rFonts w:hint="eastAsia"/>
                <w:b/>
                <w:bCs/>
                <w:color w:val="auto"/>
                <w:highlight w:val="none"/>
                <w:lang w:val="en-US" w:eastAsia="zh-CN"/>
              </w:rPr>
              <w:t>7</w:t>
            </w:r>
            <w:r>
              <w:rPr>
                <w:rFonts w:hint="default"/>
                <w:b/>
                <w:bCs/>
                <w:color w:val="auto"/>
                <w:highlight w:val="none"/>
                <w:lang w:val="en-US" w:eastAsia="zh-CN"/>
              </w:rPr>
              <w:t xml:space="preserve"> 现有项目产污汇总表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998"/>
              <w:gridCol w:w="1578"/>
              <w:gridCol w:w="1192"/>
              <w:gridCol w:w="1618"/>
              <w:gridCol w:w="828"/>
              <w:gridCol w:w="1026"/>
            </w:tblGrid>
            <w:tr w14:paraId="4299D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1170" w:type="dxa"/>
                  <w:tcBorders>
                    <w:top w:val="single" w:color="auto" w:sz="4" w:space="0"/>
                    <w:left w:val="single" w:color="auto" w:sz="4" w:space="0"/>
                    <w:bottom w:val="single" w:color="auto" w:sz="4" w:space="0"/>
                    <w:right w:val="single" w:color="auto" w:sz="4" w:space="0"/>
                  </w:tcBorders>
                  <w:noWrap w:val="0"/>
                  <w:vAlign w:val="center"/>
                </w:tcPr>
                <w:p w14:paraId="27B99246">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right="0" w:rightChars="0" w:firstLine="180" w:firstLineChars="100"/>
                    <w:jc w:val="both"/>
                    <w:outlineLvl w:val="9"/>
                    <w:rPr>
                      <w:rFonts w:hint="default" w:ascii="Times New Roman" w:hAnsi="Times New Roman" w:eastAsia="宋体" w:cs="Times New Roman"/>
                      <w:b w:val="0"/>
                      <w:bCs/>
                      <w:color w:val="auto"/>
                      <w:spacing w:val="0"/>
                      <w:kern w:val="2"/>
                      <w:sz w:val="18"/>
                      <w:szCs w:val="18"/>
                      <w:highlight w:val="none"/>
                    </w:rPr>
                  </w:pPr>
                  <w:r>
                    <w:rPr>
                      <w:rFonts w:hint="default" w:ascii="Times New Roman" w:hAnsi="Times New Roman" w:eastAsia="宋体" w:cs="Times New Roman"/>
                      <w:b w:val="0"/>
                      <w:bCs/>
                      <w:color w:val="auto"/>
                      <w:spacing w:val="0"/>
                      <w:kern w:val="2"/>
                      <w:sz w:val="18"/>
                      <w:szCs w:val="18"/>
                      <w:highlight w:val="none"/>
                      <w:lang w:val="en-US" w:eastAsia="zh-CN" w:bidi="ar"/>
                    </w:rPr>
                    <w:t>类</w:t>
                  </w:r>
                  <w:r>
                    <w:rPr>
                      <w:rFonts w:hint="default" w:ascii="Times New Roman" w:hAnsi="Times New Roman" w:cs="Times New Roman"/>
                      <w:b w:val="0"/>
                      <w:bCs/>
                      <w:color w:val="auto"/>
                      <w:spacing w:val="0"/>
                      <w:kern w:val="2"/>
                      <w:sz w:val="18"/>
                      <w:szCs w:val="18"/>
                      <w:highlight w:val="none"/>
                      <w:lang w:val="en-US" w:eastAsia="zh-CN" w:bidi="ar"/>
                    </w:rPr>
                    <w:t>别</w:t>
                  </w:r>
                </w:p>
              </w:tc>
              <w:tc>
                <w:tcPr>
                  <w:tcW w:w="998" w:type="dxa"/>
                  <w:tcBorders>
                    <w:top w:val="single" w:color="auto" w:sz="4" w:space="0"/>
                    <w:left w:val="nil"/>
                    <w:bottom w:val="single" w:color="auto" w:sz="4" w:space="0"/>
                    <w:right w:val="single" w:color="auto" w:sz="4" w:space="0"/>
                  </w:tcBorders>
                  <w:noWrap w:val="0"/>
                  <w:vAlign w:val="center"/>
                </w:tcPr>
                <w:p w14:paraId="74EBC0A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auto"/>
                      <w:spacing w:val="0"/>
                      <w:kern w:val="2"/>
                      <w:sz w:val="18"/>
                      <w:szCs w:val="18"/>
                      <w:highlight w:val="none"/>
                    </w:rPr>
                  </w:pPr>
                  <w:r>
                    <w:rPr>
                      <w:rFonts w:hint="default" w:ascii="Times New Roman" w:hAnsi="Times New Roman" w:eastAsia="宋体" w:cs="Times New Roman"/>
                      <w:b w:val="0"/>
                      <w:bCs/>
                      <w:color w:val="auto"/>
                      <w:spacing w:val="0"/>
                      <w:kern w:val="2"/>
                      <w:sz w:val="18"/>
                      <w:szCs w:val="18"/>
                      <w:highlight w:val="none"/>
                      <w:lang w:val="en-US" w:eastAsia="zh-CN" w:bidi="ar"/>
                    </w:rPr>
                    <w:t>排放源</w:t>
                  </w:r>
                </w:p>
                <w:p w14:paraId="76AC0235">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auto"/>
                      <w:spacing w:val="0"/>
                      <w:kern w:val="2"/>
                      <w:sz w:val="18"/>
                      <w:szCs w:val="18"/>
                      <w:highlight w:val="none"/>
                    </w:rPr>
                  </w:pPr>
                  <w:r>
                    <w:rPr>
                      <w:rFonts w:hint="default" w:ascii="Times New Roman" w:hAnsi="Times New Roman" w:eastAsia="宋体" w:cs="Times New Roman"/>
                      <w:b w:val="0"/>
                      <w:bCs/>
                      <w:color w:val="auto"/>
                      <w:spacing w:val="0"/>
                      <w:kern w:val="2"/>
                      <w:sz w:val="18"/>
                      <w:szCs w:val="18"/>
                      <w:highlight w:val="none"/>
                      <w:lang w:val="en-US" w:eastAsia="zh-CN" w:bidi="ar"/>
                    </w:rPr>
                    <w:t>（编号）</w:t>
                  </w:r>
                </w:p>
              </w:tc>
              <w:tc>
                <w:tcPr>
                  <w:tcW w:w="1578" w:type="dxa"/>
                  <w:tcBorders>
                    <w:top w:val="single" w:color="auto" w:sz="4" w:space="0"/>
                    <w:left w:val="nil"/>
                    <w:bottom w:val="single" w:color="auto" w:sz="4" w:space="0"/>
                    <w:right w:val="single" w:color="auto" w:sz="4" w:space="0"/>
                  </w:tcBorders>
                  <w:noWrap w:val="0"/>
                  <w:vAlign w:val="center"/>
                </w:tcPr>
                <w:p w14:paraId="46818DF5">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auto"/>
                      <w:spacing w:val="0"/>
                      <w:kern w:val="2"/>
                      <w:sz w:val="18"/>
                      <w:szCs w:val="18"/>
                      <w:highlight w:val="none"/>
                    </w:rPr>
                  </w:pPr>
                  <w:r>
                    <w:rPr>
                      <w:rFonts w:hint="default" w:ascii="Times New Roman" w:hAnsi="Times New Roman" w:eastAsia="宋体" w:cs="Times New Roman"/>
                      <w:b w:val="0"/>
                      <w:bCs/>
                      <w:color w:val="auto"/>
                      <w:spacing w:val="0"/>
                      <w:kern w:val="2"/>
                      <w:sz w:val="18"/>
                      <w:szCs w:val="18"/>
                      <w:highlight w:val="none"/>
                      <w:lang w:val="en-US" w:eastAsia="zh-CN" w:bidi="ar"/>
                    </w:rPr>
                    <w:t>污染物名称</w:t>
                  </w:r>
                </w:p>
              </w:tc>
              <w:tc>
                <w:tcPr>
                  <w:tcW w:w="2810" w:type="dxa"/>
                  <w:gridSpan w:val="2"/>
                  <w:tcBorders>
                    <w:top w:val="single" w:color="auto" w:sz="4" w:space="0"/>
                    <w:left w:val="nil"/>
                    <w:bottom w:val="single" w:color="auto" w:sz="4" w:space="0"/>
                    <w:right w:val="single" w:color="auto" w:sz="4" w:space="0"/>
                  </w:tcBorders>
                  <w:noWrap w:val="0"/>
                  <w:vAlign w:val="center"/>
                </w:tcPr>
                <w:p w14:paraId="6E8B870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default" w:ascii="Times New Roman" w:hAnsi="Times New Roman" w:eastAsia="宋体" w:cs="Times New Roman"/>
                      <w:b w:val="0"/>
                      <w:bCs/>
                      <w:color w:val="auto"/>
                      <w:spacing w:val="0"/>
                      <w:kern w:val="2"/>
                      <w:sz w:val="18"/>
                      <w:szCs w:val="18"/>
                      <w:highlight w:val="none"/>
                      <w:lang w:val="en-US" w:eastAsia="zh-CN" w:bidi="ar"/>
                    </w:rPr>
                    <w:t>污染物排放量</w:t>
                  </w:r>
                </w:p>
                <w:p w14:paraId="5833EC6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auto"/>
                      <w:spacing w:val="0"/>
                      <w:kern w:val="2"/>
                      <w:sz w:val="18"/>
                      <w:szCs w:val="18"/>
                      <w:highlight w:val="none"/>
                    </w:rPr>
                  </w:pPr>
                  <w:r>
                    <w:rPr>
                      <w:rFonts w:hint="default" w:ascii="Times New Roman" w:hAnsi="Times New Roman" w:cs="Times New Roman"/>
                      <w:b w:val="0"/>
                      <w:bCs/>
                      <w:color w:val="auto"/>
                      <w:spacing w:val="0"/>
                      <w:kern w:val="2"/>
                      <w:sz w:val="18"/>
                      <w:szCs w:val="18"/>
                      <w:highlight w:val="none"/>
                      <w:lang w:val="en-US" w:eastAsia="zh-CN" w:bidi="ar"/>
                    </w:rPr>
                    <w:t>（固废为产生量）</w:t>
                  </w:r>
                  <w:r>
                    <w:rPr>
                      <w:rFonts w:hint="default" w:ascii="Times New Roman" w:hAnsi="Times New Roman" w:eastAsia="宋体" w:cs="Times New Roman"/>
                      <w:b w:val="0"/>
                      <w:bCs/>
                      <w:color w:val="auto"/>
                      <w:spacing w:val="0"/>
                      <w:kern w:val="2"/>
                      <w:sz w:val="18"/>
                      <w:szCs w:val="18"/>
                      <w:highlight w:val="none"/>
                      <w:lang w:val="en-US" w:eastAsia="zh-CN" w:bidi="ar"/>
                    </w:rPr>
                    <w:t>（</w:t>
                  </w:r>
                  <w:r>
                    <w:rPr>
                      <w:rFonts w:hint="default" w:ascii="Times New Roman" w:hAnsi="Times New Roman" w:eastAsia="宋体" w:cs="Times New Roman"/>
                      <w:b w:val="0"/>
                      <w:bCs/>
                      <w:snapToGrid w:val="0"/>
                      <w:color w:val="auto"/>
                      <w:spacing w:val="0"/>
                      <w:kern w:val="2"/>
                      <w:sz w:val="18"/>
                      <w:szCs w:val="18"/>
                      <w:highlight w:val="none"/>
                      <w:lang w:val="en-US" w:eastAsia="zh-CN" w:bidi="ar-SA"/>
                    </w:rPr>
                    <w:t>t/a</w:t>
                  </w:r>
                  <w:r>
                    <w:rPr>
                      <w:rFonts w:hint="default" w:ascii="Times New Roman" w:hAnsi="Times New Roman" w:eastAsia="宋体" w:cs="Times New Roman"/>
                      <w:b w:val="0"/>
                      <w:bCs/>
                      <w:color w:val="auto"/>
                      <w:spacing w:val="0"/>
                      <w:kern w:val="2"/>
                      <w:sz w:val="18"/>
                      <w:szCs w:val="18"/>
                      <w:highlight w:val="none"/>
                      <w:lang w:val="en-US" w:eastAsia="zh-CN" w:bidi="ar"/>
                    </w:rPr>
                    <w:t>）</w:t>
                  </w:r>
                </w:p>
              </w:tc>
              <w:tc>
                <w:tcPr>
                  <w:tcW w:w="828" w:type="dxa"/>
                  <w:tcBorders>
                    <w:top w:val="single" w:color="auto" w:sz="4" w:space="0"/>
                    <w:left w:val="nil"/>
                    <w:bottom w:val="single" w:color="auto" w:sz="4" w:space="0"/>
                    <w:right w:val="single" w:color="auto" w:sz="4" w:space="0"/>
                  </w:tcBorders>
                  <w:noWrap w:val="0"/>
                  <w:vAlign w:val="center"/>
                </w:tcPr>
                <w:p w14:paraId="3B11E06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总量控制指标</w:t>
                  </w:r>
                  <w:r>
                    <w:rPr>
                      <w:rFonts w:hint="default" w:ascii="Times New Roman" w:hAnsi="Times New Roman" w:eastAsia="宋体" w:cs="Times New Roman"/>
                      <w:b w:val="0"/>
                      <w:bCs/>
                      <w:color w:val="auto"/>
                      <w:spacing w:val="0"/>
                      <w:kern w:val="2"/>
                      <w:sz w:val="18"/>
                      <w:szCs w:val="18"/>
                      <w:highlight w:val="none"/>
                      <w:lang w:val="en-US" w:eastAsia="zh-CN" w:bidi="ar"/>
                    </w:rPr>
                    <w:t>（</w:t>
                  </w:r>
                  <w:r>
                    <w:rPr>
                      <w:rFonts w:hint="default" w:ascii="Times New Roman" w:hAnsi="Times New Roman" w:eastAsia="宋体" w:cs="Times New Roman"/>
                      <w:b w:val="0"/>
                      <w:bCs/>
                      <w:snapToGrid w:val="0"/>
                      <w:color w:val="auto"/>
                      <w:spacing w:val="0"/>
                      <w:kern w:val="2"/>
                      <w:sz w:val="18"/>
                      <w:szCs w:val="18"/>
                      <w:highlight w:val="none"/>
                      <w:lang w:val="en-US" w:eastAsia="zh-CN" w:bidi="ar-SA"/>
                    </w:rPr>
                    <w:t>t/a</w:t>
                  </w:r>
                  <w:r>
                    <w:rPr>
                      <w:rFonts w:hint="default" w:ascii="Times New Roman" w:hAnsi="Times New Roman" w:eastAsia="宋体" w:cs="Times New Roman"/>
                      <w:b w:val="0"/>
                      <w:bCs/>
                      <w:color w:val="auto"/>
                      <w:spacing w:val="0"/>
                      <w:kern w:val="2"/>
                      <w:sz w:val="18"/>
                      <w:szCs w:val="18"/>
                      <w:highlight w:val="none"/>
                      <w:lang w:val="en-US" w:eastAsia="zh-CN" w:bidi="ar"/>
                    </w:rPr>
                    <w:t>）</w:t>
                  </w:r>
                </w:p>
              </w:tc>
              <w:tc>
                <w:tcPr>
                  <w:tcW w:w="1026" w:type="dxa"/>
                  <w:tcBorders>
                    <w:top w:val="single" w:color="auto" w:sz="4" w:space="0"/>
                    <w:left w:val="nil"/>
                    <w:bottom w:val="single" w:color="auto" w:sz="4" w:space="0"/>
                    <w:right w:val="single" w:color="auto" w:sz="4" w:space="0"/>
                  </w:tcBorders>
                  <w:noWrap w:val="0"/>
                  <w:vAlign w:val="center"/>
                </w:tcPr>
                <w:p w14:paraId="4F135308">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是否满足</w:t>
                  </w:r>
                </w:p>
              </w:tc>
            </w:tr>
            <w:tr w14:paraId="6AA78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170" w:type="dxa"/>
                  <w:vMerge w:val="restart"/>
                  <w:tcBorders>
                    <w:top w:val="nil"/>
                    <w:left w:val="single" w:color="auto" w:sz="4" w:space="0"/>
                    <w:right w:val="single" w:color="auto" w:sz="4" w:space="0"/>
                  </w:tcBorders>
                  <w:noWrap w:val="0"/>
                  <w:vAlign w:val="center"/>
                </w:tcPr>
                <w:p w14:paraId="6284490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rPr>
                  </w:pPr>
                  <w:r>
                    <w:rPr>
                      <w:rFonts w:hint="default" w:ascii="Times New Roman" w:hAnsi="Times New Roman" w:eastAsia="宋体" w:cs="Times New Roman"/>
                      <w:b w:val="0"/>
                      <w:bCs/>
                      <w:color w:val="auto"/>
                      <w:spacing w:val="0"/>
                      <w:kern w:val="2"/>
                      <w:sz w:val="18"/>
                      <w:szCs w:val="18"/>
                      <w:highlight w:val="none"/>
                      <w:lang w:val="en-US" w:eastAsia="zh-CN" w:bidi="ar"/>
                    </w:rPr>
                    <w:t>废气</w:t>
                  </w:r>
                </w:p>
              </w:tc>
              <w:tc>
                <w:tcPr>
                  <w:tcW w:w="998" w:type="dxa"/>
                  <w:vMerge w:val="restart"/>
                  <w:tcBorders>
                    <w:top w:val="nil"/>
                    <w:left w:val="nil"/>
                    <w:right w:val="single" w:color="auto" w:sz="4" w:space="0"/>
                  </w:tcBorders>
                  <w:noWrap w:val="0"/>
                  <w:vAlign w:val="center"/>
                </w:tcPr>
                <w:p w14:paraId="4CC3332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auto"/>
                      <w:spacing w:val="0"/>
                      <w:kern w:val="2"/>
                      <w:sz w:val="18"/>
                      <w:szCs w:val="18"/>
                      <w:highlight w:val="none"/>
                      <w:vertAlign w:val="baseline"/>
                    </w:rPr>
                  </w:pPr>
                  <w:r>
                    <w:rPr>
                      <w:rFonts w:hint="default" w:ascii="Times New Roman" w:hAnsi="Times New Roman" w:eastAsia="宋体" w:cs="Times New Roman"/>
                      <w:b w:val="0"/>
                      <w:bCs/>
                      <w:color w:val="auto"/>
                      <w:spacing w:val="0"/>
                      <w:kern w:val="2"/>
                      <w:sz w:val="18"/>
                      <w:szCs w:val="18"/>
                      <w:highlight w:val="none"/>
                      <w:lang w:val="en-US" w:eastAsia="zh-CN" w:bidi="ar"/>
                    </w:rPr>
                    <w:t>生产过程</w:t>
                  </w:r>
                </w:p>
              </w:tc>
              <w:tc>
                <w:tcPr>
                  <w:tcW w:w="1578" w:type="dxa"/>
                  <w:tcBorders>
                    <w:top w:val="single" w:color="auto" w:sz="4" w:space="0"/>
                    <w:left w:val="nil"/>
                    <w:bottom w:val="single" w:color="auto" w:sz="4" w:space="0"/>
                    <w:right w:val="single" w:color="auto" w:sz="4" w:space="0"/>
                  </w:tcBorders>
                  <w:noWrap w:val="0"/>
                  <w:vAlign w:val="center"/>
                </w:tcPr>
                <w:p w14:paraId="79A500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pacing w:val="0"/>
                      <w:kern w:val="2"/>
                      <w:sz w:val="18"/>
                      <w:szCs w:val="18"/>
                      <w:highlight w:val="none"/>
                      <w:vertAlign w:val="baseline"/>
                    </w:rPr>
                  </w:pPr>
                  <w:r>
                    <w:rPr>
                      <w:rFonts w:hint="default" w:ascii="Times New Roman" w:hAnsi="Times New Roman" w:cs="Times New Roman"/>
                      <w:bCs/>
                      <w:color w:val="auto"/>
                      <w:sz w:val="18"/>
                      <w:szCs w:val="18"/>
                      <w:highlight w:val="none"/>
                      <w:vertAlign w:val="baseline"/>
                      <w:lang w:val="en-US" w:eastAsia="zh-CN"/>
                    </w:rPr>
                    <w:t>颗粒物</w:t>
                  </w:r>
                </w:p>
              </w:tc>
              <w:tc>
                <w:tcPr>
                  <w:tcW w:w="1192" w:type="dxa"/>
                  <w:tcBorders>
                    <w:top w:val="single" w:color="auto" w:sz="4" w:space="0"/>
                    <w:left w:val="nil"/>
                    <w:bottom w:val="single" w:color="auto" w:sz="4" w:space="0"/>
                    <w:right w:val="single" w:color="auto" w:sz="4" w:space="0"/>
                  </w:tcBorders>
                  <w:noWrap w:val="0"/>
                  <w:vAlign w:val="center"/>
                </w:tcPr>
                <w:p w14:paraId="357E09C3">
                  <w:pPr>
                    <w:keepNext w:val="0"/>
                    <w:keepLines w:val="0"/>
                    <w:widowControl/>
                    <w:suppressLineNumbers w:val="0"/>
                    <w:spacing w:line="240" w:lineRule="auto"/>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i w:val="0"/>
                      <w:iCs w:val="0"/>
                      <w:color w:val="auto"/>
                      <w:kern w:val="0"/>
                      <w:sz w:val="18"/>
                      <w:szCs w:val="18"/>
                      <w:highlight w:val="none"/>
                      <w:u w:val="none"/>
                      <w:lang w:val="en-US" w:eastAsia="zh-CN" w:bidi="ar"/>
                    </w:rPr>
                    <w:t>0.12</w:t>
                  </w:r>
                </w:p>
              </w:tc>
              <w:tc>
                <w:tcPr>
                  <w:tcW w:w="1618" w:type="dxa"/>
                  <w:tcBorders>
                    <w:top w:val="single" w:color="auto" w:sz="4" w:space="0"/>
                    <w:left w:val="nil"/>
                    <w:bottom w:val="single" w:color="auto" w:sz="4" w:space="0"/>
                    <w:right w:val="single" w:color="auto" w:sz="4" w:space="0"/>
                  </w:tcBorders>
                  <w:noWrap w:val="0"/>
                  <w:vAlign w:val="center"/>
                </w:tcPr>
                <w:p w14:paraId="1DD58C5C">
                  <w:pPr>
                    <w:keepNext w:val="0"/>
                    <w:keepLines w:val="0"/>
                    <w:widowControl/>
                    <w:suppressLineNumbers w:val="0"/>
                    <w:spacing w:line="240" w:lineRule="auto"/>
                    <w:jc w:val="center"/>
                    <w:textAlignment w:val="center"/>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有组织0.</w:t>
                  </w:r>
                  <w:r>
                    <w:rPr>
                      <w:rFonts w:hint="eastAsia" w:eastAsia="宋体" w:cs="Times New Roman"/>
                      <w:i w:val="0"/>
                      <w:iCs w:val="0"/>
                      <w:color w:val="auto"/>
                      <w:kern w:val="0"/>
                      <w:sz w:val="18"/>
                      <w:szCs w:val="18"/>
                      <w:highlight w:val="none"/>
                      <w:u w:val="none"/>
                      <w:lang w:val="en-US" w:eastAsia="zh-CN" w:bidi="ar"/>
                    </w:rPr>
                    <w:t>034</w:t>
                  </w:r>
                  <w:r>
                    <w:rPr>
                      <w:rFonts w:hint="default" w:ascii="Times New Roman" w:hAnsi="Times New Roman" w:eastAsia="宋体" w:cs="Times New Roman"/>
                      <w:i w:val="0"/>
                      <w:iCs w:val="0"/>
                      <w:color w:val="auto"/>
                      <w:kern w:val="0"/>
                      <w:sz w:val="18"/>
                      <w:szCs w:val="18"/>
                      <w:highlight w:val="none"/>
                      <w:u w:val="none"/>
                      <w:lang w:val="en-US" w:eastAsia="zh-CN" w:bidi="ar"/>
                    </w:rPr>
                    <w:t>，无组织0.</w:t>
                  </w:r>
                  <w:r>
                    <w:rPr>
                      <w:rFonts w:hint="eastAsia" w:cs="Times New Roman"/>
                      <w:i w:val="0"/>
                      <w:iCs w:val="0"/>
                      <w:color w:val="auto"/>
                      <w:kern w:val="0"/>
                      <w:sz w:val="18"/>
                      <w:szCs w:val="18"/>
                      <w:highlight w:val="none"/>
                      <w:u w:val="none"/>
                      <w:lang w:val="en-US" w:eastAsia="zh-CN" w:bidi="ar"/>
                    </w:rPr>
                    <w:t>086</w:t>
                  </w:r>
                </w:p>
              </w:tc>
              <w:tc>
                <w:tcPr>
                  <w:tcW w:w="828" w:type="dxa"/>
                  <w:tcBorders>
                    <w:top w:val="single" w:color="auto" w:sz="4" w:space="0"/>
                    <w:left w:val="nil"/>
                    <w:bottom w:val="single" w:color="auto" w:sz="4" w:space="0"/>
                    <w:right w:val="single" w:color="auto" w:sz="4" w:space="0"/>
                  </w:tcBorders>
                  <w:noWrap w:val="0"/>
                  <w:vAlign w:val="center"/>
                </w:tcPr>
                <w:p w14:paraId="065DEA8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eastAsia" w:cs="Times New Roman"/>
                      <w:b w:val="0"/>
                      <w:bCs/>
                      <w:color w:val="auto"/>
                      <w:spacing w:val="0"/>
                      <w:kern w:val="2"/>
                      <w:sz w:val="18"/>
                      <w:szCs w:val="18"/>
                      <w:highlight w:val="none"/>
                      <w:lang w:val="en-US" w:eastAsia="zh-CN" w:bidi="ar"/>
                    </w:rPr>
                    <w:t>0.042（有组织）</w:t>
                  </w:r>
                </w:p>
              </w:tc>
              <w:tc>
                <w:tcPr>
                  <w:tcW w:w="1026" w:type="dxa"/>
                  <w:tcBorders>
                    <w:top w:val="single" w:color="auto" w:sz="4" w:space="0"/>
                    <w:left w:val="nil"/>
                    <w:bottom w:val="single" w:color="auto" w:sz="4" w:space="0"/>
                    <w:right w:val="single" w:color="auto" w:sz="4" w:space="0"/>
                  </w:tcBorders>
                  <w:noWrap w:val="0"/>
                  <w:vAlign w:val="center"/>
                </w:tcPr>
                <w:p w14:paraId="4B434D18">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是</w:t>
                  </w:r>
                </w:p>
              </w:tc>
            </w:tr>
            <w:tr w14:paraId="0EEF1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1170" w:type="dxa"/>
                  <w:vMerge w:val="continue"/>
                  <w:tcBorders>
                    <w:left w:val="single" w:color="auto" w:sz="4" w:space="0"/>
                    <w:right w:val="single" w:color="auto" w:sz="4" w:space="0"/>
                  </w:tcBorders>
                  <w:noWrap w:val="0"/>
                  <w:vAlign w:val="center"/>
                </w:tcPr>
                <w:p w14:paraId="552DE25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998" w:type="dxa"/>
                  <w:vMerge w:val="continue"/>
                  <w:tcBorders>
                    <w:left w:val="nil"/>
                    <w:right w:val="single" w:color="auto" w:sz="4" w:space="0"/>
                  </w:tcBorders>
                  <w:noWrap w:val="0"/>
                  <w:vAlign w:val="center"/>
                </w:tcPr>
                <w:p w14:paraId="0DEFFE3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1578" w:type="dxa"/>
                  <w:tcBorders>
                    <w:top w:val="single" w:color="auto" w:sz="4" w:space="0"/>
                    <w:left w:val="nil"/>
                    <w:bottom w:val="single" w:color="auto" w:sz="4" w:space="0"/>
                    <w:right w:val="single" w:color="auto" w:sz="4" w:space="0"/>
                  </w:tcBorders>
                  <w:noWrap w:val="0"/>
                  <w:vAlign w:val="center"/>
                </w:tcPr>
                <w:p w14:paraId="17806C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pacing w:val="0"/>
                      <w:sz w:val="18"/>
                      <w:szCs w:val="18"/>
                      <w:highlight w:val="none"/>
                      <w:lang w:val="en-US" w:eastAsia="zh-CN"/>
                    </w:rPr>
                  </w:pPr>
                  <w:r>
                    <w:rPr>
                      <w:rFonts w:hint="default" w:ascii="Times New Roman" w:hAnsi="Times New Roman" w:cs="Times New Roman"/>
                      <w:bCs/>
                      <w:color w:val="auto"/>
                      <w:sz w:val="18"/>
                      <w:szCs w:val="18"/>
                      <w:highlight w:val="none"/>
                      <w:vertAlign w:val="baseline"/>
                      <w:lang w:val="en-US" w:eastAsia="zh-CN"/>
                    </w:rPr>
                    <w:t>SO</w:t>
                  </w:r>
                  <w:r>
                    <w:rPr>
                      <w:rFonts w:hint="default" w:ascii="Times New Roman" w:hAnsi="Times New Roman" w:cs="Times New Roman"/>
                      <w:bCs/>
                      <w:color w:val="auto"/>
                      <w:sz w:val="18"/>
                      <w:szCs w:val="18"/>
                      <w:highlight w:val="none"/>
                      <w:vertAlign w:val="subscript"/>
                      <w:lang w:val="en-US" w:eastAsia="zh-CN"/>
                    </w:rPr>
                    <w:t>2</w:t>
                  </w:r>
                </w:p>
              </w:tc>
              <w:tc>
                <w:tcPr>
                  <w:tcW w:w="1192" w:type="dxa"/>
                  <w:tcBorders>
                    <w:top w:val="single" w:color="auto" w:sz="4" w:space="0"/>
                    <w:left w:val="nil"/>
                    <w:bottom w:val="single" w:color="auto" w:sz="4" w:space="0"/>
                    <w:right w:val="single" w:color="auto" w:sz="4" w:space="0"/>
                  </w:tcBorders>
                  <w:noWrap w:val="0"/>
                  <w:vAlign w:val="center"/>
                </w:tcPr>
                <w:p w14:paraId="27EC99E1">
                  <w:pPr>
                    <w:keepNext w:val="0"/>
                    <w:keepLines w:val="0"/>
                    <w:widowControl/>
                    <w:suppressLineNumbers w:val="0"/>
                    <w:spacing w:line="240" w:lineRule="auto"/>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eastAsia="宋体" w:cs="Times New Roman"/>
                      <w:i w:val="0"/>
                      <w:iCs w:val="0"/>
                      <w:color w:val="auto"/>
                      <w:kern w:val="0"/>
                      <w:sz w:val="18"/>
                      <w:szCs w:val="18"/>
                      <w:highlight w:val="none"/>
                      <w:u w:val="none"/>
                      <w:lang w:val="en-US" w:eastAsia="zh-CN" w:bidi="ar"/>
                    </w:rPr>
                    <w:t>0.033</w:t>
                  </w:r>
                </w:p>
              </w:tc>
              <w:tc>
                <w:tcPr>
                  <w:tcW w:w="1618" w:type="dxa"/>
                  <w:tcBorders>
                    <w:top w:val="single" w:color="auto" w:sz="4" w:space="0"/>
                    <w:left w:val="nil"/>
                    <w:bottom w:val="single" w:color="auto" w:sz="4" w:space="0"/>
                    <w:right w:val="single" w:color="auto" w:sz="4" w:space="0"/>
                  </w:tcBorders>
                  <w:noWrap w:val="0"/>
                  <w:vAlign w:val="center"/>
                </w:tcPr>
                <w:p w14:paraId="24F8CCAA">
                  <w:pPr>
                    <w:keepNext w:val="0"/>
                    <w:keepLines w:val="0"/>
                    <w:widowControl/>
                    <w:suppressLineNumbers w:val="0"/>
                    <w:spacing w:line="240" w:lineRule="auto"/>
                    <w:jc w:val="center"/>
                    <w:textAlignment w:val="center"/>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有组织</w:t>
                  </w:r>
                  <w:r>
                    <w:rPr>
                      <w:rFonts w:hint="eastAsia" w:eastAsia="宋体" w:cs="Times New Roman"/>
                      <w:i w:val="0"/>
                      <w:iCs w:val="0"/>
                      <w:color w:val="auto"/>
                      <w:kern w:val="0"/>
                      <w:sz w:val="18"/>
                      <w:szCs w:val="18"/>
                      <w:highlight w:val="none"/>
                      <w:u w:val="none"/>
                      <w:lang w:val="en-US" w:eastAsia="zh-CN" w:bidi="ar"/>
                    </w:rPr>
                    <w:t>0.033</w:t>
                  </w:r>
                </w:p>
              </w:tc>
              <w:tc>
                <w:tcPr>
                  <w:tcW w:w="828" w:type="dxa"/>
                  <w:tcBorders>
                    <w:top w:val="single" w:color="auto" w:sz="4" w:space="0"/>
                    <w:left w:val="nil"/>
                    <w:bottom w:val="single" w:color="auto" w:sz="4" w:space="0"/>
                    <w:right w:val="single" w:color="auto" w:sz="4" w:space="0"/>
                  </w:tcBorders>
                  <w:noWrap w:val="0"/>
                  <w:vAlign w:val="center"/>
                </w:tcPr>
                <w:p w14:paraId="091F98E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0.</w:t>
                  </w:r>
                  <w:r>
                    <w:rPr>
                      <w:rFonts w:hint="eastAsia" w:cs="Times New Roman"/>
                      <w:b w:val="0"/>
                      <w:bCs/>
                      <w:color w:val="auto"/>
                      <w:spacing w:val="0"/>
                      <w:kern w:val="2"/>
                      <w:sz w:val="18"/>
                      <w:szCs w:val="18"/>
                      <w:highlight w:val="none"/>
                      <w:lang w:val="en-US" w:eastAsia="zh-CN" w:bidi="ar"/>
                    </w:rPr>
                    <w:t>054</w:t>
                  </w:r>
                </w:p>
              </w:tc>
              <w:tc>
                <w:tcPr>
                  <w:tcW w:w="1026" w:type="dxa"/>
                  <w:tcBorders>
                    <w:top w:val="single" w:color="auto" w:sz="4" w:space="0"/>
                    <w:left w:val="nil"/>
                    <w:bottom w:val="single" w:color="auto" w:sz="4" w:space="0"/>
                    <w:right w:val="single" w:color="auto" w:sz="4" w:space="0"/>
                  </w:tcBorders>
                  <w:noWrap w:val="0"/>
                  <w:vAlign w:val="center"/>
                </w:tcPr>
                <w:p w14:paraId="41A453D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是</w:t>
                  </w:r>
                </w:p>
              </w:tc>
            </w:tr>
            <w:tr w14:paraId="0F359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70" w:type="dxa"/>
                  <w:vMerge w:val="continue"/>
                  <w:tcBorders>
                    <w:left w:val="single" w:color="auto" w:sz="4" w:space="0"/>
                    <w:right w:val="single" w:color="auto" w:sz="4" w:space="0"/>
                  </w:tcBorders>
                  <w:noWrap w:val="0"/>
                  <w:vAlign w:val="center"/>
                </w:tcPr>
                <w:p w14:paraId="595A95D9">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998" w:type="dxa"/>
                  <w:vMerge w:val="continue"/>
                  <w:tcBorders>
                    <w:left w:val="nil"/>
                    <w:right w:val="single" w:color="auto" w:sz="4" w:space="0"/>
                  </w:tcBorders>
                  <w:noWrap w:val="0"/>
                  <w:vAlign w:val="center"/>
                </w:tcPr>
                <w:p w14:paraId="1611872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1578" w:type="dxa"/>
                  <w:tcBorders>
                    <w:top w:val="single" w:color="auto" w:sz="4" w:space="0"/>
                    <w:left w:val="nil"/>
                    <w:bottom w:val="single" w:color="auto" w:sz="4" w:space="0"/>
                    <w:right w:val="single" w:color="auto" w:sz="4" w:space="0"/>
                  </w:tcBorders>
                  <w:noWrap w:val="0"/>
                  <w:vAlign w:val="center"/>
                </w:tcPr>
                <w:p w14:paraId="68411A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pacing w:val="0"/>
                      <w:sz w:val="18"/>
                      <w:szCs w:val="18"/>
                      <w:highlight w:val="none"/>
                      <w:lang w:val="en-US" w:eastAsia="zh-CN"/>
                    </w:rPr>
                  </w:pPr>
                  <w:r>
                    <w:rPr>
                      <w:rFonts w:hint="default" w:ascii="Times New Roman" w:hAnsi="Times New Roman" w:cs="Times New Roman"/>
                      <w:bCs/>
                      <w:color w:val="auto"/>
                      <w:sz w:val="18"/>
                      <w:szCs w:val="18"/>
                      <w:highlight w:val="none"/>
                      <w:vertAlign w:val="baseline"/>
                      <w:lang w:val="en-US" w:eastAsia="zh-CN"/>
                    </w:rPr>
                    <w:t>NO</w:t>
                  </w:r>
                  <w:r>
                    <w:rPr>
                      <w:rFonts w:hint="default" w:ascii="Times New Roman" w:hAnsi="Times New Roman" w:cs="Times New Roman"/>
                      <w:bCs/>
                      <w:color w:val="auto"/>
                      <w:sz w:val="18"/>
                      <w:szCs w:val="18"/>
                      <w:highlight w:val="none"/>
                      <w:vertAlign w:val="subscript"/>
                      <w:lang w:val="en-US" w:eastAsia="zh-CN"/>
                    </w:rPr>
                    <w:t>X</w:t>
                  </w:r>
                </w:p>
              </w:tc>
              <w:tc>
                <w:tcPr>
                  <w:tcW w:w="1192" w:type="dxa"/>
                  <w:tcBorders>
                    <w:top w:val="single" w:color="auto" w:sz="4" w:space="0"/>
                    <w:left w:val="nil"/>
                    <w:bottom w:val="single" w:color="auto" w:sz="4" w:space="0"/>
                    <w:right w:val="single" w:color="auto" w:sz="4" w:space="0"/>
                  </w:tcBorders>
                  <w:noWrap w:val="0"/>
                  <w:vAlign w:val="center"/>
                </w:tcPr>
                <w:p w14:paraId="1BD80292">
                  <w:pPr>
                    <w:keepNext w:val="0"/>
                    <w:keepLines w:val="0"/>
                    <w:widowControl/>
                    <w:suppressLineNumbers w:val="0"/>
                    <w:spacing w:line="240" w:lineRule="auto"/>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eastAsia="宋体" w:cs="Times New Roman"/>
                      <w:i w:val="0"/>
                      <w:iCs w:val="0"/>
                      <w:color w:val="auto"/>
                      <w:kern w:val="0"/>
                      <w:sz w:val="18"/>
                      <w:szCs w:val="18"/>
                      <w:highlight w:val="none"/>
                      <w:u w:val="none"/>
                      <w:lang w:val="en-US" w:eastAsia="zh-CN" w:bidi="ar"/>
                    </w:rPr>
                    <w:t>0.245</w:t>
                  </w:r>
                </w:p>
              </w:tc>
              <w:tc>
                <w:tcPr>
                  <w:tcW w:w="1618" w:type="dxa"/>
                  <w:tcBorders>
                    <w:top w:val="single" w:color="auto" w:sz="4" w:space="0"/>
                    <w:left w:val="nil"/>
                    <w:bottom w:val="single" w:color="auto" w:sz="4" w:space="0"/>
                    <w:right w:val="single" w:color="auto" w:sz="4" w:space="0"/>
                  </w:tcBorders>
                  <w:noWrap w:val="0"/>
                  <w:vAlign w:val="center"/>
                </w:tcPr>
                <w:p w14:paraId="543E8846">
                  <w:pPr>
                    <w:keepNext w:val="0"/>
                    <w:keepLines w:val="0"/>
                    <w:widowControl/>
                    <w:suppressLineNumbers w:val="0"/>
                    <w:spacing w:line="240" w:lineRule="auto"/>
                    <w:jc w:val="center"/>
                    <w:textAlignment w:val="center"/>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有组织</w:t>
                  </w:r>
                  <w:r>
                    <w:rPr>
                      <w:rFonts w:hint="eastAsia" w:eastAsia="宋体" w:cs="Times New Roman"/>
                      <w:i w:val="0"/>
                      <w:iCs w:val="0"/>
                      <w:color w:val="auto"/>
                      <w:kern w:val="0"/>
                      <w:sz w:val="18"/>
                      <w:szCs w:val="18"/>
                      <w:highlight w:val="none"/>
                      <w:u w:val="none"/>
                      <w:lang w:val="en-US" w:eastAsia="zh-CN" w:bidi="ar"/>
                    </w:rPr>
                    <w:t>0.245</w:t>
                  </w:r>
                </w:p>
              </w:tc>
              <w:tc>
                <w:tcPr>
                  <w:tcW w:w="828" w:type="dxa"/>
                  <w:tcBorders>
                    <w:top w:val="single" w:color="auto" w:sz="4" w:space="0"/>
                    <w:left w:val="nil"/>
                    <w:bottom w:val="single" w:color="auto" w:sz="4" w:space="0"/>
                    <w:right w:val="single" w:color="auto" w:sz="4" w:space="0"/>
                  </w:tcBorders>
                  <w:noWrap w:val="0"/>
                  <w:vAlign w:val="center"/>
                </w:tcPr>
                <w:p w14:paraId="7734DB2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eastAsia="宋体" w:cs="Times New Roman"/>
                      <w:b w:val="0"/>
                      <w:bCs/>
                      <w:snapToGrid w:val="0"/>
                      <w:color w:val="auto"/>
                      <w:spacing w:val="0"/>
                      <w:kern w:val="2"/>
                      <w:sz w:val="18"/>
                      <w:szCs w:val="18"/>
                      <w:highlight w:val="none"/>
                      <w:lang w:val="en-US" w:eastAsia="zh-CN" w:bidi="ar-SA"/>
                    </w:rPr>
                  </w:pPr>
                  <w:r>
                    <w:rPr>
                      <w:rFonts w:hint="eastAsia" w:cs="Times New Roman"/>
                      <w:b w:val="0"/>
                      <w:bCs/>
                      <w:snapToGrid w:val="0"/>
                      <w:color w:val="auto"/>
                      <w:spacing w:val="0"/>
                      <w:kern w:val="2"/>
                      <w:sz w:val="18"/>
                      <w:szCs w:val="18"/>
                      <w:highlight w:val="none"/>
                      <w:lang w:val="en-US" w:eastAsia="zh-CN" w:bidi="ar-SA"/>
                    </w:rPr>
                    <w:t>0.528</w:t>
                  </w:r>
                </w:p>
              </w:tc>
              <w:tc>
                <w:tcPr>
                  <w:tcW w:w="1026" w:type="dxa"/>
                  <w:tcBorders>
                    <w:top w:val="single" w:color="auto" w:sz="4" w:space="0"/>
                    <w:left w:val="nil"/>
                    <w:bottom w:val="single" w:color="auto" w:sz="4" w:space="0"/>
                    <w:right w:val="single" w:color="auto" w:sz="4" w:space="0"/>
                  </w:tcBorders>
                  <w:noWrap w:val="0"/>
                  <w:vAlign w:val="center"/>
                </w:tcPr>
                <w:p w14:paraId="785B9F1D">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eastAsia="宋体" w:cs="Times New Roman"/>
                      <w:b w:val="0"/>
                      <w:bCs/>
                      <w:snapToGrid w:val="0"/>
                      <w:color w:val="auto"/>
                      <w:spacing w:val="0"/>
                      <w:kern w:val="2"/>
                      <w:sz w:val="18"/>
                      <w:szCs w:val="18"/>
                      <w:highlight w:val="none"/>
                      <w:lang w:val="en-US" w:eastAsia="zh-CN" w:bidi="ar-SA"/>
                    </w:rPr>
                  </w:pPr>
                  <w:r>
                    <w:rPr>
                      <w:rFonts w:hint="default" w:ascii="Times New Roman" w:hAnsi="Times New Roman" w:cs="Times New Roman"/>
                      <w:b w:val="0"/>
                      <w:bCs/>
                      <w:color w:val="auto"/>
                      <w:spacing w:val="0"/>
                      <w:kern w:val="2"/>
                      <w:sz w:val="18"/>
                      <w:szCs w:val="18"/>
                      <w:highlight w:val="none"/>
                      <w:lang w:val="en-US" w:eastAsia="zh-CN" w:bidi="ar"/>
                    </w:rPr>
                    <w:t>是</w:t>
                  </w:r>
                </w:p>
              </w:tc>
            </w:tr>
            <w:tr w14:paraId="5110D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70" w:type="dxa"/>
                  <w:vMerge w:val="continue"/>
                  <w:tcBorders>
                    <w:left w:val="single" w:color="auto" w:sz="4" w:space="0"/>
                    <w:right w:val="single" w:color="auto" w:sz="4" w:space="0"/>
                  </w:tcBorders>
                  <w:noWrap w:val="0"/>
                  <w:vAlign w:val="center"/>
                </w:tcPr>
                <w:p w14:paraId="382DCF80">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998" w:type="dxa"/>
                  <w:vMerge w:val="continue"/>
                  <w:tcBorders>
                    <w:left w:val="nil"/>
                    <w:right w:val="single" w:color="auto" w:sz="4" w:space="0"/>
                  </w:tcBorders>
                  <w:noWrap w:val="0"/>
                  <w:vAlign w:val="center"/>
                </w:tcPr>
                <w:p w14:paraId="5C1F532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1578" w:type="dxa"/>
                  <w:tcBorders>
                    <w:top w:val="single" w:color="auto" w:sz="4" w:space="0"/>
                    <w:left w:val="nil"/>
                    <w:bottom w:val="single" w:color="auto" w:sz="4" w:space="0"/>
                    <w:right w:val="single" w:color="auto" w:sz="4" w:space="0"/>
                  </w:tcBorders>
                  <w:noWrap w:val="0"/>
                  <w:vAlign w:val="center"/>
                </w:tcPr>
                <w:p w14:paraId="543E6D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氨</w:t>
                  </w:r>
                </w:p>
              </w:tc>
              <w:tc>
                <w:tcPr>
                  <w:tcW w:w="1192" w:type="dxa"/>
                  <w:tcBorders>
                    <w:top w:val="single" w:color="auto" w:sz="4" w:space="0"/>
                    <w:left w:val="nil"/>
                    <w:bottom w:val="single" w:color="auto" w:sz="4" w:space="0"/>
                    <w:right w:val="single" w:color="auto" w:sz="4" w:space="0"/>
                  </w:tcBorders>
                  <w:noWrap w:val="0"/>
                  <w:vAlign w:val="center"/>
                </w:tcPr>
                <w:p w14:paraId="465D39A4">
                  <w:pPr>
                    <w:keepNext w:val="0"/>
                    <w:keepLines w:val="0"/>
                    <w:widowControl/>
                    <w:suppressLineNumbers w:val="0"/>
                    <w:spacing w:line="240" w:lineRule="auto"/>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w:t>
                  </w:r>
                  <w:r>
                    <w:rPr>
                      <w:rFonts w:hint="eastAsia" w:eastAsia="宋体" w:cs="Times New Roman"/>
                      <w:i w:val="0"/>
                      <w:iCs w:val="0"/>
                      <w:color w:val="auto"/>
                      <w:kern w:val="0"/>
                      <w:sz w:val="18"/>
                      <w:szCs w:val="18"/>
                      <w:highlight w:val="none"/>
                      <w:u w:val="none"/>
                      <w:lang w:val="en-US" w:eastAsia="zh-CN" w:bidi="ar"/>
                    </w:rPr>
                    <w:t>115</w:t>
                  </w:r>
                </w:p>
              </w:tc>
              <w:tc>
                <w:tcPr>
                  <w:tcW w:w="1618" w:type="dxa"/>
                  <w:tcBorders>
                    <w:top w:val="single" w:color="auto" w:sz="4" w:space="0"/>
                    <w:left w:val="nil"/>
                    <w:bottom w:val="single" w:color="auto" w:sz="4" w:space="0"/>
                    <w:right w:val="single" w:color="auto" w:sz="4" w:space="0"/>
                  </w:tcBorders>
                  <w:noWrap w:val="0"/>
                  <w:vAlign w:val="center"/>
                </w:tcPr>
                <w:p w14:paraId="04E4918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有组织</w:t>
                  </w:r>
                  <w:r>
                    <w:rPr>
                      <w:rFonts w:hint="eastAsia" w:eastAsia="宋体" w:cs="Times New Roman"/>
                      <w:i w:val="0"/>
                      <w:iCs w:val="0"/>
                      <w:color w:val="auto"/>
                      <w:kern w:val="0"/>
                      <w:sz w:val="18"/>
                      <w:szCs w:val="18"/>
                      <w:highlight w:val="none"/>
                      <w:u w:val="none"/>
                      <w:lang w:val="en-US" w:eastAsia="zh-CN" w:bidi="ar"/>
                    </w:rPr>
                    <w:t>115</w:t>
                  </w:r>
                </w:p>
              </w:tc>
              <w:tc>
                <w:tcPr>
                  <w:tcW w:w="828" w:type="dxa"/>
                  <w:tcBorders>
                    <w:top w:val="single" w:color="auto" w:sz="4" w:space="0"/>
                    <w:left w:val="nil"/>
                    <w:bottom w:val="single" w:color="auto" w:sz="4" w:space="0"/>
                    <w:right w:val="single" w:color="auto" w:sz="4" w:space="0"/>
                  </w:tcBorders>
                  <w:noWrap w:val="0"/>
                  <w:vAlign w:val="center"/>
                </w:tcPr>
                <w:p w14:paraId="2A6C23B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cs="Times New Roman"/>
                      <w:b w:val="0"/>
                      <w:bCs/>
                      <w:snapToGrid w:val="0"/>
                      <w:color w:val="auto"/>
                      <w:spacing w:val="0"/>
                      <w:kern w:val="2"/>
                      <w:sz w:val="18"/>
                      <w:szCs w:val="18"/>
                      <w:highlight w:val="none"/>
                      <w:lang w:val="en-US" w:eastAsia="zh-CN" w:bidi="ar-SA"/>
                    </w:rPr>
                  </w:pPr>
                  <w:r>
                    <w:rPr>
                      <w:rFonts w:hint="default" w:ascii="Times New Roman" w:hAnsi="Times New Roman" w:cs="Times New Roman"/>
                      <w:b w:val="0"/>
                      <w:bCs/>
                      <w:color w:val="auto"/>
                      <w:spacing w:val="0"/>
                      <w:kern w:val="2"/>
                      <w:sz w:val="18"/>
                      <w:szCs w:val="18"/>
                      <w:highlight w:val="none"/>
                      <w:lang w:val="en-US" w:eastAsia="zh-CN" w:bidi="ar"/>
                    </w:rPr>
                    <w:t>-</w:t>
                  </w:r>
                </w:p>
              </w:tc>
              <w:tc>
                <w:tcPr>
                  <w:tcW w:w="1026" w:type="dxa"/>
                  <w:tcBorders>
                    <w:top w:val="single" w:color="auto" w:sz="4" w:space="0"/>
                    <w:left w:val="nil"/>
                    <w:bottom w:val="single" w:color="auto" w:sz="4" w:space="0"/>
                    <w:right w:val="single" w:color="auto" w:sz="4" w:space="0"/>
                  </w:tcBorders>
                  <w:noWrap w:val="0"/>
                  <w:vAlign w:val="center"/>
                </w:tcPr>
                <w:p w14:paraId="741E6D1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r>
            <w:tr w14:paraId="1BC9D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70" w:type="dxa"/>
                  <w:vMerge w:val="continue"/>
                  <w:tcBorders>
                    <w:left w:val="single" w:color="auto" w:sz="4" w:space="0"/>
                    <w:right w:val="single" w:color="auto" w:sz="4" w:space="0"/>
                  </w:tcBorders>
                  <w:noWrap w:val="0"/>
                  <w:vAlign w:val="center"/>
                </w:tcPr>
                <w:p w14:paraId="538E908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yellow"/>
                      <w:lang w:val="en-US" w:eastAsia="zh-CN" w:bidi="ar"/>
                    </w:rPr>
                  </w:pPr>
                </w:p>
              </w:tc>
              <w:tc>
                <w:tcPr>
                  <w:tcW w:w="998" w:type="dxa"/>
                  <w:vMerge w:val="continue"/>
                  <w:tcBorders>
                    <w:left w:val="nil"/>
                    <w:right w:val="single" w:color="auto" w:sz="4" w:space="0"/>
                  </w:tcBorders>
                  <w:noWrap w:val="0"/>
                  <w:vAlign w:val="center"/>
                </w:tcPr>
                <w:p w14:paraId="5290831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auto"/>
                      <w:spacing w:val="0"/>
                      <w:kern w:val="2"/>
                      <w:sz w:val="18"/>
                      <w:szCs w:val="18"/>
                      <w:highlight w:val="yellow"/>
                      <w:lang w:val="en-US" w:eastAsia="zh-CN" w:bidi="ar"/>
                    </w:rPr>
                  </w:pPr>
                </w:p>
              </w:tc>
              <w:tc>
                <w:tcPr>
                  <w:tcW w:w="1578" w:type="dxa"/>
                  <w:tcBorders>
                    <w:top w:val="single" w:color="auto" w:sz="4" w:space="0"/>
                    <w:left w:val="nil"/>
                    <w:bottom w:val="single" w:color="auto" w:sz="4" w:space="0"/>
                    <w:right w:val="single" w:color="auto" w:sz="4" w:space="0"/>
                  </w:tcBorders>
                  <w:noWrap w:val="0"/>
                  <w:vAlign w:val="center"/>
                </w:tcPr>
                <w:p w14:paraId="5E47CC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cs="Times New Roman"/>
                      <w:bCs/>
                      <w:color w:val="auto"/>
                      <w:kern w:val="2"/>
                      <w:sz w:val="18"/>
                      <w:szCs w:val="18"/>
                      <w:highlight w:val="none"/>
                      <w:vertAlign w:val="baseline"/>
                      <w:lang w:val="en-US" w:eastAsia="zh-CN" w:bidi="ar-SA"/>
                    </w:rPr>
                    <w:t>臭气浓度</w:t>
                  </w:r>
                </w:p>
              </w:tc>
              <w:tc>
                <w:tcPr>
                  <w:tcW w:w="1192" w:type="dxa"/>
                  <w:tcBorders>
                    <w:top w:val="single" w:color="auto" w:sz="4" w:space="0"/>
                    <w:left w:val="nil"/>
                    <w:bottom w:val="single" w:color="auto" w:sz="4" w:space="0"/>
                    <w:right w:val="single" w:color="auto" w:sz="4" w:space="0"/>
                  </w:tcBorders>
                  <w:noWrap w:val="0"/>
                  <w:vAlign w:val="center"/>
                </w:tcPr>
                <w:p w14:paraId="157FDC08">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default" w:ascii="Times New Roman" w:hAnsi="Times New Roman" w:eastAsia="宋体" w:cs="Times New Roman"/>
                      <w:b w:val="0"/>
                      <w:bCs/>
                      <w:color w:val="auto"/>
                      <w:spacing w:val="0"/>
                      <w:kern w:val="2"/>
                      <w:sz w:val="18"/>
                      <w:szCs w:val="18"/>
                      <w:highlight w:val="none"/>
                      <w:lang w:val="en-US" w:eastAsia="zh-CN" w:bidi="ar"/>
                    </w:rPr>
                    <w:t>微量</w:t>
                  </w:r>
                </w:p>
              </w:tc>
              <w:tc>
                <w:tcPr>
                  <w:tcW w:w="1618" w:type="dxa"/>
                  <w:tcBorders>
                    <w:top w:val="single" w:color="auto" w:sz="4" w:space="0"/>
                    <w:left w:val="nil"/>
                    <w:bottom w:val="single" w:color="auto" w:sz="4" w:space="0"/>
                    <w:right w:val="single" w:color="auto" w:sz="4" w:space="0"/>
                  </w:tcBorders>
                  <w:noWrap w:val="0"/>
                  <w:vAlign w:val="center"/>
                </w:tcPr>
                <w:p w14:paraId="23CA0EFD">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c>
                <w:tcPr>
                  <w:tcW w:w="828" w:type="dxa"/>
                  <w:tcBorders>
                    <w:top w:val="single" w:color="auto" w:sz="4" w:space="0"/>
                    <w:left w:val="nil"/>
                    <w:bottom w:val="single" w:color="auto" w:sz="4" w:space="0"/>
                    <w:right w:val="single" w:color="auto" w:sz="4" w:space="0"/>
                  </w:tcBorders>
                  <w:noWrap w:val="0"/>
                  <w:vAlign w:val="center"/>
                </w:tcPr>
                <w:p w14:paraId="4899FB59">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cs="Times New Roman"/>
                      <w:b w:val="0"/>
                      <w:bCs/>
                      <w:snapToGrid w:val="0"/>
                      <w:color w:val="auto"/>
                      <w:spacing w:val="0"/>
                      <w:kern w:val="2"/>
                      <w:sz w:val="18"/>
                      <w:szCs w:val="18"/>
                      <w:highlight w:val="none"/>
                      <w:lang w:val="en-US" w:eastAsia="zh-CN" w:bidi="ar-SA"/>
                    </w:rPr>
                  </w:pPr>
                  <w:r>
                    <w:rPr>
                      <w:rFonts w:hint="default" w:ascii="Times New Roman" w:hAnsi="Times New Roman" w:cs="Times New Roman"/>
                      <w:b w:val="0"/>
                      <w:bCs/>
                      <w:snapToGrid w:val="0"/>
                      <w:color w:val="auto"/>
                      <w:spacing w:val="0"/>
                      <w:kern w:val="2"/>
                      <w:sz w:val="18"/>
                      <w:szCs w:val="18"/>
                      <w:highlight w:val="none"/>
                      <w:lang w:val="en-US" w:eastAsia="zh-CN" w:bidi="ar-SA"/>
                    </w:rPr>
                    <w:t>-</w:t>
                  </w:r>
                </w:p>
              </w:tc>
              <w:tc>
                <w:tcPr>
                  <w:tcW w:w="1026" w:type="dxa"/>
                  <w:tcBorders>
                    <w:top w:val="single" w:color="auto" w:sz="4" w:space="0"/>
                    <w:left w:val="nil"/>
                    <w:bottom w:val="single" w:color="auto" w:sz="4" w:space="0"/>
                    <w:right w:val="single" w:color="auto" w:sz="4" w:space="0"/>
                  </w:tcBorders>
                  <w:noWrap w:val="0"/>
                  <w:vAlign w:val="center"/>
                </w:tcPr>
                <w:p w14:paraId="74346E80">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r>
            <w:tr w14:paraId="61AED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170" w:type="dxa"/>
                  <w:vMerge w:val="restart"/>
                  <w:tcBorders>
                    <w:top w:val="single" w:color="auto" w:sz="4" w:space="0"/>
                    <w:left w:val="single" w:color="auto" w:sz="4" w:space="0"/>
                    <w:right w:val="single" w:color="auto" w:sz="4" w:space="0"/>
                  </w:tcBorders>
                  <w:noWrap w:val="0"/>
                  <w:vAlign w:val="center"/>
                </w:tcPr>
                <w:p w14:paraId="388C641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rPr>
                  </w:pPr>
                  <w:r>
                    <w:rPr>
                      <w:rFonts w:hint="default" w:ascii="Times New Roman" w:hAnsi="Times New Roman" w:eastAsia="宋体" w:cs="Times New Roman"/>
                      <w:b w:val="0"/>
                      <w:bCs/>
                      <w:color w:val="auto"/>
                      <w:spacing w:val="0"/>
                      <w:kern w:val="2"/>
                      <w:sz w:val="18"/>
                      <w:szCs w:val="18"/>
                      <w:highlight w:val="none"/>
                      <w:lang w:val="en-US" w:eastAsia="zh-CN" w:bidi="ar"/>
                    </w:rPr>
                    <w:t>废水</w:t>
                  </w:r>
                </w:p>
              </w:tc>
              <w:tc>
                <w:tcPr>
                  <w:tcW w:w="998" w:type="dxa"/>
                  <w:vMerge w:val="restart"/>
                  <w:tcBorders>
                    <w:top w:val="single" w:color="auto" w:sz="4" w:space="0"/>
                    <w:left w:val="nil"/>
                    <w:right w:val="single" w:color="auto" w:sz="4" w:space="0"/>
                  </w:tcBorders>
                  <w:noWrap w:val="0"/>
                  <w:vAlign w:val="center"/>
                </w:tcPr>
                <w:p w14:paraId="54CD159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default" w:ascii="Times New Roman" w:hAnsi="Times New Roman" w:eastAsia="宋体" w:cs="Times New Roman"/>
                      <w:b w:val="0"/>
                      <w:bCs/>
                      <w:color w:val="auto"/>
                      <w:spacing w:val="0"/>
                      <w:kern w:val="2"/>
                      <w:sz w:val="18"/>
                      <w:szCs w:val="18"/>
                      <w:highlight w:val="none"/>
                      <w:lang w:val="en-US" w:eastAsia="zh-CN" w:bidi="ar"/>
                    </w:rPr>
                    <w:t>生活污水</w:t>
                  </w:r>
                </w:p>
              </w:tc>
              <w:tc>
                <w:tcPr>
                  <w:tcW w:w="1578" w:type="dxa"/>
                  <w:tcBorders>
                    <w:top w:val="single" w:color="auto" w:sz="4" w:space="0"/>
                    <w:left w:val="nil"/>
                    <w:bottom w:val="single" w:color="auto" w:sz="4" w:space="0"/>
                    <w:right w:val="single" w:color="auto" w:sz="4" w:space="0"/>
                  </w:tcBorders>
                  <w:shd w:val="clear" w:color="auto" w:fill="auto"/>
                  <w:noWrap w:val="0"/>
                  <w:vAlign w:val="center"/>
                </w:tcPr>
                <w:p w14:paraId="22C8F10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jc w:val="center"/>
                    <w:textAlignment w:val="baseline"/>
                    <w:outlineLvl w:val="9"/>
                    <w:rPr>
                      <w:rFonts w:hint="default" w:ascii="Times New Roman" w:hAnsi="Times New Roman" w:eastAsia="宋体" w:cs="Times New Roman"/>
                      <w:b w:val="0"/>
                      <w:bCs/>
                      <w:color w:val="auto"/>
                      <w:spacing w:val="0"/>
                      <w:kern w:val="2"/>
                      <w:sz w:val="18"/>
                      <w:szCs w:val="18"/>
                      <w:highlight w:val="none"/>
                      <w:vertAlign w:val="baseline"/>
                      <w:lang w:val="en-US" w:eastAsia="zh-CN" w:bidi="ar-SA"/>
                    </w:rPr>
                  </w:pPr>
                  <w:r>
                    <w:rPr>
                      <w:rFonts w:hint="default" w:ascii="Times New Roman" w:hAnsi="Times New Roman" w:eastAsia="宋体" w:cs="Times New Roman"/>
                      <w:b w:val="0"/>
                      <w:bCs/>
                      <w:color w:val="auto"/>
                      <w:spacing w:val="0"/>
                      <w:kern w:val="2"/>
                      <w:sz w:val="18"/>
                      <w:szCs w:val="18"/>
                      <w:highlight w:val="none"/>
                      <w:vertAlign w:val="baseline"/>
                      <w:lang w:val="en-US" w:eastAsia="zh-CN" w:bidi="ar"/>
                    </w:rPr>
                    <w:t>COD</w:t>
                  </w:r>
                  <w:r>
                    <w:rPr>
                      <w:rFonts w:hint="default" w:ascii="Times New Roman" w:hAnsi="Times New Roman" w:eastAsia="宋体" w:cs="Times New Roman"/>
                      <w:b w:val="0"/>
                      <w:bCs/>
                      <w:color w:val="auto"/>
                      <w:spacing w:val="0"/>
                      <w:kern w:val="2"/>
                      <w:sz w:val="18"/>
                      <w:szCs w:val="18"/>
                      <w:highlight w:val="none"/>
                      <w:vertAlign w:val="subscript"/>
                      <w:lang w:val="en-US" w:eastAsia="zh-CN" w:bidi="ar"/>
                    </w:rPr>
                    <w:t>Cr</w:t>
                  </w:r>
                </w:p>
              </w:tc>
              <w:tc>
                <w:tcPr>
                  <w:tcW w:w="2810" w:type="dxa"/>
                  <w:gridSpan w:val="2"/>
                  <w:tcBorders>
                    <w:top w:val="single" w:color="auto" w:sz="4" w:space="0"/>
                    <w:left w:val="nil"/>
                    <w:bottom w:val="single" w:color="auto" w:sz="4" w:space="0"/>
                    <w:right w:val="single" w:color="auto" w:sz="4" w:space="0"/>
                  </w:tcBorders>
                  <w:noWrap w:val="0"/>
                  <w:vAlign w:val="center"/>
                </w:tcPr>
                <w:p w14:paraId="67D86CA5">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0</w:t>
                  </w:r>
                </w:p>
              </w:tc>
              <w:tc>
                <w:tcPr>
                  <w:tcW w:w="828" w:type="dxa"/>
                  <w:tcBorders>
                    <w:top w:val="single" w:color="auto" w:sz="4" w:space="0"/>
                    <w:left w:val="nil"/>
                    <w:bottom w:val="single" w:color="auto" w:sz="4" w:space="0"/>
                    <w:right w:val="single" w:color="auto" w:sz="4" w:space="0"/>
                  </w:tcBorders>
                  <w:noWrap w:val="0"/>
                  <w:vAlign w:val="center"/>
                </w:tcPr>
                <w:p w14:paraId="3DD12A19">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c>
                <w:tcPr>
                  <w:tcW w:w="1026" w:type="dxa"/>
                  <w:tcBorders>
                    <w:top w:val="single" w:color="auto" w:sz="4" w:space="0"/>
                    <w:left w:val="nil"/>
                    <w:bottom w:val="single" w:color="auto" w:sz="4" w:space="0"/>
                    <w:right w:val="single" w:color="auto" w:sz="4" w:space="0"/>
                  </w:tcBorders>
                  <w:noWrap w:val="0"/>
                  <w:vAlign w:val="center"/>
                </w:tcPr>
                <w:p w14:paraId="74FE799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r>
            <w:tr w14:paraId="44D11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170" w:type="dxa"/>
                  <w:vMerge w:val="continue"/>
                  <w:tcBorders>
                    <w:left w:val="single" w:color="auto" w:sz="4" w:space="0"/>
                    <w:right w:val="single" w:color="auto" w:sz="4" w:space="0"/>
                  </w:tcBorders>
                  <w:noWrap w:val="0"/>
                  <w:vAlign w:val="center"/>
                </w:tcPr>
                <w:p w14:paraId="71E61386">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998" w:type="dxa"/>
                  <w:vMerge w:val="continue"/>
                  <w:tcBorders>
                    <w:left w:val="nil"/>
                    <w:right w:val="single" w:color="auto" w:sz="4" w:space="0"/>
                  </w:tcBorders>
                  <w:noWrap w:val="0"/>
                  <w:vAlign w:val="center"/>
                </w:tcPr>
                <w:p w14:paraId="32860CC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1578" w:type="dxa"/>
                  <w:tcBorders>
                    <w:top w:val="single" w:color="auto" w:sz="4" w:space="0"/>
                    <w:left w:val="nil"/>
                    <w:bottom w:val="single" w:color="auto" w:sz="4" w:space="0"/>
                    <w:right w:val="single" w:color="auto" w:sz="4" w:space="0"/>
                  </w:tcBorders>
                  <w:shd w:val="clear" w:color="auto" w:fill="auto"/>
                  <w:noWrap w:val="0"/>
                  <w:vAlign w:val="center"/>
                </w:tcPr>
                <w:p w14:paraId="045C3B5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vertAlign w:val="baseline"/>
                      <w:lang w:val="en-US" w:eastAsia="zh-CN" w:bidi="ar"/>
                    </w:rPr>
                  </w:pPr>
                  <w:r>
                    <w:rPr>
                      <w:rFonts w:hint="default" w:ascii="Times New Roman" w:hAnsi="Times New Roman" w:eastAsia="宋体" w:cs="Times New Roman"/>
                      <w:b w:val="0"/>
                      <w:bCs/>
                      <w:color w:val="auto"/>
                      <w:spacing w:val="0"/>
                      <w:kern w:val="2"/>
                      <w:sz w:val="18"/>
                      <w:szCs w:val="18"/>
                      <w:highlight w:val="none"/>
                      <w:vertAlign w:val="baseline"/>
                      <w:lang w:val="en-US" w:eastAsia="zh-CN" w:bidi="ar"/>
                    </w:rPr>
                    <w:t>氨氮</w:t>
                  </w:r>
                </w:p>
              </w:tc>
              <w:tc>
                <w:tcPr>
                  <w:tcW w:w="2810" w:type="dxa"/>
                  <w:gridSpan w:val="2"/>
                  <w:tcBorders>
                    <w:top w:val="single" w:color="auto" w:sz="4" w:space="0"/>
                    <w:left w:val="nil"/>
                    <w:bottom w:val="single" w:color="auto" w:sz="4" w:space="0"/>
                    <w:right w:val="single" w:color="auto" w:sz="4" w:space="0"/>
                  </w:tcBorders>
                  <w:noWrap w:val="0"/>
                  <w:vAlign w:val="center"/>
                </w:tcPr>
                <w:p w14:paraId="5A97821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0</w:t>
                  </w:r>
                </w:p>
              </w:tc>
              <w:tc>
                <w:tcPr>
                  <w:tcW w:w="828" w:type="dxa"/>
                  <w:tcBorders>
                    <w:top w:val="single" w:color="auto" w:sz="4" w:space="0"/>
                    <w:left w:val="nil"/>
                    <w:bottom w:val="single" w:color="auto" w:sz="4" w:space="0"/>
                    <w:right w:val="single" w:color="auto" w:sz="4" w:space="0"/>
                  </w:tcBorders>
                  <w:noWrap w:val="0"/>
                  <w:vAlign w:val="center"/>
                </w:tcPr>
                <w:p w14:paraId="3F75FA2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c>
                <w:tcPr>
                  <w:tcW w:w="1026" w:type="dxa"/>
                  <w:tcBorders>
                    <w:top w:val="single" w:color="auto" w:sz="4" w:space="0"/>
                    <w:left w:val="nil"/>
                    <w:bottom w:val="single" w:color="auto" w:sz="4" w:space="0"/>
                    <w:right w:val="single" w:color="auto" w:sz="4" w:space="0"/>
                  </w:tcBorders>
                  <w:noWrap w:val="0"/>
                  <w:vAlign w:val="center"/>
                </w:tcPr>
                <w:p w14:paraId="3F829B7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r>
            <w:tr w14:paraId="0C92B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70" w:type="dxa"/>
                  <w:vMerge w:val="restart"/>
                  <w:tcBorders>
                    <w:top w:val="nil"/>
                    <w:left w:val="single" w:color="auto" w:sz="4" w:space="0"/>
                    <w:right w:val="single" w:color="auto" w:sz="4" w:space="0"/>
                  </w:tcBorders>
                  <w:noWrap w:val="0"/>
                  <w:vAlign w:val="center"/>
                </w:tcPr>
                <w:p w14:paraId="2AD58A59">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rPr>
                  </w:pPr>
                  <w:r>
                    <w:rPr>
                      <w:rFonts w:hint="default" w:ascii="Times New Roman" w:hAnsi="Times New Roman" w:eastAsia="宋体" w:cs="Times New Roman"/>
                      <w:b w:val="0"/>
                      <w:bCs/>
                      <w:color w:val="auto"/>
                      <w:spacing w:val="0"/>
                      <w:kern w:val="2"/>
                      <w:sz w:val="18"/>
                      <w:szCs w:val="18"/>
                      <w:highlight w:val="none"/>
                      <w:lang w:val="en-US" w:eastAsia="zh-CN" w:bidi="ar"/>
                    </w:rPr>
                    <w:t>固废</w:t>
                  </w:r>
                </w:p>
              </w:tc>
              <w:tc>
                <w:tcPr>
                  <w:tcW w:w="998" w:type="dxa"/>
                  <w:tcBorders>
                    <w:top w:val="single" w:color="auto" w:sz="4" w:space="0"/>
                    <w:left w:val="nil"/>
                    <w:bottom w:val="single" w:color="auto" w:sz="4" w:space="0"/>
                    <w:right w:val="single" w:color="auto" w:sz="4" w:space="0"/>
                  </w:tcBorders>
                  <w:noWrap w:val="0"/>
                  <w:vAlign w:val="center"/>
                </w:tcPr>
                <w:p w14:paraId="13D3F920">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rPr>
                  </w:pPr>
                  <w:r>
                    <w:rPr>
                      <w:rFonts w:hint="default" w:ascii="Times New Roman" w:hAnsi="Times New Roman" w:eastAsia="宋体" w:cs="Times New Roman"/>
                      <w:b w:val="0"/>
                      <w:bCs/>
                      <w:color w:val="auto"/>
                      <w:spacing w:val="0"/>
                      <w:kern w:val="2"/>
                      <w:sz w:val="18"/>
                      <w:szCs w:val="18"/>
                      <w:highlight w:val="none"/>
                      <w:lang w:val="en-US" w:eastAsia="zh-CN" w:bidi="ar"/>
                    </w:rPr>
                    <w:t>职工生活</w:t>
                  </w:r>
                </w:p>
              </w:tc>
              <w:tc>
                <w:tcPr>
                  <w:tcW w:w="1578" w:type="dxa"/>
                  <w:tcBorders>
                    <w:top w:val="single" w:color="auto" w:sz="4" w:space="0"/>
                    <w:left w:val="nil"/>
                    <w:bottom w:val="single" w:color="auto" w:sz="4" w:space="0"/>
                    <w:right w:val="single" w:color="auto" w:sz="4" w:space="0"/>
                  </w:tcBorders>
                  <w:noWrap w:val="0"/>
                  <w:vAlign w:val="center"/>
                </w:tcPr>
                <w:p w14:paraId="08274A73">
                  <w:pPr>
                    <w:keepNext w:val="0"/>
                    <w:keepLines w:val="0"/>
                    <w:pageBreakBefore w:val="0"/>
                    <w:kinsoku/>
                    <w:wordWrap/>
                    <w:overflowPunct/>
                    <w:topLinePunct w:val="0"/>
                    <w:autoSpaceDN/>
                    <w:bidi w:val="0"/>
                    <w:spacing w:line="360" w:lineRule="exact"/>
                    <w:jc w:val="center"/>
                    <w:outlineLvl w:val="9"/>
                    <w:rPr>
                      <w:rFonts w:hint="default" w:ascii="Times New Roman" w:hAnsi="Times New Roman" w:eastAsia="宋体" w:cs="Times New Roman"/>
                      <w:b w:val="0"/>
                      <w:bCs/>
                      <w:color w:val="auto"/>
                      <w:spacing w:val="0"/>
                      <w:kern w:val="13"/>
                      <w:sz w:val="18"/>
                      <w:szCs w:val="18"/>
                      <w:highlight w:val="none"/>
                      <w:lang w:val="en-US" w:eastAsia="zh-CN" w:bidi="ar-SA"/>
                    </w:rPr>
                  </w:pPr>
                  <w:r>
                    <w:rPr>
                      <w:rFonts w:hint="default" w:ascii="Times New Roman" w:hAnsi="Times New Roman" w:eastAsia="宋体" w:cs="Times New Roman"/>
                      <w:b w:val="0"/>
                      <w:bCs/>
                      <w:color w:val="auto"/>
                      <w:spacing w:val="0"/>
                      <w:kern w:val="13"/>
                      <w:sz w:val="18"/>
                      <w:szCs w:val="18"/>
                      <w:highlight w:val="none"/>
                    </w:rPr>
                    <w:t>生活垃圾</w:t>
                  </w:r>
                </w:p>
              </w:tc>
              <w:tc>
                <w:tcPr>
                  <w:tcW w:w="2810" w:type="dxa"/>
                  <w:gridSpan w:val="2"/>
                  <w:tcBorders>
                    <w:top w:val="single" w:color="auto" w:sz="4" w:space="0"/>
                    <w:left w:val="nil"/>
                    <w:bottom w:val="single" w:color="auto" w:sz="4" w:space="0"/>
                    <w:right w:val="single" w:color="auto" w:sz="4" w:space="0"/>
                  </w:tcBorders>
                  <w:noWrap w:val="0"/>
                  <w:vAlign w:val="center"/>
                </w:tcPr>
                <w:p w14:paraId="53A90FA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val="en-US"/>
                    </w:rPr>
                  </w:pPr>
                  <w:r>
                    <w:rPr>
                      <w:rFonts w:hint="eastAsia" w:cs="Times New Roman"/>
                      <w:b w:val="0"/>
                      <w:bCs/>
                      <w:color w:val="auto"/>
                      <w:spacing w:val="0"/>
                      <w:kern w:val="2"/>
                      <w:sz w:val="18"/>
                      <w:szCs w:val="18"/>
                      <w:highlight w:val="none"/>
                      <w:lang w:val="en-US" w:eastAsia="zh-CN" w:bidi="ar"/>
                    </w:rPr>
                    <w:t>7.5</w:t>
                  </w:r>
                  <w:r>
                    <w:rPr>
                      <w:rFonts w:hint="default" w:ascii="Times New Roman" w:hAnsi="Times New Roman" w:cs="Times New Roman"/>
                      <w:b w:val="0"/>
                      <w:bCs/>
                      <w:color w:val="auto"/>
                      <w:spacing w:val="0"/>
                      <w:kern w:val="2"/>
                      <w:sz w:val="18"/>
                      <w:szCs w:val="18"/>
                      <w:highlight w:val="none"/>
                      <w:lang w:val="en-US" w:eastAsia="zh-CN" w:bidi="ar"/>
                    </w:rPr>
                    <w:t>t/a，</w:t>
                  </w:r>
                  <w:r>
                    <w:rPr>
                      <w:rFonts w:hint="default" w:ascii="Times New Roman" w:hAnsi="Times New Roman" w:eastAsia="宋体" w:cs="Times New Roman"/>
                      <w:caps w:val="0"/>
                      <w:color w:val="auto"/>
                      <w:spacing w:val="0"/>
                      <w:position w:val="0"/>
                      <w:sz w:val="18"/>
                      <w:szCs w:val="18"/>
                      <w:highlight w:val="none"/>
                      <w:lang w:eastAsia="zh-CN" w:bidi="ar"/>
                    </w:rPr>
                    <w:t>环卫部门定期清运</w:t>
                  </w:r>
                  <w:r>
                    <w:rPr>
                      <w:rFonts w:hint="default" w:ascii="Times New Roman" w:hAnsi="Times New Roman" w:eastAsia="宋体" w:cs="Times New Roman"/>
                      <w:caps w:val="0"/>
                      <w:color w:val="auto"/>
                      <w:spacing w:val="0"/>
                      <w:position w:val="0"/>
                      <w:sz w:val="18"/>
                      <w:szCs w:val="18"/>
                      <w:highlight w:val="none"/>
                      <w:lang w:bidi="ar"/>
                    </w:rPr>
                    <w:t>处理</w:t>
                  </w:r>
                </w:p>
              </w:tc>
              <w:tc>
                <w:tcPr>
                  <w:tcW w:w="828" w:type="dxa"/>
                  <w:tcBorders>
                    <w:top w:val="single" w:color="auto" w:sz="4" w:space="0"/>
                    <w:left w:val="nil"/>
                    <w:bottom w:val="single" w:color="auto" w:sz="4" w:space="0"/>
                    <w:right w:val="single" w:color="auto" w:sz="4" w:space="0"/>
                  </w:tcBorders>
                  <w:noWrap w:val="0"/>
                  <w:vAlign w:val="center"/>
                </w:tcPr>
                <w:p w14:paraId="660A611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c>
                <w:tcPr>
                  <w:tcW w:w="1026" w:type="dxa"/>
                  <w:tcBorders>
                    <w:top w:val="single" w:color="auto" w:sz="4" w:space="0"/>
                    <w:left w:val="nil"/>
                    <w:bottom w:val="single" w:color="auto" w:sz="4" w:space="0"/>
                    <w:right w:val="single" w:color="auto" w:sz="4" w:space="0"/>
                  </w:tcBorders>
                  <w:noWrap w:val="0"/>
                  <w:vAlign w:val="center"/>
                </w:tcPr>
                <w:p w14:paraId="79AF351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r>
            <w:tr w14:paraId="614FF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70" w:type="dxa"/>
                  <w:vMerge w:val="continue"/>
                  <w:tcBorders>
                    <w:left w:val="single" w:color="auto" w:sz="4" w:space="0"/>
                    <w:right w:val="single" w:color="auto" w:sz="4" w:space="0"/>
                  </w:tcBorders>
                  <w:noWrap w:val="0"/>
                  <w:vAlign w:val="center"/>
                </w:tcPr>
                <w:p w14:paraId="4F97FB6D">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auto"/>
                      <w:spacing w:val="0"/>
                      <w:sz w:val="18"/>
                      <w:szCs w:val="18"/>
                      <w:highlight w:val="none"/>
                    </w:rPr>
                  </w:pPr>
                </w:p>
              </w:tc>
              <w:tc>
                <w:tcPr>
                  <w:tcW w:w="998" w:type="dxa"/>
                  <w:vMerge w:val="restart"/>
                  <w:tcBorders>
                    <w:top w:val="nil"/>
                    <w:left w:val="nil"/>
                    <w:right w:val="single" w:color="auto" w:sz="4" w:space="0"/>
                  </w:tcBorders>
                  <w:noWrap w:val="0"/>
                  <w:vAlign w:val="center"/>
                </w:tcPr>
                <w:p w14:paraId="366C8032">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pacing w:val="0"/>
                      <w:kern w:val="2"/>
                      <w:sz w:val="18"/>
                      <w:szCs w:val="18"/>
                      <w:highlight w:val="none"/>
                    </w:rPr>
                  </w:pPr>
                  <w:r>
                    <w:rPr>
                      <w:rFonts w:hint="default" w:ascii="Times New Roman" w:hAnsi="Times New Roman" w:eastAsia="宋体" w:cs="Times New Roman"/>
                      <w:b w:val="0"/>
                      <w:bCs/>
                      <w:color w:val="auto"/>
                      <w:spacing w:val="0"/>
                      <w:kern w:val="2"/>
                      <w:sz w:val="18"/>
                      <w:szCs w:val="18"/>
                      <w:highlight w:val="none"/>
                      <w:lang w:val="en-US" w:eastAsia="zh-CN" w:bidi="ar"/>
                    </w:rPr>
                    <w:t>一般工业固废</w:t>
                  </w:r>
                </w:p>
              </w:tc>
              <w:tc>
                <w:tcPr>
                  <w:tcW w:w="1578" w:type="dxa"/>
                  <w:tcBorders>
                    <w:top w:val="single" w:color="auto" w:sz="4" w:space="0"/>
                    <w:left w:val="nil"/>
                    <w:bottom w:val="single" w:color="auto" w:sz="4" w:space="0"/>
                    <w:right w:val="single" w:color="auto" w:sz="4" w:space="0"/>
                  </w:tcBorders>
                  <w:noWrap w:val="0"/>
                  <w:vAlign w:val="center"/>
                </w:tcPr>
                <w:p w14:paraId="355B2709">
                  <w:pPr>
                    <w:keepNext w:val="0"/>
                    <w:keepLines w:val="0"/>
                    <w:pageBreakBefore w:val="0"/>
                    <w:kinsoku/>
                    <w:wordWrap/>
                    <w:overflowPunct/>
                    <w:topLinePunct w:val="0"/>
                    <w:autoSpaceDN/>
                    <w:bidi w:val="0"/>
                    <w:spacing w:line="360" w:lineRule="exact"/>
                    <w:jc w:val="center"/>
                    <w:outlineLvl w:val="9"/>
                    <w:rPr>
                      <w:rFonts w:hint="default" w:ascii="Times New Roman" w:hAnsi="Times New Roman" w:eastAsia="宋体" w:cs="Times New Roman"/>
                      <w:b w:val="0"/>
                      <w:bCs/>
                      <w:color w:val="auto"/>
                      <w:spacing w:val="0"/>
                      <w:kern w:val="13"/>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废包装袋</w:t>
                  </w:r>
                </w:p>
              </w:tc>
              <w:tc>
                <w:tcPr>
                  <w:tcW w:w="2810" w:type="dxa"/>
                  <w:gridSpan w:val="2"/>
                  <w:tcBorders>
                    <w:top w:val="single" w:color="auto" w:sz="4" w:space="0"/>
                    <w:left w:val="nil"/>
                    <w:bottom w:val="single" w:color="auto" w:sz="4" w:space="0"/>
                    <w:right w:val="single" w:color="auto" w:sz="4" w:space="0"/>
                  </w:tcBorders>
                  <w:noWrap w:val="0"/>
                  <w:vAlign w:val="center"/>
                </w:tcPr>
                <w:p w14:paraId="213A5E7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auto"/>
                      <w:spacing w:val="0"/>
                      <w:kern w:val="2"/>
                      <w:sz w:val="18"/>
                      <w:szCs w:val="18"/>
                      <w:highlight w:val="none"/>
                      <w:lang w:eastAsia="zh-CN"/>
                    </w:rPr>
                  </w:pPr>
                  <w:r>
                    <w:rPr>
                      <w:rFonts w:hint="eastAsia" w:cs="Times New Roman"/>
                      <w:color w:val="auto"/>
                      <w:spacing w:val="0"/>
                      <w:kern w:val="2"/>
                      <w:sz w:val="18"/>
                      <w:szCs w:val="18"/>
                      <w:highlight w:val="none"/>
                      <w:lang w:val="en-US" w:eastAsia="zh-CN" w:bidi="ar"/>
                    </w:rPr>
                    <w:t>3</w:t>
                  </w:r>
                  <w:r>
                    <w:rPr>
                      <w:rFonts w:hint="default" w:ascii="Times New Roman" w:hAnsi="Times New Roman" w:cs="Times New Roman"/>
                      <w:color w:val="auto"/>
                      <w:spacing w:val="0"/>
                      <w:kern w:val="2"/>
                      <w:sz w:val="18"/>
                      <w:szCs w:val="18"/>
                      <w:highlight w:val="none"/>
                      <w:lang w:val="en-US" w:eastAsia="zh-CN" w:bidi="ar"/>
                    </w:rPr>
                    <w:t>t/a，</w:t>
                  </w:r>
                  <w:r>
                    <w:rPr>
                      <w:rFonts w:hint="default" w:ascii="Times New Roman" w:hAnsi="Times New Roman" w:cs="Times New Roman"/>
                      <w:b w:val="0"/>
                      <w:bCs/>
                      <w:color w:val="auto"/>
                      <w:spacing w:val="0"/>
                      <w:kern w:val="2"/>
                      <w:sz w:val="18"/>
                      <w:szCs w:val="18"/>
                      <w:highlight w:val="none"/>
                      <w:lang w:val="en-US" w:eastAsia="zh-CN" w:bidi="ar"/>
                    </w:rPr>
                    <w:t>外卖处理</w:t>
                  </w:r>
                </w:p>
              </w:tc>
              <w:tc>
                <w:tcPr>
                  <w:tcW w:w="828" w:type="dxa"/>
                  <w:tcBorders>
                    <w:top w:val="single" w:color="auto" w:sz="4" w:space="0"/>
                    <w:left w:val="nil"/>
                    <w:bottom w:val="single" w:color="auto" w:sz="4" w:space="0"/>
                    <w:right w:val="single" w:color="auto" w:sz="4" w:space="0"/>
                  </w:tcBorders>
                  <w:noWrap w:val="0"/>
                  <w:vAlign w:val="center"/>
                </w:tcPr>
                <w:p w14:paraId="6C1F1286">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rPr>
                  </w:pPr>
                  <w:r>
                    <w:rPr>
                      <w:rFonts w:hint="default" w:ascii="Times New Roman" w:hAnsi="Times New Roman" w:cs="Times New Roman"/>
                      <w:b w:val="0"/>
                      <w:bCs/>
                      <w:color w:val="auto"/>
                      <w:spacing w:val="0"/>
                      <w:kern w:val="2"/>
                      <w:sz w:val="18"/>
                      <w:szCs w:val="18"/>
                      <w:highlight w:val="none"/>
                      <w:lang w:val="en-US" w:eastAsia="zh-CN" w:bidi="ar"/>
                    </w:rPr>
                    <w:t>-</w:t>
                  </w:r>
                </w:p>
              </w:tc>
              <w:tc>
                <w:tcPr>
                  <w:tcW w:w="1026" w:type="dxa"/>
                  <w:tcBorders>
                    <w:top w:val="single" w:color="auto" w:sz="4" w:space="0"/>
                    <w:left w:val="nil"/>
                    <w:bottom w:val="single" w:color="auto" w:sz="4" w:space="0"/>
                    <w:right w:val="single" w:color="auto" w:sz="4" w:space="0"/>
                  </w:tcBorders>
                  <w:noWrap w:val="0"/>
                  <w:vAlign w:val="center"/>
                </w:tcPr>
                <w:p w14:paraId="2512FC0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eastAsia="zh-CN"/>
                    </w:rPr>
                  </w:pPr>
                  <w:r>
                    <w:rPr>
                      <w:rFonts w:hint="default" w:ascii="Times New Roman" w:hAnsi="Times New Roman" w:cs="Times New Roman"/>
                      <w:b w:val="0"/>
                      <w:bCs/>
                      <w:color w:val="auto"/>
                      <w:spacing w:val="0"/>
                      <w:kern w:val="2"/>
                      <w:sz w:val="18"/>
                      <w:szCs w:val="18"/>
                      <w:highlight w:val="none"/>
                      <w:lang w:val="en-US" w:eastAsia="zh-CN" w:bidi="ar"/>
                    </w:rPr>
                    <w:t>-</w:t>
                  </w:r>
                </w:p>
              </w:tc>
            </w:tr>
            <w:tr w14:paraId="3ECD2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70" w:type="dxa"/>
                  <w:vMerge w:val="continue"/>
                  <w:tcBorders>
                    <w:left w:val="single" w:color="auto" w:sz="4" w:space="0"/>
                    <w:right w:val="single" w:color="auto" w:sz="4" w:space="0"/>
                  </w:tcBorders>
                  <w:noWrap w:val="0"/>
                  <w:vAlign w:val="center"/>
                </w:tcPr>
                <w:p w14:paraId="6A0133ED">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auto"/>
                      <w:spacing w:val="0"/>
                      <w:sz w:val="18"/>
                      <w:szCs w:val="18"/>
                      <w:highlight w:val="none"/>
                    </w:rPr>
                  </w:pPr>
                </w:p>
              </w:tc>
              <w:tc>
                <w:tcPr>
                  <w:tcW w:w="998" w:type="dxa"/>
                  <w:vMerge w:val="continue"/>
                  <w:tcBorders>
                    <w:left w:val="nil"/>
                    <w:right w:val="single" w:color="auto" w:sz="4" w:space="0"/>
                  </w:tcBorders>
                  <w:noWrap w:val="0"/>
                  <w:vAlign w:val="center"/>
                </w:tcPr>
                <w:p w14:paraId="34BACB0C">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1578" w:type="dxa"/>
                  <w:tcBorders>
                    <w:top w:val="single" w:color="auto" w:sz="4" w:space="0"/>
                    <w:left w:val="nil"/>
                    <w:bottom w:val="single" w:color="auto" w:sz="4" w:space="0"/>
                    <w:right w:val="single" w:color="auto" w:sz="4" w:space="0"/>
                  </w:tcBorders>
                  <w:noWrap w:val="0"/>
                  <w:vAlign w:val="center"/>
                </w:tcPr>
                <w:p w14:paraId="42F263E3">
                  <w:pPr>
                    <w:keepNext w:val="0"/>
                    <w:keepLines w:val="0"/>
                    <w:pageBreakBefore w:val="0"/>
                    <w:kinsoku/>
                    <w:wordWrap/>
                    <w:overflowPunct/>
                    <w:topLinePunct w:val="0"/>
                    <w:autoSpaceDN/>
                    <w:bidi w:val="0"/>
                    <w:spacing w:line="360" w:lineRule="exact"/>
                    <w:jc w:val="center"/>
                    <w:outlineLvl w:val="9"/>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color w:val="auto"/>
                      <w:kern w:val="2"/>
                      <w:sz w:val="18"/>
                      <w:szCs w:val="18"/>
                      <w:highlight w:val="none"/>
                      <w:lang w:val="en-US" w:eastAsia="zh-CN" w:bidi="ar-SA"/>
                    </w:rPr>
                    <w:t>废旧石膏模具</w:t>
                  </w:r>
                </w:p>
              </w:tc>
              <w:tc>
                <w:tcPr>
                  <w:tcW w:w="2810" w:type="dxa"/>
                  <w:gridSpan w:val="2"/>
                  <w:tcBorders>
                    <w:top w:val="single" w:color="auto" w:sz="4" w:space="0"/>
                    <w:left w:val="nil"/>
                    <w:bottom w:val="single" w:color="auto" w:sz="4" w:space="0"/>
                    <w:right w:val="single" w:color="auto" w:sz="4" w:space="0"/>
                  </w:tcBorders>
                  <w:noWrap w:val="0"/>
                  <w:vAlign w:val="center"/>
                </w:tcPr>
                <w:p w14:paraId="36F6384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eastAsia" w:cs="Times New Roman"/>
                      <w:b w:val="0"/>
                      <w:bCs/>
                      <w:color w:val="auto"/>
                      <w:spacing w:val="0"/>
                      <w:kern w:val="2"/>
                      <w:sz w:val="18"/>
                      <w:szCs w:val="18"/>
                      <w:highlight w:val="none"/>
                      <w:lang w:val="en-US" w:eastAsia="zh-CN" w:bidi="ar"/>
                    </w:rPr>
                    <w:t>40</w:t>
                  </w:r>
                  <w:r>
                    <w:rPr>
                      <w:rFonts w:hint="default" w:ascii="Times New Roman" w:hAnsi="Times New Roman" w:cs="Times New Roman"/>
                      <w:b w:val="0"/>
                      <w:bCs/>
                      <w:color w:val="auto"/>
                      <w:spacing w:val="0"/>
                      <w:kern w:val="2"/>
                      <w:sz w:val="18"/>
                      <w:szCs w:val="18"/>
                      <w:highlight w:val="none"/>
                      <w:lang w:val="en-US" w:eastAsia="zh-CN" w:bidi="ar"/>
                    </w:rPr>
                    <w:t>0t/a，外卖处理</w:t>
                  </w:r>
                </w:p>
              </w:tc>
              <w:tc>
                <w:tcPr>
                  <w:tcW w:w="828" w:type="dxa"/>
                  <w:tcBorders>
                    <w:top w:val="single" w:color="auto" w:sz="4" w:space="0"/>
                    <w:left w:val="nil"/>
                    <w:bottom w:val="single" w:color="auto" w:sz="4" w:space="0"/>
                    <w:right w:val="single" w:color="auto" w:sz="4" w:space="0"/>
                  </w:tcBorders>
                  <w:noWrap w:val="0"/>
                  <w:vAlign w:val="center"/>
                </w:tcPr>
                <w:p w14:paraId="5B147CD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c>
                <w:tcPr>
                  <w:tcW w:w="1026" w:type="dxa"/>
                  <w:tcBorders>
                    <w:top w:val="single" w:color="auto" w:sz="4" w:space="0"/>
                    <w:left w:val="nil"/>
                    <w:bottom w:val="single" w:color="auto" w:sz="4" w:space="0"/>
                    <w:right w:val="single" w:color="auto" w:sz="4" w:space="0"/>
                  </w:tcBorders>
                  <w:noWrap w:val="0"/>
                  <w:vAlign w:val="center"/>
                </w:tcPr>
                <w:p w14:paraId="233EB04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r>
            <w:tr w14:paraId="416E4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70" w:type="dxa"/>
                  <w:vMerge w:val="continue"/>
                  <w:tcBorders>
                    <w:left w:val="single" w:color="auto" w:sz="4" w:space="0"/>
                    <w:right w:val="single" w:color="auto" w:sz="4" w:space="0"/>
                  </w:tcBorders>
                  <w:noWrap w:val="0"/>
                  <w:vAlign w:val="center"/>
                </w:tcPr>
                <w:p w14:paraId="41D98A6A">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auto"/>
                      <w:spacing w:val="0"/>
                      <w:sz w:val="18"/>
                      <w:szCs w:val="18"/>
                      <w:highlight w:val="none"/>
                    </w:rPr>
                  </w:pPr>
                </w:p>
              </w:tc>
              <w:tc>
                <w:tcPr>
                  <w:tcW w:w="998" w:type="dxa"/>
                  <w:vMerge w:val="continue"/>
                  <w:tcBorders>
                    <w:left w:val="nil"/>
                    <w:right w:val="single" w:color="auto" w:sz="4" w:space="0"/>
                  </w:tcBorders>
                  <w:noWrap w:val="0"/>
                  <w:vAlign w:val="center"/>
                </w:tcPr>
                <w:p w14:paraId="66A071C3">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1578" w:type="dxa"/>
                  <w:tcBorders>
                    <w:top w:val="single" w:color="auto" w:sz="4" w:space="0"/>
                    <w:left w:val="nil"/>
                    <w:bottom w:val="single" w:color="auto" w:sz="4" w:space="0"/>
                    <w:right w:val="single" w:color="auto" w:sz="4" w:space="0"/>
                  </w:tcBorders>
                  <w:shd w:val="clear" w:color="auto" w:fill="auto"/>
                  <w:noWrap w:val="0"/>
                  <w:vAlign w:val="center"/>
                </w:tcPr>
                <w:p w14:paraId="16610BD9">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 w:val="21"/>
                      <w:szCs w:val="21"/>
                      <w:highlight w:val="none"/>
                      <w:lang w:val="en-US" w:eastAsia="zh-CN"/>
                    </w:rPr>
                    <w:t>筛分废料</w:t>
                  </w:r>
                </w:p>
              </w:tc>
              <w:tc>
                <w:tcPr>
                  <w:tcW w:w="2810" w:type="dxa"/>
                  <w:gridSpan w:val="2"/>
                  <w:tcBorders>
                    <w:top w:val="single" w:color="auto" w:sz="4" w:space="0"/>
                    <w:left w:val="nil"/>
                    <w:bottom w:val="single" w:color="auto" w:sz="4" w:space="0"/>
                    <w:right w:val="single" w:color="auto" w:sz="4" w:space="0"/>
                  </w:tcBorders>
                  <w:noWrap w:val="0"/>
                  <w:vAlign w:val="center"/>
                </w:tcPr>
                <w:p w14:paraId="6C40E1E6">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cs="Times New Roman"/>
                      <w:b w:val="0"/>
                      <w:bCs/>
                      <w:color w:val="auto"/>
                      <w:spacing w:val="0"/>
                      <w:kern w:val="2"/>
                      <w:sz w:val="18"/>
                      <w:szCs w:val="18"/>
                      <w:highlight w:val="none"/>
                      <w:lang w:val="en-US" w:eastAsia="zh-CN" w:bidi="ar"/>
                    </w:rPr>
                  </w:pPr>
                  <w:r>
                    <w:rPr>
                      <w:rFonts w:hint="eastAsia" w:cs="Times New Roman"/>
                      <w:b w:val="0"/>
                      <w:bCs/>
                      <w:color w:val="auto"/>
                      <w:spacing w:val="0"/>
                      <w:kern w:val="2"/>
                      <w:sz w:val="18"/>
                      <w:szCs w:val="18"/>
                      <w:highlight w:val="none"/>
                      <w:lang w:val="en-US" w:eastAsia="zh-CN" w:bidi="ar"/>
                    </w:rPr>
                    <w:t>15</w:t>
                  </w:r>
                  <w:r>
                    <w:rPr>
                      <w:rFonts w:hint="default" w:ascii="Times New Roman" w:hAnsi="Times New Roman" w:cs="Times New Roman"/>
                      <w:b w:val="0"/>
                      <w:bCs/>
                      <w:color w:val="auto"/>
                      <w:spacing w:val="0"/>
                      <w:kern w:val="2"/>
                      <w:sz w:val="18"/>
                      <w:szCs w:val="18"/>
                      <w:highlight w:val="none"/>
                      <w:lang w:val="en-US" w:eastAsia="zh-CN" w:bidi="ar"/>
                    </w:rPr>
                    <w:t>t/a，外卖处理</w:t>
                  </w:r>
                </w:p>
              </w:tc>
              <w:tc>
                <w:tcPr>
                  <w:tcW w:w="828" w:type="dxa"/>
                  <w:tcBorders>
                    <w:top w:val="single" w:color="auto" w:sz="4" w:space="0"/>
                    <w:left w:val="nil"/>
                    <w:bottom w:val="single" w:color="auto" w:sz="4" w:space="0"/>
                    <w:right w:val="single" w:color="auto" w:sz="4" w:space="0"/>
                  </w:tcBorders>
                  <w:noWrap w:val="0"/>
                  <w:vAlign w:val="center"/>
                </w:tcPr>
                <w:p w14:paraId="5DAEAF85">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p>
              </w:tc>
              <w:tc>
                <w:tcPr>
                  <w:tcW w:w="1026" w:type="dxa"/>
                  <w:tcBorders>
                    <w:top w:val="single" w:color="auto" w:sz="4" w:space="0"/>
                    <w:left w:val="nil"/>
                    <w:bottom w:val="single" w:color="auto" w:sz="4" w:space="0"/>
                    <w:right w:val="single" w:color="auto" w:sz="4" w:space="0"/>
                  </w:tcBorders>
                  <w:noWrap w:val="0"/>
                  <w:vAlign w:val="center"/>
                </w:tcPr>
                <w:p w14:paraId="354A4C2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p>
              </w:tc>
            </w:tr>
            <w:tr w14:paraId="01E21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70" w:type="dxa"/>
                  <w:vMerge w:val="continue"/>
                  <w:tcBorders>
                    <w:left w:val="single" w:color="auto" w:sz="4" w:space="0"/>
                    <w:right w:val="single" w:color="auto" w:sz="4" w:space="0"/>
                  </w:tcBorders>
                  <w:noWrap w:val="0"/>
                  <w:vAlign w:val="center"/>
                </w:tcPr>
                <w:p w14:paraId="5B937221">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auto"/>
                      <w:spacing w:val="0"/>
                      <w:sz w:val="18"/>
                      <w:szCs w:val="18"/>
                      <w:highlight w:val="none"/>
                    </w:rPr>
                  </w:pPr>
                </w:p>
              </w:tc>
              <w:tc>
                <w:tcPr>
                  <w:tcW w:w="998" w:type="dxa"/>
                  <w:vMerge w:val="continue"/>
                  <w:tcBorders>
                    <w:left w:val="nil"/>
                    <w:right w:val="single" w:color="auto" w:sz="4" w:space="0"/>
                  </w:tcBorders>
                  <w:noWrap w:val="0"/>
                  <w:vAlign w:val="center"/>
                </w:tcPr>
                <w:p w14:paraId="07FFBEDB">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1578" w:type="dxa"/>
                  <w:tcBorders>
                    <w:top w:val="single" w:color="auto" w:sz="4" w:space="0"/>
                    <w:left w:val="nil"/>
                    <w:bottom w:val="single" w:color="auto" w:sz="4" w:space="0"/>
                    <w:right w:val="single" w:color="auto" w:sz="4" w:space="0"/>
                  </w:tcBorders>
                  <w:shd w:val="clear" w:color="auto" w:fill="auto"/>
                  <w:noWrap w:val="0"/>
                  <w:vAlign w:val="center"/>
                </w:tcPr>
                <w:p w14:paraId="2605BDBA">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 w:val="21"/>
                      <w:szCs w:val="21"/>
                      <w:highlight w:val="none"/>
                    </w:rPr>
                    <w:t>废布袋</w:t>
                  </w:r>
                </w:p>
              </w:tc>
              <w:tc>
                <w:tcPr>
                  <w:tcW w:w="2810" w:type="dxa"/>
                  <w:gridSpan w:val="2"/>
                  <w:tcBorders>
                    <w:top w:val="single" w:color="auto" w:sz="4" w:space="0"/>
                    <w:left w:val="nil"/>
                    <w:bottom w:val="single" w:color="auto" w:sz="4" w:space="0"/>
                    <w:right w:val="single" w:color="auto" w:sz="4" w:space="0"/>
                  </w:tcBorders>
                  <w:noWrap w:val="0"/>
                  <w:vAlign w:val="center"/>
                </w:tcPr>
                <w:p w14:paraId="191971F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cs="Times New Roman"/>
                      <w:b w:val="0"/>
                      <w:bCs/>
                      <w:color w:val="auto"/>
                      <w:spacing w:val="0"/>
                      <w:kern w:val="2"/>
                      <w:sz w:val="18"/>
                      <w:szCs w:val="18"/>
                      <w:highlight w:val="none"/>
                      <w:lang w:val="en-US" w:eastAsia="zh-CN" w:bidi="ar"/>
                    </w:rPr>
                  </w:pPr>
                  <w:r>
                    <w:rPr>
                      <w:rFonts w:hint="eastAsia" w:cs="Times New Roman"/>
                      <w:b w:val="0"/>
                      <w:bCs/>
                      <w:color w:val="auto"/>
                      <w:spacing w:val="0"/>
                      <w:kern w:val="2"/>
                      <w:sz w:val="18"/>
                      <w:szCs w:val="18"/>
                      <w:highlight w:val="none"/>
                      <w:lang w:val="en-US" w:eastAsia="zh-CN" w:bidi="ar"/>
                    </w:rPr>
                    <w:t>0.2</w:t>
                  </w:r>
                  <w:r>
                    <w:rPr>
                      <w:rFonts w:hint="default" w:ascii="Times New Roman" w:hAnsi="Times New Roman" w:cs="Times New Roman"/>
                      <w:b w:val="0"/>
                      <w:bCs/>
                      <w:color w:val="auto"/>
                      <w:spacing w:val="0"/>
                      <w:kern w:val="2"/>
                      <w:sz w:val="18"/>
                      <w:szCs w:val="18"/>
                      <w:highlight w:val="none"/>
                      <w:lang w:val="en-US" w:eastAsia="zh-CN" w:bidi="ar"/>
                    </w:rPr>
                    <w:t>t/a，外卖处理</w:t>
                  </w:r>
                </w:p>
              </w:tc>
              <w:tc>
                <w:tcPr>
                  <w:tcW w:w="828" w:type="dxa"/>
                  <w:tcBorders>
                    <w:top w:val="single" w:color="auto" w:sz="4" w:space="0"/>
                    <w:left w:val="nil"/>
                    <w:bottom w:val="single" w:color="auto" w:sz="4" w:space="0"/>
                    <w:right w:val="single" w:color="auto" w:sz="4" w:space="0"/>
                  </w:tcBorders>
                  <w:noWrap w:val="0"/>
                  <w:vAlign w:val="center"/>
                </w:tcPr>
                <w:p w14:paraId="3AEFA030">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p>
              </w:tc>
              <w:tc>
                <w:tcPr>
                  <w:tcW w:w="1026" w:type="dxa"/>
                  <w:tcBorders>
                    <w:top w:val="single" w:color="auto" w:sz="4" w:space="0"/>
                    <w:left w:val="nil"/>
                    <w:bottom w:val="single" w:color="auto" w:sz="4" w:space="0"/>
                    <w:right w:val="single" w:color="auto" w:sz="4" w:space="0"/>
                  </w:tcBorders>
                  <w:noWrap w:val="0"/>
                  <w:vAlign w:val="center"/>
                </w:tcPr>
                <w:p w14:paraId="56BD4D4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p>
              </w:tc>
            </w:tr>
            <w:tr w14:paraId="38BE7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70" w:type="dxa"/>
                  <w:vMerge w:val="continue"/>
                  <w:tcBorders>
                    <w:left w:val="single" w:color="auto" w:sz="4" w:space="0"/>
                    <w:right w:val="single" w:color="auto" w:sz="4" w:space="0"/>
                  </w:tcBorders>
                  <w:noWrap w:val="0"/>
                  <w:vAlign w:val="center"/>
                </w:tcPr>
                <w:p w14:paraId="352EC0BF">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auto"/>
                      <w:spacing w:val="0"/>
                      <w:sz w:val="18"/>
                      <w:szCs w:val="18"/>
                      <w:highlight w:val="none"/>
                    </w:rPr>
                  </w:pPr>
                </w:p>
              </w:tc>
              <w:tc>
                <w:tcPr>
                  <w:tcW w:w="998" w:type="dxa"/>
                  <w:vMerge w:val="continue"/>
                  <w:tcBorders>
                    <w:left w:val="nil"/>
                    <w:right w:val="single" w:color="auto" w:sz="4" w:space="0"/>
                  </w:tcBorders>
                  <w:noWrap w:val="0"/>
                  <w:vAlign w:val="center"/>
                </w:tcPr>
                <w:p w14:paraId="143DAC37">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1578" w:type="dxa"/>
                  <w:tcBorders>
                    <w:top w:val="single" w:color="auto" w:sz="4" w:space="0"/>
                    <w:left w:val="nil"/>
                    <w:bottom w:val="single" w:color="auto" w:sz="4" w:space="0"/>
                    <w:right w:val="single" w:color="auto" w:sz="4" w:space="0"/>
                  </w:tcBorders>
                  <w:noWrap w:val="0"/>
                  <w:vAlign w:val="center"/>
                </w:tcPr>
                <w:p w14:paraId="5A142A6D">
                  <w:pPr>
                    <w:keepNext w:val="0"/>
                    <w:keepLines w:val="0"/>
                    <w:pageBreakBefore w:val="0"/>
                    <w:kinsoku/>
                    <w:wordWrap/>
                    <w:overflowPunct/>
                    <w:topLinePunct w:val="0"/>
                    <w:autoSpaceDN/>
                    <w:bidi w:val="0"/>
                    <w:spacing w:line="360" w:lineRule="exact"/>
                    <w:jc w:val="center"/>
                    <w:outlineLvl w:val="9"/>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color w:val="auto"/>
                      <w:kern w:val="2"/>
                      <w:sz w:val="18"/>
                      <w:szCs w:val="18"/>
                      <w:highlight w:val="none"/>
                      <w:lang w:val="en-US" w:eastAsia="zh-CN" w:bidi="ar-SA"/>
                    </w:rPr>
                    <w:t>布袋除尘器收集的粉尘</w:t>
                  </w:r>
                </w:p>
              </w:tc>
              <w:tc>
                <w:tcPr>
                  <w:tcW w:w="2810" w:type="dxa"/>
                  <w:gridSpan w:val="2"/>
                  <w:tcBorders>
                    <w:top w:val="single" w:color="auto" w:sz="4" w:space="0"/>
                    <w:left w:val="nil"/>
                    <w:bottom w:val="single" w:color="auto" w:sz="4" w:space="0"/>
                    <w:right w:val="single" w:color="auto" w:sz="4" w:space="0"/>
                  </w:tcBorders>
                  <w:noWrap w:val="0"/>
                  <w:vAlign w:val="center"/>
                </w:tcPr>
                <w:p w14:paraId="6DA39F4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eastAsia" w:cs="Times New Roman"/>
                      <w:b w:val="0"/>
                      <w:bCs/>
                      <w:color w:val="auto"/>
                      <w:spacing w:val="0"/>
                      <w:kern w:val="2"/>
                      <w:sz w:val="18"/>
                      <w:szCs w:val="18"/>
                      <w:highlight w:val="none"/>
                      <w:lang w:val="en-US" w:eastAsia="zh-CN" w:bidi="ar"/>
                    </w:rPr>
                    <w:t>1.638</w:t>
                  </w:r>
                  <w:r>
                    <w:rPr>
                      <w:rFonts w:hint="default" w:ascii="Times New Roman" w:hAnsi="Times New Roman" w:cs="Times New Roman"/>
                      <w:b w:val="0"/>
                      <w:bCs/>
                      <w:color w:val="auto"/>
                      <w:spacing w:val="0"/>
                      <w:kern w:val="2"/>
                      <w:sz w:val="18"/>
                      <w:szCs w:val="18"/>
                      <w:highlight w:val="none"/>
                      <w:lang w:val="en-US" w:eastAsia="zh-CN" w:bidi="ar"/>
                    </w:rPr>
                    <w:t>t/a，外卖处理</w:t>
                  </w:r>
                </w:p>
              </w:tc>
              <w:tc>
                <w:tcPr>
                  <w:tcW w:w="828" w:type="dxa"/>
                  <w:tcBorders>
                    <w:top w:val="single" w:color="auto" w:sz="4" w:space="0"/>
                    <w:left w:val="nil"/>
                    <w:bottom w:val="single" w:color="auto" w:sz="4" w:space="0"/>
                    <w:right w:val="single" w:color="auto" w:sz="4" w:space="0"/>
                  </w:tcBorders>
                  <w:noWrap w:val="0"/>
                  <w:vAlign w:val="center"/>
                </w:tcPr>
                <w:p w14:paraId="1119938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c>
                <w:tcPr>
                  <w:tcW w:w="1026" w:type="dxa"/>
                  <w:tcBorders>
                    <w:top w:val="single" w:color="auto" w:sz="4" w:space="0"/>
                    <w:left w:val="nil"/>
                    <w:bottom w:val="single" w:color="auto" w:sz="4" w:space="0"/>
                    <w:right w:val="single" w:color="auto" w:sz="4" w:space="0"/>
                  </w:tcBorders>
                  <w:noWrap w:val="0"/>
                  <w:vAlign w:val="center"/>
                </w:tcPr>
                <w:p w14:paraId="4C846DA8">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r>
            <w:tr w14:paraId="77F1B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70" w:type="dxa"/>
                  <w:vMerge w:val="continue"/>
                  <w:tcBorders>
                    <w:left w:val="single" w:color="auto" w:sz="4" w:space="0"/>
                    <w:right w:val="single" w:color="auto" w:sz="4" w:space="0"/>
                  </w:tcBorders>
                  <w:noWrap w:val="0"/>
                  <w:vAlign w:val="center"/>
                </w:tcPr>
                <w:p w14:paraId="5082F5D6">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auto"/>
                      <w:spacing w:val="0"/>
                      <w:sz w:val="18"/>
                      <w:szCs w:val="18"/>
                      <w:highlight w:val="none"/>
                    </w:rPr>
                  </w:pPr>
                </w:p>
              </w:tc>
              <w:tc>
                <w:tcPr>
                  <w:tcW w:w="998" w:type="dxa"/>
                  <w:vMerge w:val="continue"/>
                  <w:tcBorders>
                    <w:left w:val="nil"/>
                    <w:right w:val="single" w:color="auto" w:sz="4" w:space="0"/>
                  </w:tcBorders>
                  <w:noWrap w:val="0"/>
                  <w:vAlign w:val="center"/>
                </w:tcPr>
                <w:p w14:paraId="323F52AD">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1578" w:type="dxa"/>
                  <w:tcBorders>
                    <w:top w:val="single" w:color="auto" w:sz="4" w:space="0"/>
                    <w:left w:val="nil"/>
                    <w:bottom w:val="single" w:color="auto" w:sz="4" w:space="0"/>
                    <w:right w:val="single" w:color="auto" w:sz="4" w:space="0"/>
                  </w:tcBorders>
                  <w:noWrap w:val="0"/>
                  <w:vAlign w:val="center"/>
                </w:tcPr>
                <w:p w14:paraId="011D27A0">
                  <w:pPr>
                    <w:keepNext w:val="0"/>
                    <w:keepLines w:val="0"/>
                    <w:pageBreakBefore w:val="0"/>
                    <w:kinsoku/>
                    <w:wordWrap/>
                    <w:overflowPunct/>
                    <w:topLinePunct w:val="0"/>
                    <w:autoSpaceDN/>
                    <w:bidi w:val="0"/>
                    <w:spacing w:line="360" w:lineRule="exact"/>
                    <w:jc w:val="center"/>
                    <w:outlineLvl w:val="9"/>
                    <w:rPr>
                      <w:rFonts w:hint="default"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kern w:val="2"/>
                      <w:sz w:val="18"/>
                      <w:szCs w:val="18"/>
                      <w:highlight w:val="none"/>
                      <w:lang w:val="en-US" w:eastAsia="zh-CN" w:bidi="ar-SA"/>
                    </w:rPr>
                    <w:t>沉淀池泥浆</w:t>
                  </w:r>
                </w:p>
              </w:tc>
              <w:tc>
                <w:tcPr>
                  <w:tcW w:w="2810" w:type="dxa"/>
                  <w:gridSpan w:val="2"/>
                  <w:tcBorders>
                    <w:top w:val="single" w:color="auto" w:sz="4" w:space="0"/>
                    <w:left w:val="nil"/>
                    <w:bottom w:val="single" w:color="auto" w:sz="4" w:space="0"/>
                    <w:right w:val="single" w:color="auto" w:sz="4" w:space="0"/>
                  </w:tcBorders>
                  <w:noWrap w:val="0"/>
                  <w:vAlign w:val="center"/>
                </w:tcPr>
                <w:p w14:paraId="1F722229">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color w:val="auto"/>
                      <w:spacing w:val="0"/>
                      <w:kern w:val="2"/>
                      <w:sz w:val="18"/>
                      <w:szCs w:val="18"/>
                      <w:highlight w:val="none"/>
                      <w:lang w:val="en-US" w:eastAsia="zh-CN" w:bidi="ar"/>
                    </w:rPr>
                  </w:pPr>
                  <w:r>
                    <w:rPr>
                      <w:rFonts w:hint="eastAsia" w:cs="Times New Roman"/>
                      <w:b w:val="0"/>
                      <w:bCs/>
                      <w:color w:val="auto"/>
                      <w:spacing w:val="0"/>
                      <w:kern w:val="2"/>
                      <w:sz w:val="18"/>
                      <w:szCs w:val="18"/>
                      <w:highlight w:val="none"/>
                      <w:lang w:val="en-US" w:eastAsia="zh-CN" w:bidi="ar"/>
                    </w:rPr>
                    <w:t>600</w:t>
                  </w:r>
                  <w:r>
                    <w:rPr>
                      <w:rFonts w:hint="default" w:ascii="Times New Roman" w:hAnsi="Times New Roman" w:cs="Times New Roman"/>
                      <w:b w:val="0"/>
                      <w:bCs/>
                      <w:color w:val="auto"/>
                      <w:spacing w:val="0"/>
                      <w:kern w:val="2"/>
                      <w:sz w:val="18"/>
                      <w:szCs w:val="18"/>
                      <w:highlight w:val="none"/>
                      <w:lang w:val="en-US" w:eastAsia="zh-CN" w:bidi="ar"/>
                    </w:rPr>
                    <w:t>t/a，外卖处理</w:t>
                  </w:r>
                </w:p>
              </w:tc>
              <w:tc>
                <w:tcPr>
                  <w:tcW w:w="828" w:type="dxa"/>
                  <w:tcBorders>
                    <w:top w:val="single" w:color="auto" w:sz="4" w:space="0"/>
                    <w:left w:val="nil"/>
                    <w:bottom w:val="single" w:color="auto" w:sz="4" w:space="0"/>
                    <w:right w:val="single" w:color="auto" w:sz="4" w:space="0"/>
                  </w:tcBorders>
                  <w:noWrap w:val="0"/>
                  <w:vAlign w:val="center"/>
                </w:tcPr>
                <w:p w14:paraId="5769DAA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vertAlign w:val="baseli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c>
                <w:tcPr>
                  <w:tcW w:w="1026" w:type="dxa"/>
                  <w:tcBorders>
                    <w:top w:val="single" w:color="auto" w:sz="4" w:space="0"/>
                    <w:left w:val="nil"/>
                    <w:bottom w:val="single" w:color="auto" w:sz="4" w:space="0"/>
                    <w:right w:val="single" w:color="auto" w:sz="4" w:space="0"/>
                  </w:tcBorders>
                  <w:noWrap w:val="0"/>
                  <w:vAlign w:val="center"/>
                </w:tcPr>
                <w:p w14:paraId="558FD78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vertAlign w:val="baseli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r>
            <w:tr w14:paraId="11EE6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70" w:type="dxa"/>
                  <w:vMerge w:val="continue"/>
                  <w:tcBorders>
                    <w:left w:val="single" w:color="auto" w:sz="4" w:space="0"/>
                    <w:right w:val="single" w:color="auto" w:sz="4" w:space="0"/>
                  </w:tcBorders>
                  <w:noWrap w:val="0"/>
                  <w:vAlign w:val="center"/>
                </w:tcPr>
                <w:p w14:paraId="7958C5AD">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auto"/>
                      <w:spacing w:val="0"/>
                      <w:sz w:val="18"/>
                      <w:szCs w:val="18"/>
                      <w:highlight w:val="none"/>
                    </w:rPr>
                  </w:pPr>
                </w:p>
              </w:tc>
              <w:tc>
                <w:tcPr>
                  <w:tcW w:w="998" w:type="dxa"/>
                  <w:vMerge w:val="continue"/>
                  <w:tcBorders>
                    <w:left w:val="nil"/>
                    <w:right w:val="single" w:color="auto" w:sz="4" w:space="0"/>
                  </w:tcBorders>
                  <w:noWrap w:val="0"/>
                  <w:vAlign w:val="center"/>
                </w:tcPr>
                <w:p w14:paraId="2A6F0D39">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p>
              </w:tc>
              <w:tc>
                <w:tcPr>
                  <w:tcW w:w="1578" w:type="dxa"/>
                  <w:tcBorders>
                    <w:top w:val="single" w:color="auto" w:sz="4" w:space="0"/>
                    <w:left w:val="nil"/>
                    <w:bottom w:val="single" w:color="auto" w:sz="4" w:space="0"/>
                    <w:right w:val="single" w:color="auto" w:sz="4" w:space="0"/>
                  </w:tcBorders>
                  <w:noWrap w:val="0"/>
                  <w:vAlign w:val="center"/>
                </w:tcPr>
                <w:p w14:paraId="428D9EC0">
                  <w:pPr>
                    <w:keepNext w:val="0"/>
                    <w:keepLines w:val="0"/>
                    <w:pageBreakBefore w:val="0"/>
                    <w:kinsoku/>
                    <w:wordWrap/>
                    <w:overflowPunct/>
                    <w:topLinePunct w:val="0"/>
                    <w:autoSpaceDN/>
                    <w:bidi w:val="0"/>
                    <w:spacing w:line="240" w:lineRule="auto"/>
                    <w:jc w:val="center"/>
                    <w:outlineLvl w:val="9"/>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color w:val="auto"/>
                      <w:kern w:val="2"/>
                      <w:sz w:val="18"/>
                      <w:szCs w:val="18"/>
                      <w:highlight w:val="none"/>
                      <w:lang w:val="en-US" w:eastAsia="zh-CN" w:bidi="ar-SA"/>
                    </w:rPr>
                    <w:t>不合格产品</w:t>
                  </w:r>
                </w:p>
              </w:tc>
              <w:tc>
                <w:tcPr>
                  <w:tcW w:w="2810" w:type="dxa"/>
                  <w:gridSpan w:val="2"/>
                  <w:tcBorders>
                    <w:top w:val="single" w:color="auto" w:sz="4" w:space="0"/>
                    <w:left w:val="nil"/>
                    <w:bottom w:val="single" w:color="auto" w:sz="4" w:space="0"/>
                    <w:right w:val="single" w:color="auto" w:sz="4" w:space="0"/>
                  </w:tcBorders>
                  <w:noWrap w:val="0"/>
                  <w:vAlign w:val="center"/>
                </w:tcPr>
                <w:p w14:paraId="1BD4563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eastAsia" w:cs="Times New Roman"/>
                      <w:b w:val="0"/>
                      <w:bCs/>
                      <w:color w:val="auto"/>
                      <w:spacing w:val="0"/>
                      <w:kern w:val="2"/>
                      <w:sz w:val="18"/>
                      <w:szCs w:val="18"/>
                      <w:highlight w:val="none"/>
                      <w:lang w:val="en-US" w:eastAsia="zh-CN" w:bidi="ar"/>
                    </w:rPr>
                    <w:t>75t/a</w:t>
                  </w:r>
                  <w:r>
                    <w:rPr>
                      <w:rFonts w:hint="default" w:ascii="Times New Roman" w:hAnsi="Times New Roman" w:cs="Times New Roman"/>
                      <w:b w:val="0"/>
                      <w:bCs/>
                      <w:color w:val="auto"/>
                      <w:spacing w:val="0"/>
                      <w:kern w:val="2"/>
                      <w:sz w:val="18"/>
                      <w:szCs w:val="18"/>
                      <w:highlight w:val="none"/>
                      <w:lang w:val="en-US" w:eastAsia="zh-CN" w:bidi="ar"/>
                    </w:rPr>
                    <w:t>，</w:t>
                  </w:r>
                  <w:r>
                    <w:rPr>
                      <w:rFonts w:hint="default" w:ascii="Times New Roman" w:hAnsi="Times New Roman" w:cs="Times New Roman"/>
                      <w:color w:val="auto"/>
                      <w:sz w:val="18"/>
                      <w:szCs w:val="18"/>
                      <w:highlight w:val="none"/>
                      <w:lang w:eastAsia="zh-CN"/>
                    </w:rPr>
                    <w:t>委托一般固废处置资质单位处置</w:t>
                  </w:r>
                </w:p>
              </w:tc>
              <w:tc>
                <w:tcPr>
                  <w:tcW w:w="828" w:type="dxa"/>
                  <w:tcBorders>
                    <w:top w:val="single" w:color="auto" w:sz="4" w:space="0"/>
                    <w:left w:val="nil"/>
                    <w:bottom w:val="single" w:color="auto" w:sz="4" w:space="0"/>
                    <w:right w:val="single" w:color="auto" w:sz="4" w:space="0"/>
                  </w:tcBorders>
                  <w:noWrap w:val="0"/>
                  <w:vAlign w:val="center"/>
                </w:tcPr>
                <w:p w14:paraId="3649E9C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c>
                <w:tcPr>
                  <w:tcW w:w="1026" w:type="dxa"/>
                  <w:tcBorders>
                    <w:top w:val="single" w:color="auto" w:sz="4" w:space="0"/>
                    <w:left w:val="nil"/>
                    <w:bottom w:val="single" w:color="auto" w:sz="4" w:space="0"/>
                    <w:right w:val="single" w:color="auto" w:sz="4" w:space="0"/>
                  </w:tcBorders>
                  <w:noWrap w:val="0"/>
                  <w:vAlign w:val="center"/>
                </w:tcPr>
                <w:p w14:paraId="63D5607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r>
            <w:tr w14:paraId="1FE76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1170" w:type="dxa"/>
                  <w:tcBorders>
                    <w:left w:val="single" w:color="auto" w:sz="4" w:space="0"/>
                    <w:right w:val="single" w:color="auto" w:sz="4" w:space="0"/>
                  </w:tcBorders>
                  <w:noWrap w:val="0"/>
                  <w:vAlign w:val="center"/>
                </w:tcPr>
                <w:p w14:paraId="4C45D5CC">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auto"/>
                      <w:spacing w:val="0"/>
                      <w:sz w:val="18"/>
                      <w:szCs w:val="18"/>
                      <w:highlight w:val="none"/>
                    </w:rPr>
                  </w:pPr>
                </w:p>
              </w:tc>
              <w:tc>
                <w:tcPr>
                  <w:tcW w:w="998" w:type="dxa"/>
                  <w:tcBorders>
                    <w:left w:val="nil"/>
                    <w:right w:val="single" w:color="auto" w:sz="4" w:space="0"/>
                  </w:tcBorders>
                  <w:noWrap w:val="0"/>
                  <w:vAlign w:val="center"/>
                </w:tcPr>
                <w:p w14:paraId="1474BC65">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auto"/>
                      <w:spacing w:val="0"/>
                      <w:kern w:val="2"/>
                      <w:sz w:val="18"/>
                      <w:szCs w:val="18"/>
                      <w:highlight w:val="none"/>
                      <w:lang w:val="en-US" w:eastAsia="zh-CN" w:bidi="ar"/>
                    </w:rPr>
                  </w:pPr>
                  <w:r>
                    <w:rPr>
                      <w:rFonts w:hint="eastAsia" w:eastAsia="宋体" w:cs="Times New Roman"/>
                      <w:b w:val="0"/>
                      <w:bCs/>
                      <w:color w:val="auto"/>
                      <w:spacing w:val="0"/>
                      <w:kern w:val="2"/>
                      <w:sz w:val="18"/>
                      <w:szCs w:val="18"/>
                      <w:highlight w:val="none"/>
                      <w:lang w:val="en-US" w:eastAsia="zh-CN" w:bidi="ar"/>
                    </w:rPr>
                    <w:t>危险废物</w:t>
                  </w:r>
                </w:p>
              </w:tc>
              <w:tc>
                <w:tcPr>
                  <w:tcW w:w="1578" w:type="dxa"/>
                  <w:tcBorders>
                    <w:top w:val="single" w:color="auto" w:sz="4" w:space="0"/>
                    <w:left w:val="nil"/>
                    <w:bottom w:val="single" w:color="auto" w:sz="4" w:space="0"/>
                    <w:right w:val="single" w:color="auto" w:sz="4" w:space="0"/>
                  </w:tcBorders>
                  <w:noWrap w:val="0"/>
                  <w:vAlign w:val="center"/>
                </w:tcPr>
                <w:p w14:paraId="49E241C1">
                  <w:pPr>
                    <w:keepNext w:val="0"/>
                    <w:keepLines w:val="0"/>
                    <w:pageBreakBefore w:val="0"/>
                    <w:kinsoku/>
                    <w:wordWrap/>
                    <w:overflowPunct/>
                    <w:topLinePunct w:val="0"/>
                    <w:autoSpaceDN/>
                    <w:bidi w:val="0"/>
                    <w:spacing w:line="360" w:lineRule="exact"/>
                    <w:jc w:val="center"/>
                    <w:outlineLvl w:val="9"/>
                    <w:rPr>
                      <w:rFonts w:hint="default" w:ascii="Times New Roman" w:hAnsi="Times New Roman" w:cs="Times New Roman"/>
                      <w:bCs/>
                      <w:color w:val="auto"/>
                      <w:sz w:val="18"/>
                      <w:szCs w:val="18"/>
                      <w:highlight w:val="none"/>
                      <w:lang w:eastAsia="zh-CN"/>
                    </w:rPr>
                  </w:pPr>
                  <w:r>
                    <w:rPr>
                      <w:rFonts w:hint="eastAsia" w:cs="Times New Roman"/>
                      <w:color w:val="auto"/>
                      <w:kern w:val="2"/>
                      <w:sz w:val="18"/>
                      <w:szCs w:val="18"/>
                      <w:highlight w:val="none"/>
                      <w:lang w:val="en-US" w:eastAsia="zh-CN" w:bidi="ar-SA"/>
                    </w:rPr>
                    <w:t>废润滑油及废油桶</w:t>
                  </w:r>
                </w:p>
              </w:tc>
              <w:tc>
                <w:tcPr>
                  <w:tcW w:w="2810" w:type="dxa"/>
                  <w:gridSpan w:val="2"/>
                  <w:tcBorders>
                    <w:top w:val="single" w:color="auto" w:sz="4" w:space="0"/>
                    <w:left w:val="nil"/>
                    <w:bottom w:val="single" w:color="auto" w:sz="4" w:space="0"/>
                    <w:right w:val="single" w:color="auto" w:sz="4" w:space="0"/>
                  </w:tcBorders>
                  <w:noWrap w:val="0"/>
                  <w:vAlign w:val="center"/>
                </w:tcPr>
                <w:p w14:paraId="6B17DC2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outlineLvl w:val="9"/>
                    <w:rPr>
                      <w:rFonts w:hint="eastAsia" w:cs="Times New Roman"/>
                      <w:b w:val="0"/>
                      <w:bCs/>
                      <w:color w:val="auto"/>
                      <w:spacing w:val="0"/>
                      <w:kern w:val="2"/>
                      <w:sz w:val="18"/>
                      <w:szCs w:val="18"/>
                      <w:highlight w:val="none"/>
                      <w:lang w:val="en-US" w:eastAsia="zh-CN"/>
                    </w:rPr>
                  </w:pPr>
                  <w:r>
                    <w:rPr>
                      <w:rFonts w:hint="eastAsia" w:cs="Times New Roman"/>
                      <w:b w:val="0"/>
                      <w:bCs/>
                      <w:color w:val="auto"/>
                      <w:spacing w:val="0"/>
                      <w:kern w:val="2"/>
                      <w:sz w:val="18"/>
                      <w:szCs w:val="18"/>
                      <w:highlight w:val="none"/>
                      <w:lang w:val="en-US" w:eastAsia="zh-CN" w:bidi="ar"/>
                    </w:rPr>
                    <w:t>1.64t/a</w:t>
                  </w:r>
                  <w:r>
                    <w:rPr>
                      <w:rFonts w:hint="default" w:ascii="Times New Roman" w:hAnsi="Times New Roman" w:cs="Times New Roman"/>
                      <w:b w:val="0"/>
                      <w:bCs/>
                      <w:color w:val="auto"/>
                      <w:spacing w:val="0"/>
                      <w:kern w:val="2"/>
                      <w:sz w:val="18"/>
                      <w:szCs w:val="18"/>
                      <w:highlight w:val="none"/>
                      <w:lang w:val="en-US" w:eastAsia="zh-CN" w:bidi="ar"/>
                    </w:rPr>
                    <w:t>，</w:t>
                  </w:r>
                  <w:r>
                    <w:rPr>
                      <w:color w:val="auto"/>
                      <w:sz w:val="18"/>
                      <w:szCs w:val="18"/>
                      <w:highlight w:val="none"/>
                    </w:rPr>
                    <w:t>委托有资质的单位处置</w:t>
                  </w:r>
                </w:p>
              </w:tc>
              <w:tc>
                <w:tcPr>
                  <w:tcW w:w="828" w:type="dxa"/>
                  <w:tcBorders>
                    <w:top w:val="single" w:color="auto" w:sz="4" w:space="0"/>
                    <w:left w:val="nil"/>
                    <w:bottom w:val="single" w:color="auto" w:sz="4" w:space="0"/>
                    <w:right w:val="single" w:color="auto" w:sz="4" w:space="0"/>
                  </w:tcBorders>
                  <w:noWrap w:val="0"/>
                  <w:vAlign w:val="center"/>
                </w:tcPr>
                <w:p w14:paraId="321823A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c>
                <w:tcPr>
                  <w:tcW w:w="1026" w:type="dxa"/>
                  <w:tcBorders>
                    <w:top w:val="single" w:color="auto" w:sz="4" w:space="0"/>
                    <w:left w:val="nil"/>
                    <w:bottom w:val="single" w:color="auto" w:sz="4" w:space="0"/>
                    <w:right w:val="single" w:color="auto" w:sz="4" w:space="0"/>
                  </w:tcBorders>
                  <w:noWrap w:val="0"/>
                  <w:vAlign w:val="center"/>
                </w:tcPr>
                <w:p w14:paraId="71671966">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cs="Times New Roman"/>
                      <w:b w:val="0"/>
                      <w:bCs/>
                      <w:color w:val="auto"/>
                      <w:spacing w:val="0"/>
                      <w:kern w:val="2"/>
                      <w:sz w:val="18"/>
                      <w:szCs w:val="18"/>
                      <w:highlight w:val="none"/>
                      <w:lang w:val="en-US" w:eastAsia="zh-CN" w:bidi="ar"/>
                    </w:rPr>
                  </w:pPr>
                  <w:r>
                    <w:rPr>
                      <w:rFonts w:hint="default" w:ascii="Times New Roman" w:hAnsi="Times New Roman" w:cs="Times New Roman"/>
                      <w:b w:val="0"/>
                      <w:bCs/>
                      <w:color w:val="auto"/>
                      <w:spacing w:val="0"/>
                      <w:kern w:val="2"/>
                      <w:sz w:val="18"/>
                      <w:szCs w:val="18"/>
                      <w:highlight w:val="none"/>
                      <w:lang w:val="en-US" w:eastAsia="zh-CN" w:bidi="ar"/>
                    </w:rPr>
                    <w:t>-</w:t>
                  </w:r>
                </w:p>
              </w:tc>
            </w:tr>
          </w:tbl>
          <w:p w14:paraId="2324FFE8">
            <w:pPr>
              <w:adjustRightInd w:val="0"/>
              <w:snapToGrid w:val="0"/>
              <w:spacing w:line="360" w:lineRule="auto"/>
              <w:ind w:firstLine="420" w:firstLineChars="200"/>
              <w:rPr>
                <w:rFonts w:hint="eastAsia" w:cs="Times New Roman"/>
                <w:color w:val="auto"/>
                <w:highlight w:val="none"/>
                <w:lang w:val="en-US" w:eastAsia="zh-CN"/>
              </w:rPr>
            </w:pPr>
            <w:r>
              <w:rPr>
                <w:rFonts w:hint="eastAsia" w:cs="Times New Roman"/>
                <w:snapToGrid w:val="0"/>
                <w:color w:val="auto"/>
                <w:sz w:val="21"/>
                <w:szCs w:val="21"/>
                <w:highlight w:val="none"/>
                <w:lang w:val="en-US" w:eastAsia="zh-CN"/>
              </w:rPr>
              <w:t>根据《淄博奢瓷装饰材料技术有限公司年加工20万平方米装饰画背景墙项目污染物总量确认书》，淄博奢瓷装饰材料技术有限公司现有总量指标为</w:t>
            </w:r>
            <w:r>
              <w:rPr>
                <w:rFonts w:hint="eastAsia" w:ascii="Times New Roman" w:hAnsi="Times New Roman" w:cs="Times New Roman"/>
                <w:color w:val="auto"/>
                <w:sz w:val="21"/>
                <w:szCs w:val="21"/>
                <w:highlight w:val="none"/>
                <w:lang w:val="en-US" w:eastAsia="zh-CN"/>
              </w:rPr>
              <w:t>颗粒物</w:t>
            </w:r>
            <w:r>
              <w:rPr>
                <w:rFonts w:hint="eastAsia" w:cs="Times New Roman"/>
                <w:color w:val="auto"/>
                <w:sz w:val="21"/>
                <w:szCs w:val="21"/>
                <w:highlight w:val="none"/>
                <w:lang w:val="en-US" w:eastAsia="zh-CN"/>
              </w:rPr>
              <w:t>0.042</w:t>
            </w:r>
            <w:r>
              <w:rPr>
                <w:rFonts w:hint="eastAsia" w:ascii="Times New Roman" w:hAnsi="Times New Roman" w:cs="Times New Roman"/>
                <w:color w:val="auto"/>
                <w:sz w:val="21"/>
                <w:szCs w:val="21"/>
                <w:highlight w:val="none"/>
                <w:lang w:val="en-US" w:eastAsia="zh-CN"/>
              </w:rPr>
              <w:t>t/a、SO</w:t>
            </w:r>
            <w:r>
              <w:rPr>
                <w:rFonts w:hint="eastAsia" w:ascii="Times New Roman" w:hAnsi="Times New Roman" w:cs="Times New Roman"/>
                <w:color w:val="auto"/>
                <w:sz w:val="21"/>
                <w:szCs w:val="21"/>
                <w:highlight w:val="none"/>
                <w:vertAlign w:val="subscript"/>
                <w:lang w:val="en-US" w:eastAsia="zh-CN"/>
              </w:rPr>
              <w:t>2</w:t>
            </w:r>
            <w:r>
              <w:rPr>
                <w:rFonts w:hint="eastAsia" w:cs="Times New Roman"/>
                <w:color w:val="auto"/>
                <w:sz w:val="21"/>
                <w:szCs w:val="21"/>
                <w:highlight w:val="none"/>
                <w:lang w:val="en-US" w:eastAsia="zh-CN"/>
              </w:rPr>
              <w:t>0.054</w:t>
            </w:r>
            <w:r>
              <w:rPr>
                <w:rFonts w:hint="eastAsia" w:ascii="Times New Roman" w:hAnsi="Times New Roman" w:cs="Times New Roman"/>
                <w:color w:val="auto"/>
                <w:sz w:val="21"/>
                <w:szCs w:val="21"/>
                <w:highlight w:val="none"/>
                <w:lang w:val="en-US" w:eastAsia="zh-CN"/>
              </w:rPr>
              <w:t>t/a、NOx</w:t>
            </w:r>
            <w:r>
              <w:rPr>
                <w:rFonts w:hint="eastAsia" w:cs="Times New Roman"/>
                <w:color w:val="auto"/>
                <w:sz w:val="21"/>
                <w:szCs w:val="21"/>
                <w:highlight w:val="none"/>
                <w:lang w:val="en-US" w:eastAsia="zh-CN"/>
              </w:rPr>
              <w:t>0.528</w:t>
            </w:r>
            <w:r>
              <w:rPr>
                <w:rFonts w:hint="eastAsia" w:ascii="Times New Roman" w:hAnsi="Times New Roman" w:cs="Times New Roman"/>
                <w:color w:val="auto"/>
                <w:sz w:val="21"/>
                <w:szCs w:val="21"/>
                <w:highlight w:val="none"/>
                <w:lang w:val="en-US" w:eastAsia="zh-CN"/>
              </w:rPr>
              <w:t>t/a</w:t>
            </w:r>
            <w:r>
              <w:rPr>
                <w:rFonts w:hint="eastAsia" w:cs="Times New Roman"/>
                <w:color w:val="auto"/>
                <w:sz w:val="21"/>
                <w:szCs w:val="21"/>
                <w:highlight w:val="none"/>
                <w:lang w:val="en-US" w:eastAsia="zh-CN"/>
              </w:rPr>
              <w:t>，经核算，现有项目污染物可满足总量指标</w:t>
            </w:r>
            <w:r>
              <w:rPr>
                <w:rFonts w:hint="eastAsia"/>
                <w:color w:val="auto"/>
                <w:kern w:val="2"/>
                <w:sz w:val="21"/>
                <w:szCs w:val="21"/>
                <w:highlight w:val="none"/>
                <w:vertAlign w:val="baseline"/>
                <w:lang w:val="en-US" w:eastAsia="zh-CN"/>
              </w:rPr>
              <w:t>。</w:t>
            </w:r>
          </w:p>
          <w:p w14:paraId="3708DE2D">
            <w:pPr>
              <w:adjustRightInd w:val="0"/>
              <w:snapToGrid w:val="0"/>
              <w:spacing w:line="360" w:lineRule="auto"/>
              <w:ind w:firstLine="420" w:firstLineChars="200"/>
              <w:rPr>
                <w:rFonts w:hint="eastAsia" w:ascii="Times New Roman" w:hAnsi="Times New Roman" w:cs="Times New Roman"/>
                <w:color w:val="auto"/>
                <w:kern w:val="2"/>
                <w:sz w:val="21"/>
                <w:szCs w:val="21"/>
                <w:highlight w:val="none"/>
                <w:lang w:val="en-US" w:eastAsia="zh-CN" w:bidi="ar-SA"/>
              </w:rPr>
            </w:pPr>
            <w:r>
              <w:rPr>
                <w:rFonts w:hint="eastAsia" w:cs="Times New Roman"/>
                <w:color w:val="auto"/>
                <w:highlight w:val="none"/>
                <w:lang w:val="en-US" w:eastAsia="zh-CN"/>
              </w:rPr>
              <w:t>五</w:t>
            </w:r>
            <w:r>
              <w:rPr>
                <w:rFonts w:hint="default" w:ascii="Times New Roman" w:hAnsi="Times New Roman" w:cs="Times New Roman"/>
                <w:color w:val="auto"/>
                <w:highlight w:val="none"/>
                <w:lang w:eastAsia="zh-CN"/>
              </w:rPr>
              <w:t>、现有项目存在的主要问题及整改建议</w:t>
            </w:r>
          </w:p>
          <w:p w14:paraId="6463DA43">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原有项目</w:t>
            </w:r>
            <w:r>
              <w:rPr>
                <w:rFonts w:hint="default" w:ascii="Times New Roman" w:hAnsi="Times New Roman" w:eastAsia="宋体" w:cs="Times New Roman"/>
                <w:color w:val="auto"/>
                <w:szCs w:val="24"/>
                <w:highlight w:val="none"/>
                <w:lang w:eastAsia="zh-CN"/>
              </w:rPr>
              <w:t>环保手续齐全，</w:t>
            </w:r>
            <w:r>
              <w:rPr>
                <w:rFonts w:hint="eastAsia" w:cs="Times New Roman" w:eastAsiaTheme="minorEastAsia"/>
                <w:color w:val="auto"/>
                <w:highlight w:val="none"/>
                <w:lang w:val="en-US" w:eastAsia="zh-CN"/>
              </w:rPr>
              <w:t>于2021年底停产，设备只保留</w:t>
            </w:r>
            <w:r>
              <w:rPr>
                <w:rFonts w:hint="eastAsia" w:cs="Times New Roman"/>
                <w:color w:val="auto"/>
                <w:kern w:val="2"/>
                <w:sz w:val="21"/>
                <w:szCs w:val="21"/>
                <w:highlight w:val="none"/>
                <w:lang w:val="en-US" w:eastAsia="zh-CN" w:bidi="ar-SA"/>
              </w:rPr>
              <w:t>1条60m的隧道窑，其他设备已拆除，</w:t>
            </w:r>
            <w:r>
              <w:rPr>
                <w:rFonts w:hint="default" w:ascii="Times New Roman" w:hAnsi="Times New Roman" w:cs="Times New Roman"/>
                <w:color w:val="auto"/>
                <w:kern w:val="2"/>
                <w:sz w:val="21"/>
                <w:szCs w:val="21"/>
                <w:highlight w:val="none"/>
                <w:lang w:val="en-US" w:eastAsia="zh-CN" w:bidi="ar-SA"/>
              </w:rPr>
              <w:t>后期也不再生产</w:t>
            </w:r>
            <w:r>
              <w:rPr>
                <w:rFonts w:hint="eastAsia" w:ascii="Times New Roman" w:hAnsi="Times New Roman" w:cs="Times New Roman"/>
                <w:color w:val="auto"/>
                <w:kern w:val="2"/>
                <w:sz w:val="21"/>
                <w:szCs w:val="21"/>
                <w:highlight w:val="none"/>
                <w:lang w:val="en-US" w:eastAsia="zh-CN" w:bidi="ar-SA"/>
              </w:rPr>
              <w:t>，不会对周边环境产生影响，</w:t>
            </w:r>
            <w:r>
              <w:rPr>
                <w:rFonts w:hint="default" w:ascii="Times New Roman" w:hAnsi="Times New Roman" w:eastAsia="宋体" w:cs="Times New Roman"/>
                <w:color w:val="auto"/>
                <w:szCs w:val="24"/>
                <w:highlight w:val="none"/>
                <w:lang w:eastAsia="zh-CN"/>
              </w:rPr>
              <w:t>不涉及与本项目有关的原有环境问题</w:t>
            </w:r>
            <w:r>
              <w:rPr>
                <w:rFonts w:hint="default" w:ascii="Times New Roman" w:hAnsi="Times New Roman" w:eastAsia="宋体" w:cs="Times New Roman"/>
                <w:color w:val="auto"/>
                <w:sz w:val="21"/>
                <w:szCs w:val="21"/>
                <w:highlight w:val="none"/>
                <w:lang w:val="en-US" w:eastAsia="zh-CN"/>
              </w:rPr>
              <w:t>。</w:t>
            </w:r>
          </w:p>
          <w:p w14:paraId="5BA2E43D">
            <w:pPr>
              <w:adjustRightInd w:val="0"/>
              <w:snapToGrid w:val="0"/>
              <w:spacing w:line="360" w:lineRule="auto"/>
              <w:rPr>
                <w:rFonts w:hint="default" w:ascii="Times New Roman" w:hAnsi="Times New Roman" w:cs="Times New Roman"/>
                <w:color w:val="auto"/>
                <w:lang w:eastAsia="zh-CN"/>
              </w:rPr>
            </w:pPr>
          </w:p>
          <w:p w14:paraId="083ECB93">
            <w:pPr>
              <w:adjustRightInd w:val="0"/>
              <w:snapToGrid w:val="0"/>
              <w:spacing w:line="360" w:lineRule="auto"/>
              <w:rPr>
                <w:rFonts w:hint="eastAsia" w:cs="Times New Roman"/>
                <w:color w:val="auto"/>
                <w:lang w:eastAsia="zh-CN"/>
              </w:rPr>
            </w:pPr>
          </w:p>
          <w:p w14:paraId="55182936">
            <w:pPr>
              <w:adjustRightInd w:val="0"/>
              <w:snapToGrid w:val="0"/>
              <w:spacing w:line="360" w:lineRule="auto"/>
              <w:rPr>
                <w:rFonts w:hint="eastAsia" w:cs="Times New Roman"/>
                <w:color w:val="auto"/>
                <w:lang w:eastAsia="zh-CN"/>
              </w:rPr>
            </w:pPr>
          </w:p>
          <w:p w14:paraId="37650D8A">
            <w:pPr>
              <w:adjustRightInd w:val="0"/>
              <w:snapToGrid w:val="0"/>
              <w:spacing w:line="360" w:lineRule="auto"/>
              <w:rPr>
                <w:rFonts w:hint="eastAsia" w:cs="Times New Roman"/>
                <w:color w:val="auto"/>
                <w:lang w:eastAsia="zh-CN"/>
              </w:rPr>
            </w:pPr>
          </w:p>
          <w:p w14:paraId="4AB86777">
            <w:pPr>
              <w:adjustRightInd w:val="0"/>
              <w:snapToGrid w:val="0"/>
              <w:spacing w:line="360" w:lineRule="auto"/>
              <w:rPr>
                <w:rFonts w:hint="default" w:ascii="Times New Roman" w:hAnsi="Times New Roman" w:eastAsia="宋体" w:cs="Times New Roman"/>
                <w:color w:val="auto"/>
                <w:lang w:eastAsia="zh-CN"/>
              </w:rPr>
            </w:pPr>
          </w:p>
        </w:tc>
      </w:tr>
    </w:tbl>
    <w:p w14:paraId="6ED07FE9">
      <w:pPr>
        <w:pStyle w:val="78"/>
        <w:spacing w:line="420" w:lineRule="exact"/>
        <w:jc w:val="center"/>
        <w:rPr>
          <w:rFonts w:ascii="Times New Roman" w:hAnsi="Times New Roman" w:eastAsia="黑体"/>
          <w:snapToGrid w:val="0"/>
          <w:color w:val="auto"/>
          <w:sz w:val="36"/>
          <w:szCs w:val="36"/>
        </w:rPr>
        <w:sectPr>
          <w:pgSz w:w="11906" w:h="16838"/>
          <w:pgMar w:top="1701" w:right="1531" w:bottom="1701" w:left="1531" w:header="851" w:footer="851" w:gutter="0"/>
          <w:pgNumType w:fmt="decimal"/>
          <w:cols w:space="720" w:num="1"/>
          <w:docGrid w:linePitch="312" w:charSpace="0"/>
        </w:sectPr>
      </w:pPr>
    </w:p>
    <w:p w14:paraId="7E4819B1">
      <w:pPr>
        <w:pStyle w:val="78"/>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三、区域环境质量现状、环境保护目标及评价标准</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14:paraId="515D30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00" w:type="dxa"/>
            <w:vAlign w:val="center"/>
          </w:tcPr>
          <w:p w14:paraId="59EF9954">
            <w:pPr>
              <w:adjustRightInd w:val="0"/>
              <w:snapToGrid w:val="0"/>
              <w:spacing w:line="420" w:lineRule="exact"/>
              <w:jc w:val="center"/>
              <w:rPr>
                <w:color w:val="auto"/>
                <w:kern w:val="0"/>
              </w:rPr>
            </w:pPr>
            <w:r>
              <w:rPr>
                <w:color w:val="auto"/>
                <w:kern w:val="0"/>
              </w:rPr>
              <w:t>区域</w:t>
            </w:r>
          </w:p>
          <w:p w14:paraId="632162FD">
            <w:pPr>
              <w:adjustRightInd w:val="0"/>
              <w:snapToGrid w:val="0"/>
              <w:spacing w:line="420" w:lineRule="exact"/>
              <w:jc w:val="center"/>
              <w:rPr>
                <w:color w:val="auto"/>
                <w:kern w:val="0"/>
              </w:rPr>
            </w:pPr>
            <w:r>
              <w:rPr>
                <w:color w:val="auto"/>
                <w:kern w:val="0"/>
              </w:rPr>
              <w:t>环境</w:t>
            </w:r>
          </w:p>
          <w:p w14:paraId="5991C146">
            <w:pPr>
              <w:adjustRightInd w:val="0"/>
              <w:snapToGrid w:val="0"/>
              <w:spacing w:line="420" w:lineRule="exact"/>
              <w:jc w:val="center"/>
              <w:rPr>
                <w:color w:val="auto"/>
                <w:kern w:val="0"/>
              </w:rPr>
            </w:pPr>
            <w:r>
              <w:rPr>
                <w:color w:val="auto"/>
                <w:kern w:val="0"/>
              </w:rPr>
              <w:t>质量</w:t>
            </w:r>
          </w:p>
          <w:p w14:paraId="53BE788B">
            <w:pPr>
              <w:adjustRightInd w:val="0"/>
              <w:snapToGrid w:val="0"/>
              <w:spacing w:line="420" w:lineRule="exact"/>
              <w:jc w:val="center"/>
              <w:rPr>
                <w:color w:val="auto"/>
                <w:kern w:val="0"/>
              </w:rPr>
            </w:pPr>
            <w:r>
              <w:rPr>
                <w:color w:val="auto"/>
                <w:kern w:val="0"/>
              </w:rPr>
              <w:t>现状</w:t>
            </w:r>
          </w:p>
        </w:tc>
        <w:tc>
          <w:tcPr>
            <w:tcW w:w="8190" w:type="dxa"/>
            <w:vAlign w:val="center"/>
          </w:tcPr>
          <w:p w14:paraId="2DEF4CEA">
            <w:pPr>
              <w:pStyle w:val="6"/>
              <w:adjustRightInd w:val="0"/>
              <w:snapToGrid w:val="0"/>
              <w:spacing w:before="0" w:after="0" w:line="360" w:lineRule="auto"/>
              <w:rPr>
                <w:rFonts w:ascii="Times New Roman" w:hAnsi="Times New Roman" w:eastAsia="宋体"/>
                <w:color w:val="auto"/>
                <w:sz w:val="21"/>
                <w:szCs w:val="21"/>
              </w:rPr>
            </w:pPr>
            <w:r>
              <w:rPr>
                <w:rFonts w:ascii="Times New Roman" w:hAnsi="Times New Roman" w:eastAsia="宋体"/>
                <w:color w:val="auto"/>
                <w:sz w:val="21"/>
                <w:szCs w:val="21"/>
              </w:rPr>
              <w:t>一、环境功能区划</w:t>
            </w:r>
          </w:p>
          <w:p w14:paraId="2D430056">
            <w:pPr>
              <w:adjustRightInd w:val="0"/>
              <w:snapToGrid w:val="0"/>
              <w:spacing w:line="360" w:lineRule="auto"/>
              <w:ind w:firstLine="420" w:firstLineChars="200"/>
              <w:rPr>
                <w:color w:val="auto"/>
              </w:rPr>
            </w:pPr>
            <w:r>
              <w:rPr>
                <w:color w:val="auto"/>
              </w:rPr>
              <w:t>根据《淄博市城区环境空气质量功能区管理规定的通知》（淄政发[1999]113号）、《关于印发淄博市声环境功能区划方案的通知（淄政办发〔2025〕5 号）》及淄博市水资源管理办公室、淄博市水文局发布的《淄博市水功能区划》（2012.2）等文件，项目所在区域属于</w:t>
            </w:r>
            <w:r>
              <w:rPr>
                <w:rFonts w:hint="default" w:ascii="Times New Roman" w:hAnsi="Times New Roman" w:cs="Times New Roman"/>
                <w:color w:val="FF0000"/>
                <w:kern w:val="0"/>
                <w:highlight w:val="none"/>
              </w:rPr>
              <w:t>《环境空气质量标准》</w:t>
            </w:r>
            <w:r>
              <w:rPr>
                <w:rFonts w:hint="default" w:ascii="Times New Roman" w:hAnsi="Times New Roman" w:cs="Times New Roman"/>
                <w:color w:val="FF0000"/>
                <w:kern w:val="0"/>
                <w:highlight w:val="none"/>
                <w:lang w:eastAsia="zh-CN"/>
              </w:rPr>
              <w:t>（</w:t>
            </w:r>
            <w:r>
              <w:rPr>
                <w:rFonts w:hint="default" w:ascii="Times New Roman" w:hAnsi="Times New Roman" w:cs="Times New Roman"/>
                <w:color w:val="FF0000"/>
                <w:kern w:val="0"/>
                <w:highlight w:val="none"/>
              </w:rPr>
              <w:t>GB3095-2012</w:t>
            </w:r>
            <w:r>
              <w:rPr>
                <w:rFonts w:hint="default" w:ascii="Times New Roman" w:hAnsi="Times New Roman" w:cs="Times New Roman"/>
                <w:color w:val="FF0000"/>
                <w:kern w:val="0"/>
                <w:highlight w:val="none"/>
                <w:lang w:eastAsia="zh-CN"/>
              </w:rPr>
              <w:t>）</w:t>
            </w:r>
            <w:r>
              <w:rPr>
                <w:rFonts w:hint="default" w:ascii="Times New Roman" w:hAnsi="Times New Roman" w:cs="Times New Roman"/>
                <w:color w:val="FF0000"/>
                <w:highlight w:val="none"/>
              </w:rPr>
              <w:t>及其修改单二级标准限值</w:t>
            </w:r>
            <w:r>
              <w:rPr>
                <w:color w:val="auto"/>
              </w:rPr>
              <w:t>；区域噪声执行《声环境质量标准》（GB3096-2008）的</w:t>
            </w:r>
            <w:r>
              <w:rPr>
                <w:rFonts w:hint="eastAsia"/>
                <w:color w:val="auto"/>
                <w:lang w:val="en-US" w:eastAsia="zh-CN"/>
              </w:rPr>
              <w:t>3类</w:t>
            </w:r>
            <w:r>
              <w:rPr>
                <w:color w:val="auto"/>
              </w:rPr>
              <w:t>标准；根据《淄博市地下</w:t>
            </w:r>
            <w:r>
              <w:rPr>
                <w:rFonts w:ascii="Times New Roman" w:hAnsi="Times New Roman" w:cs="Times New Roman"/>
                <w:color w:val="auto"/>
              </w:rPr>
              <w:t>水功能区划分及保护现状评价》，项目所在区的地下水环境执行《地下水质量标准》（GB/T14848-2017）Ⅲ类标准；</w:t>
            </w:r>
            <w:r>
              <w:rPr>
                <w:rFonts w:hint="eastAsia" w:ascii="Times New Roman" w:hAnsi="Times New Roman" w:cs="Times New Roman"/>
                <w:color w:val="auto"/>
              </w:rPr>
              <w:t>项目所在区域地表水为</w:t>
            </w:r>
            <w:r>
              <w:rPr>
                <w:rFonts w:hint="eastAsia" w:cs="Times New Roman"/>
                <w:color w:val="auto"/>
                <w:lang w:val="en-US" w:eastAsia="zh-CN"/>
              </w:rPr>
              <w:t>孝妇</w:t>
            </w:r>
            <w:r>
              <w:rPr>
                <w:rFonts w:hint="eastAsia" w:ascii="Times New Roman" w:hAnsi="Times New Roman" w:cs="Times New Roman"/>
                <w:color w:val="auto"/>
              </w:rPr>
              <w:t>河，执行《地表水环境质量标准》（GB3838-2002）中的</w:t>
            </w:r>
            <w:r>
              <w:rPr>
                <w:rFonts w:hint="eastAsia" w:cs="Times New Roman"/>
                <w:color w:val="auto"/>
                <w:lang w:eastAsia="zh-CN"/>
              </w:rPr>
              <w:t>Ⅳ类</w:t>
            </w:r>
            <w:r>
              <w:rPr>
                <w:rFonts w:hint="eastAsia" w:ascii="Times New Roman" w:hAnsi="Times New Roman" w:cs="Times New Roman"/>
                <w:color w:val="auto"/>
              </w:rPr>
              <w:t>标准</w:t>
            </w:r>
            <w:r>
              <w:rPr>
                <w:rFonts w:ascii="Times New Roman" w:hAnsi="Times New Roman" w:cs="Times New Roman"/>
                <w:color w:val="auto"/>
              </w:rPr>
              <w:t>。</w:t>
            </w:r>
          </w:p>
          <w:p w14:paraId="7B95772C">
            <w:pPr>
              <w:pStyle w:val="6"/>
              <w:adjustRightInd w:val="0"/>
              <w:snapToGrid w:val="0"/>
              <w:spacing w:before="0" w:after="0" w:line="360" w:lineRule="auto"/>
              <w:rPr>
                <w:rFonts w:ascii="Times New Roman" w:hAnsi="Times New Roman" w:eastAsia="宋体"/>
                <w:color w:val="auto"/>
                <w:sz w:val="21"/>
                <w:szCs w:val="21"/>
              </w:rPr>
            </w:pPr>
            <w:r>
              <w:rPr>
                <w:rFonts w:ascii="Times New Roman" w:hAnsi="Times New Roman" w:eastAsia="宋体"/>
                <w:color w:val="auto"/>
                <w:sz w:val="21"/>
                <w:szCs w:val="21"/>
              </w:rPr>
              <w:t>二、环境质量现状</w:t>
            </w:r>
          </w:p>
          <w:p w14:paraId="34F480D5">
            <w:pPr>
              <w:pStyle w:val="8"/>
              <w:adjustRightInd w:val="0"/>
              <w:snapToGrid w:val="0"/>
              <w:spacing w:before="0" w:after="0" w:line="360" w:lineRule="auto"/>
              <w:ind w:firstLine="422" w:firstLineChars="200"/>
              <w:rPr>
                <w:rFonts w:ascii="Times New Roman" w:hAnsi="Times New Roman"/>
                <w:color w:val="auto"/>
                <w:sz w:val="21"/>
                <w:szCs w:val="21"/>
              </w:rPr>
            </w:pPr>
            <w:r>
              <w:rPr>
                <w:rFonts w:ascii="Times New Roman" w:hAnsi="Times New Roman"/>
                <w:color w:val="auto"/>
                <w:sz w:val="21"/>
                <w:szCs w:val="21"/>
              </w:rPr>
              <w:t>1、环境空气质量</w:t>
            </w:r>
          </w:p>
          <w:p w14:paraId="6E0D1AB6">
            <w:pPr>
              <w:keepNext w:val="0"/>
              <w:keepLines w:val="0"/>
              <w:widowControl/>
              <w:suppressLineNumbers w:val="0"/>
              <w:spacing w:line="360" w:lineRule="auto"/>
              <w:ind w:firstLine="420" w:firstLineChars="200"/>
              <w:jc w:val="both"/>
              <w:rPr>
                <w:color w:val="FF0000"/>
                <w:sz w:val="21"/>
                <w:szCs w:val="21"/>
              </w:rPr>
            </w:pPr>
            <w:r>
              <w:rPr>
                <w:rFonts w:hint="eastAsia" w:ascii="宋体" w:hAnsi="宋体" w:eastAsia="宋体" w:cs="宋体"/>
                <w:color w:val="FF0000"/>
                <w:kern w:val="0"/>
                <w:sz w:val="21"/>
                <w:szCs w:val="21"/>
                <w:lang w:val="en-US" w:eastAsia="zh-CN" w:bidi="ar"/>
              </w:rPr>
              <w:t>根据淄博市生态环境局发布的《</w:t>
            </w:r>
            <w:r>
              <w:rPr>
                <w:rFonts w:hint="default" w:ascii="Times New Roman" w:hAnsi="Times New Roman" w:eastAsia="宋体" w:cs="Times New Roman"/>
                <w:color w:val="FF0000"/>
                <w:kern w:val="0"/>
                <w:sz w:val="21"/>
                <w:szCs w:val="21"/>
                <w:lang w:val="en-US" w:eastAsia="zh-CN" w:bidi="ar"/>
              </w:rPr>
              <w:t xml:space="preserve">2025 </w:t>
            </w:r>
            <w:r>
              <w:rPr>
                <w:rFonts w:hint="eastAsia" w:ascii="宋体" w:hAnsi="宋体" w:eastAsia="宋体" w:cs="宋体"/>
                <w:color w:val="FF0000"/>
                <w:kern w:val="0"/>
                <w:sz w:val="21"/>
                <w:szCs w:val="21"/>
                <w:lang w:val="en-US" w:eastAsia="zh-CN" w:bidi="ar"/>
              </w:rPr>
              <w:t xml:space="preserve">年 </w:t>
            </w:r>
            <w:r>
              <w:rPr>
                <w:rFonts w:hint="default" w:ascii="Times New Roman" w:hAnsi="Times New Roman" w:eastAsia="宋体" w:cs="Times New Roman"/>
                <w:color w:val="FF0000"/>
                <w:kern w:val="0"/>
                <w:sz w:val="21"/>
                <w:szCs w:val="21"/>
                <w:lang w:val="en-US" w:eastAsia="zh-CN" w:bidi="ar"/>
              </w:rPr>
              <w:t xml:space="preserve">12 </w:t>
            </w:r>
            <w:r>
              <w:rPr>
                <w:rFonts w:hint="eastAsia" w:ascii="宋体" w:hAnsi="宋体" w:eastAsia="宋体" w:cs="宋体"/>
                <w:color w:val="FF0000"/>
                <w:kern w:val="0"/>
                <w:sz w:val="21"/>
                <w:szCs w:val="21"/>
                <w:lang w:val="en-US" w:eastAsia="zh-CN" w:bidi="ar"/>
              </w:rPr>
              <w:t>月份环境空气质量情况》（</w:t>
            </w:r>
            <w:r>
              <w:rPr>
                <w:rFonts w:hint="default" w:ascii="Times New Roman" w:hAnsi="Times New Roman" w:eastAsia="宋体" w:cs="Times New Roman"/>
                <w:color w:val="FF0000"/>
                <w:kern w:val="0"/>
                <w:sz w:val="21"/>
                <w:szCs w:val="21"/>
                <w:lang w:val="en-US" w:eastAsia="zh-CN" w:bidi="ar"/>
              </w:rPr>
              <w:t xml:space="preserve">2026 </w:t>
            </w:r>
            <w:r>
              <w:rPr>
                <w:rFonts w:hint="eastAsia" w:ascii="宋体" w:hAnsi="宋体" w:eastAsia="宋体" w:cs="宋体"/>
                <w:color w:val="FF0000"/>
                <w:kern w:val="0"/>
                <w:sz w:val="21"/>
                <w:szCs w:val="21"/>
                <w:lang w:val="en-US" w:eastAsia="zh-CN" w:bidi="ar"/>
              </w:rPr>
              <w:t xml:space="preserve">年 </w:t>
            </w:r>
            <w:r>
              <w:rPr>
                <w:rFonts w:hint="default" w:ascii="Times New Roman" w:hAnsi="Times New Roman" w:eastAsia="宋体" w:cs="Times New Roman"/>
                <w:color w:val="FF0000"/>
                <w:kern w:val="0"/>
                <w:sz w:val="21"/>
                <w:szCs w:val="21"/>
                <w:lang w:val="en-US" w:eastAsia="zh-CN" w:bidi="ar"/>
              </w:rPr>
              <w:t xml:space="preserve">1 </w:t>
            </w:r>
            <w:r>
              <w:rPr>
                <w:rFonts w:hint="eastAsia" w:ascii="宋体" w:hAnsi="宋体" w:eastAsia="宋体" w:cs="宋体"/>
                <w:color w:val="FF0000"/>
                <w:kern w:val="0"/>
                <w:sz w:val="21"/>
                <w:szCs w:val="21"/>
                <w:lang w:val="en-US" w:eastAsia="zh-CN" w:bidi="ar"/>
              </w:rPr>
              <w:t>月</w:t>
            </w:r>
            <w:r>
              <w:rPr>
                <w:rFonts w:hint="default" w:ascii="Times New Roman" w:hAnsi="Times New Roman" w:eastAsia="宋体" w:cs="Times New Roman"/>
                <w:color w:val="FF0000"/>
                <w:kern w:val="0"/>
                <w:sz w:val="21"/>
                <w:szCs w:val="21"/>
                <w:lang w:val="en-US" w:eastAsia="zh-CN" w:bidi="ar"/>
              </w:rPr>
              <w:t xml:space="preserve">29 </w:t>
            </w:r>
            <w:r>
              <w:rPr>
                <w:rFonts w:hint="eastAsia" w:ascii="宋体" w:hAnsi="宋体" w:eastAsia="宋体" w:cs="宋体"/>
                <w:color w:val="FF0000"/>
                <w:kern w:val="0"/>
                <w:sz w:val="21"/>
                <w:szCs w:val="21"/>
                <w:lang w:val="en-US" w:eastAsia="zh-CN" w:bidi="ar"/>
              </w:rPr>
              <w:t>日），</w:t>
            </w:r>
            <w:r>
              <w:rPr>
                <w:rFonts w:hint="default" w:ascii="Times New Roman" w:hAnsi="Times New Roman" w:eastAsia="宋体" w:cs="Times New Roman"/>
                <w:color w:val="FF0000"/>
                <w:kern w:val="0"/>
                <w:sz w:val="21"/>
                <w:szCs w:val="21"/>
                <w:lang w:val="en-US" w:eastAsia="zh-CN" w:bidi="ar"/>
              </w:rPr>
              <w:t xml:space="preserve">2025 </w:t>
            </w:r>
            <w:r>
              <w:rPr>
                <w:rFonts w:hint="eastAsia" w:ascii="宋体" w:hAnsi="宋体" w:eastAsia="宋体" w:cs="宋体"/>
                <w:color w:val="FF0000"/>
                <w:kern w:val="0"/>
                <w:sz w:val="21"/>
                <w:szCs w:val="21"/>
                <w:lang w:val="en-US" w:eastAsia="zh-CN" w:bidi="ar"/>
              </w:rPr>
              <w:t xml:space="preserve">年 </w:t>
            </w:r>
            <w:r>
              <w:rPr>
                <w:rFonts w:hint="default" w:ascii="Times New Roman" w:hAnsi="Times New Roman" w:eastAsia="宋体" w:cs="Times New Roman"/>
                <w:color w:val="FF0000"/>
                <w:kern w:val="0"/>
                <w:sz w:val="21"/>
                <w:szCs w:val="21"/>
                <w:lang w:val="en-US" w:eastAsia="zh-CN" w:bidi="ar"/>
              </w:rPr>
              <w:t xml:space="preserve">1-12 </w:t>
            </w:r>
            <w:r>
              <w:rPr>
                <w:rFonts w:hint="eastAsia" w:ascii="宋体" w:hAnsi="宋体" w:eastAsia="宋体" w:cs="宋体"/>
                <w:color w:val="FF0000"/>
                <w:kern w:val="0"/>
                <w:sz w:val="21"/>
                <w:szCs w:val="21"/>
                <w:lang w:val="en-US" w:eastAsia="zh-CN" w:bidi="ar"/>
              </w:rPr>
              <w:t xml:space="preserve">月份，全市良好天数 </w:t>
            </w:r>
            <w:r>
              <w:rPr>
                <w:rFonts w:hint="default" w:ascii="Times New Roman" w:hAnsi="Times New Roman" w:eastAsia="宋体" w:cs="Times New Roman"/>
                <w:color w:val="FF0000"/>
                <w:kern w:val="0"/>
                <w:sz w:val="21"/>
                <w:szCs w:val="21"/>
                <w:lang w:val="en-US" w:eastAsia="zh-CN" w:bidi="ar"/>
              </w:rPr>
              <w:t xml:space="preserve">278 </w:t>
            </w:r>
            <w:r>
              <w:rPr>
                <w:rFonts w:hint="eastAsia" w:ascii="宋体" w:hAnsi="宋体" w:eastAsia="宋体" w:cs="宋体"/>
                <w:color w:val="FF0000"/>
                <w:kern w:val="0"/>
                <w:sz w:val="21"/>
                <w:szCs w:val="21"/>
                <w:lang w:val="en-US" w:eastAsia="zh-CN" w:bidi="ar"/>
              </w:rPr>
              <w:t xml:space="preserve">天（国控），同比增加 </w:t>
            </w:r>
            <w:r>
              <w:rPr>
                <w:rFonts w:hint="default" w:ascii="Times New Roman" w:hAnsi="Times New Roman" w:eastAsia="宋体" w:cs="Times New Roman"/>
                <w:color w:val="FF0000"/>
                <w:kern w:val="0"/>
                <w:sz w:val="21"/>
                <w:szCs w:val="21"/>
                <w:lang w:val="en-US" w:eastAsia="zh-CN" w:bidi="ar"/>
              </w:rPr>
              <w:t xml:space="preserve">40 </w:t>
            </w:r>
            <w:r>
              <w:rPr>
                <w:rFonts w:hint="eastAsia" w:ascii="宋体" w:hAnsi="宋体" w:eastAsia="宋体" w:cs="宋体"/>
                <w:color w:val="FF0000"/>
                <w:kern w:val="0"/>
                <w:sz w:val="21"/>
                <w:szCs w:val="21"/>
                <w:lang w:val="en-US" w:eastAsia="zh-CN" w:bidi="ar"/>
              </w:rPr>
              <w:t>天。优良率</w:t>
            </w:r>
            <w:r>
              <w:rPr>
                <w:rFonts w:hint="default" w:ascii="Times New Roman" w:hAnsi="Times New Roman" w:eastAsia="宋体" w:cs="Times New Roman"/>
                <w:color w:val="FF0000"/>
                <w:kern w:val="0"/>
                <w:sz w:val="21"/>
                <w:szCs w:val="21"/>
                <w:lang w:val="en-US" w:eastAsia="zh-CN" w:bidi="ar"/>
              </w:rPr>
              <w:t>76.2%</w:t>
            </w:r>
            <w:r>
              <w:rPr>
                <w:rFonts w:hint="eastAsia" w:ascii="宋体" w:hAnsi="宋体" w:eastAsia="宋体" w:cs="宋体"/>
                <w:color w:val="FF0000"/>
                <w:kern w:val="0"/>
                <w:sz w:val="21"/>
                <w:szCs w:val="21"/>
                <w:lang w:val="en-US" w:eastAsia="zh-CN" w:bidi="ar"/>
              </w:rPr>
              <w:t xml:space="preserve">，同比增加 </w:t>
            </w:r>
            <w:r>
              <w:rPr>
                <w:rFonts w:hint="default" w:ascii="Times New Roman" w:hAnsi="Times New Roman" w:eastAsia="宋体" w:cs="Times New Roman"/>
                <w:color w:val="FF0000"/>
                <w:kern w:val="0"/>
                <w:sz w:val="21"/>
                <w:szCs w:val="21"/>
                <w:lang w:val="en-US" w:eastAsia="zh-CN" w:bidi="ar"/>
              </w:rPr>
              <w:t xml:space="preserve">11.2 </w:t>
            </w:r>
            <w:r>
              <w:rPr>
                <w:rFonts w:hint="eastAsia" w:ascii="宋体" w:hAnsi="宋体" w:eastAsia="宋体" w:cs="宋体"/>
                <w:color w:val="FF0000"/>
                <w:kern w:val="0"/>
                <w:sz w:val="21"/>
                <w:szCs w:val="21"/>
                <w:lang w:val="en-US" w:eastAsia="zh-CN" w:bidi="ar"/>
              </w:rPr>
              <w:t xml:space="preserve">个百分点。重污染天数 </w:t>
            </w:r>
            <w:r>
              <w:rPr>
                <w:rFonts w:hint="default" w:ascii="Times New Roman" w:hAnsi="Times New Roman" w:eastAsia="宋体" w:cs="Times New Roman"/>
                <w:color w:val="FF0000"/>
                <w:kern w:val="0"/>
                <w:sz w:val="21"/>
                <w:szCs w:val="21"/>
                <w:lang w:val="en-US" w:eastAsia="zh-CN" w:bidi="ar"/>
              </w:rPr>
              <w:t xml:space="preserve">1 </w:t>
            </w:r>
            <w:r>
              <w:rPr>
                <w:rFonts w:hint="eastAsia" w:ascii="宋体" w:hAnsi="宋体" w:eastAsia="宋体" w:cs="宋体"/>
                <w:color w:val="FF0000"/>
                <w:kern w:val="0"/>
                <w:sz w:val="21"/>
                <w:szCs w:val="21"/>
                <w:lang w:val="en-US" w:eastAsia="zh-CN" w:bidi="ar"/>
              </w:rPr>
              <w:t xml:space="preserve">天，同比减少 </w:t>
            </w:r>
            <w:r>
              <w:rPr>
                <w:rFonts w:hint="default" w:ascii="Times New Roman" w:hAnsi="Times New Roman" w:eastAsia="宋体" w:cs="Times New Roman"/>
                <w:color w:val="FF0000"/>
                <w:kern w:val="0"/>
                <w:sz w:val="21"/>
                <w:szCs w:val="21"/>
                <w:lang w:val="en-US" w:eastAsia="zh-CN" w:bidi="ar"/>
              </w:rPr>
              <w:t xml:space="preserve">3 </w:t>
            </w:r>
            <w:r>
              <w:rPr>
                <w:rFonts w:hint="eastAsia" w:ascii="宋体" w:hAnsi="宋体" w:eastAsia="宋体" w:cs="宋体"/>
                <w:color w:val="FF0000"/>
                <w:kern w:val="0"/>
                <w:sz w:val="21"/>
                <w:szCs w:val="21"/>
                <w:lang w:val="en-US" w:eastAsia="zh-CN" w:bidi="ar"/>
              </w:rPr>
              <w:t>天。其中，二氧化硫（</w:t>
            </w:r>
            <w:r>
              <w:rPr>
                <w:rFonts w:hint="default" w:ascii="Times New Roman" w:hAnsi="Times New Roman" w:eastAsia="宋体" w:cs="Times New Roman"/>
                <w:color w:val="FF0000"/>
                <w:kern w:val="0"/>
                <w:sz w:val="21"/>
                <w:szCs w:val="21"/>
                <w:lang w:val="en-US" w:eastAsia="zh-CN" w:bidi="ar"/>
              </w:rPr>
              <w:t>SO</w:t>
            </w:r>
            <w:r>
              <w:rPr>
                <w:rFonts w:hint="default" w:ascii="Times New Roman" w:hAnsi="Times New Roman" w:eastAsia="宋体" w:cs="Times New Roman"/>
                <w:color w:val="FF0000"/>
                <w:kern w:val="0"/>
                <w:sz w:val="21"/>
                <w:szCs w:val="21"/>
                <w:vertAlign w:val="subscript"/>
                <w:lang w:val="en-US" w:eastAsia="zh-CN" w:bidi="ar"/>
              </w:rPr>
              <w:t>2</w:t>
            </w:r>
            <w:r>
              <w:rPr>
                <w:rFonts w:hint="eastAsia" w:ascii="宋体" w:hAnsi="宋体" w:eastAsia="宋体" w:cs="宋体"/>
                <w:color w:val="FF0000"/>
                <w:kern w:val="0"/>
                <w:sz w:val="21"/>
                <w:szCs w:val="21"/>
                <w:lang w:val="en-US" w:eastAsia="zh-CN" w:bidi="ar"/>
              </w:rPr>
              <w:t>）</w:t>
            </w:r>
            <w:r>
              <w:rPr>
                <w:rFonts w:hint="default" w:ascii="Times New Roman" w:hAnsi="Times New Roman" w:eastAsia="宋体" w:cs="Times New Roman"/>
                <w:color w:val="FF0000"/>
                <w:kern w:val="0"/>
                <w:sz w:val="21"/>
                <w:szCs w:val="21"/>
                <w:lang w:val="en-US" w:eastAsia="zh-CN" w:bidi="ar"/>
              </w:rPr>
              <w:t xml:space="preserve">11 </w:t>
            </w:r>
            <w:r>
              <w:rPr>
                <w:rFonts w:hint="eastAsia" w:ascii="宋体" w:hAnsi="宋体" w:eastAsia="宋体" w:cs="宋体"/>
                <w:color w:val="FF0000"/>
                <w:kern w:val="0"/>
                <w:sz w:val="21"/>
                <w:szCs w:val="21"/>
                <w:lang w:val="en-US" w:eastAsia="zh-CN" w:bidi="ar"/>
              </w:rPr>
              <w:t>微克</w:t>
            </w:r>
            <w:r>
              <w:rPr>
                <w:rFonts w:hint="default" w:ascii="Times New Roman" w:hAnsi="Times New Roman" w:eastAsia="宋体" w:cs="Times New Roman"/>
                <w:color w:val="FF0000"/>
                <w:kern w:val="0"/>
                <w:sz w:val="21"/>
                <w:szCs w:val="21"/>
                <w:lang w:val="en-US" w:eastAsia="zh-CN" w:bidi="ar"/>
              </w:rPr>
              <w:t>/</w:t>
            </w:r>
            <w:r>
              <w:rPr>
                <w:rFonts w:hint="eastAsia" w:ascii="宋体" w:hAnsi="宋体" w:eastAsia="宋体" w:cs="宋体"/>
                <w:color w:val="FF0000"/>
                <w:kern w:val="0"/>
                <w:sz w:val="21"/>
                <w:szCs w:val="21"/>
                <w:lang w:val="en-US" w:eastAsia="zh-CN" w:bidi="ar"/>
              </w:rPr>
              <w:t xml:space="preserve">立方米，同比改善 </w:t>
            </w:r>
            <w:r>
              <w:rPr>
                <w:rFonts w:hint="default" w:ascii="Times New Roman" w:hAnsi="Times New Roman" w:eastAsia="宋体" w:cs="Times New Roman"/>
                <w:color w:val="FF0000"/>
                <w:kern w:val="0"/>
                <w:sz w:val="21"/>
                <w:szCs w:val="21"/>
                <w:lang w:val="en-US" w:eastAsia="zh-CN" w:bidi="ar"/>
              </w:rPr>
              <w:t>15.4%</w:t>
            </w:r>
            <w:r>
              <w:rPr>
                <w:rFonts w:hint="eastAsia" w:ascii="宋体" w:hAnsi="宋体" w:eastAsia="宋体" w:cs="宋体"/>
                <w:color w:val="FF0000"/>
                <w:kern w:val="0"/>
                <w:sz w:val="21"/>
                <w:szCs w:val="21"/>
                <w:lang w:val="en-US" w:eastAsia="zh-CN" w:bidi="ar"/>
              </w:rPr>
              <w:t>；二氧化氮（</w:t>
            </w:r>
            <w:r>
              <w:rPr>
                <w:rFonts w:hint="default" w:ascii="Times New Roman" w:hAnsi="Times New Roman" w:eastAsia="宋体" w:cs="Times New Roman"/>
                <w:color w:val="FF0000"/>
                <w:kern w:val="0"/>
                <w:sz w:val="21"/>
                <w:szCs w:val="21"/>
                <w:lang w:val="en-US" w:eastAsia="zh-CN" w:bidi="ar"/>
              </w:rPr>
              <w:t>NO</w:t>
            </w:r>
            <w:r>
              <w:rPr>
                <w:rFonts w:hint="default" w:ascii="Times New Roman" w:hAnsi="Times New Roman" w:eastAsia="宋体" w:cs="Times New Roman"/>
                <w:color w:val="FF0000"/>
                <w:kern w:val="0"/>
                <w:sz w:val="21"/>
                <w:szCs w:val="21"/>
                <w:vertAlign w:val="subscript"/>
                <w:lang w:val="en-US" w:eastAsia="zh-CN" w:bidi="ar"/>
              </w:rPr>
              <w:t>2</w:t>
            </w:r>
            <w:r>
              <w:rPr>
                <w:rFonts w:hint="eastAsia" w:ascii="宋体" w:hAnsi="宋体" w:eastAsia="宋体" w:cs="宋体"/>
                <w:color w:val="FF0000"/>
                <w:kern w:val="0"/>
                <w:sz w:val="21"/>
                <w:szCs w:val="21"/>
                <w:lang w:val="en-US" w:eastAsia="zh-CN" w:bidi="ar"/>
              </w:rPr>
              <w:t>）</w:t>
            </w:r>
            <w:r>
              <w:rPr>
                <w:rFonts w:hint="default" w:ascii="Times New Roman" w:hAnsi="Times New Roman" w:eastAsia="宋体" w:cs="Times New Roman"/>
                <w:color w:val="FF0000"/>
                <w:kern w:val="0"/>
                <w:sz w:val="21"/>
                <w:szCs w:val="21"/>
                <w:lang w:val="en-US" w:eastAsia="zh-CN" w:bidi="ar"/>
              </w:rPr>
              <w:t xml:space="preserve">27 </w:t>
            </w:r>
            <w:r>
              <w:rPr>
                <w:rFonts w:hint="eastAsia" w:ascii="宋体" w:hAnsi="宋体" w:eastAsia="宋体" w:cs="宋体"/>
                <w:color w:val="FF0000"/>
                <w:kern w:val="0"/>
                <w:sz w:val="21"/>
                <w:szCs w:val="21"/>
                <w:lang w:val="en-US" w:eastAsia="zh-CN" w:bidi="ar"/>
              </w:rPr>
              <w:t>微克</w:t>
            </w:r>
            <w:r>
              <w:rPr>
                <w:rFonts w:hint="default" w:ascii="Times New Roman" w:hAnsi="Times New Roman" w:eastAsia="宋体" w:cs="Times New Roman"/>
                <w:color w:val="FF0000"/>
                <w:kern w:val="0"/>
                <w:sz w:val="21"/>
                <w:szCs w:val="21"/>
                <w:lang w:val="en-US" w:eastAsia="zh-CN" w:bidi="ar"/>
              </w:rPr>
              <w:t>/</w:t>
            </w:r>
            <w:r>
              <w:rPr>
                <w:rFonts w:hint="eastAsia" w:ascii="宋体" w:hAnsi="宋体" w:eastAsia="宋体" w:cs="宋体"/>
                <w:color w:val="FF0000"/>
                <w:kern w:val="0"/>
                <w:sz w:val="21"/>
                <w:szCs w:val="21"/>
                <w:lang w:val="en-US" w:eastAsia="zh-CN" w:bidi="ar"/>
              </w:rPr>
              <w:t xml:space="preserve">立方米，同比改善 </w:t>
            </w:r>
            <w:r>
              <w:rPr>
                <w:rFonts w:hint="default" w:ascii="Times New Roman" w:hAnsi="Times New Roman" w:eastAsia="宋体" w:cs="Times New Roman"/>
                <w:color w:val="FF0000"/>
                <w:kern w:val="0"/>
                <w:sz w:val="21"/>
                <w:szCs w:val="21"/>
                <w:lang w:val="en-US" w:eastAsia="zh-CN" w:bidi="ar"/>
              </w:rPr>
              <w:t>18.2%</w:t>
            </w:r>
            <w:r>
              <w:rPr>
                <w:rFonts w:hint="eastAsia" w:ascii="宋体" w:hAnsi="宋体" w:eastAsia="宋体" w:cs="宋体"/>
                <w:color w:val="FF0000"/>
                <w:kern w:val="0"/>
                <w:sz w:val="21"/>
                <w:szCs w:val="21"/>
                <w:lang w:val="en-US" w:eastAsia="zh-CN" w:bidi="ar"/>
              </w:rPr>
              <w:t>；可吸入颗粒物（</w:t>
            </w:r>
            <w:r>
              <w:rPr>
                <w:rFonts w:hint="default" w:ascii="Times New Roman" w:hAnsi="Times New Roman" w:eastAsia="宋体" w:cs="Times New Roman"/>
                <w:color w:val="FF0000"/>
                <w:kern w:val="0"/>
                <w:sz w:val="21"/>
                <w:szCs w:val="21"/>
                <w:lang w:val="en-US" w:eastAsia="zh-CN" w:bidi="ar"/>
              </w:rPr>
              <w:t>PM</w:t>
            </w:r>
            <w:r>
              <w:rPr>
                <w:rFonts w:hint="default" w:ascii="Times New Roman" w:hAnsi="Times New Roman" w:eastAsia="宋体" w:cs="Times New Roman"/>
                <w:color w:val="FF0000"/>
                <w:kern w:val="0"/>
                <w:sz w:val="21"/>
                <w:szCs w:val="21"/>
                <w:vertAlign w:val="subscript"/>
                <w:lang w:val="en-US" w:eastAsia="zh-CN" w:bidi="ar"/>
              </w:rPr>
              <w:t>10</w:t>
            </w:r>
            <w:r>
              <w:rPr>
                <w:rFonts w:hint="eastAsia" w:ascii="宋体" w:hAnsi="宋体" w:eastAsia="宋体" w:cs="宋体"/>
                <w:color w:val="FF0000"/>
                <w:kern w:val="0"/>
                <w:sz w:val="21"/>
                <w:szCs w:val="21"/>
                <w:lang w:val="en-US" w:eastAsia="zh-CN" w:bidi="ar"/>
              </w:rPr>
              <w:t>）</w:t>
            </w:r>
            <w:r>
              <w:rPr>
                <w:rFonts w:hint="default" w:ascii="Times New Roman" w:hAnsi="Times New Roman" w:eastAsia="宋体" w:cs="Times New Roman"/>
                <w:color w:val="FF0000"/>
                <w:kern w:val="0"/>
                <w:sz w:val="21"/>
                <w:szCs w:val="21"/>
                <w:lang w:val="en-US" w:eastAsia="zh-CN" w:bidi="ar"/>
              </w:rPr>
              <w:t xml:space="preserve">59 </w:t>
            </w:r>
            <w:r>
              <w:rPr>
                <w:rFonts w:hint="eastAsia" w:ascii="宋体" w:hAnsi="宋体" w:eastAsia="宋体" w:cs="宋体"/>
                <w:color w:val="FF0000"/>
                <w:kern w:val="0"/>
                <w:sz w:val="21"/>
                <w:szCs w:val="21"/>
                <w:lang w:val="en-US" w:eastAsia="zh-CN" w:bidi="ar"/>
              </w:rPr>
              <w:t>微克</w:t>
            </w:r>
            <w:r>
              <w:rPr>
                <w:rFonts w:hint="default" w:ascii="Times New Roman" w:hAnsi="Times New Roman" w:eastAsia="宋体" w:cs="Times New Roman"/>
                <w:color w:val="FF0000"/>
                <w:kern w:val="0"/>
                <w:sz w:val="21"/>
                <w:szCs w:val="21"/>
                <w:lang w:val="en-US" w:eastAsia="zh-CN" w:bidi="ar"/>
              </w:rPr>
              <w:t>/</w:t>
            </w:r>
            <w:r>
              <w:rPr>
                <w:rFonts w:hint="eastAsia" w:ascii="宋体" w:hAnsi="宋体" w:eastAsia="宋体" w:cs="宋体"/>
                <w:color w:val="FF0000"/>
                <w:kern w:val="0"/>
                <w:sz w:val="21"/>
                <w:szCs w:val="21"/>
                <w:lang w:val="en-US" w:eastAsia="zh-CN" w:bidi="ar"/>
              </w:rPr>
              <w:t xml:space="preserve">立方米，同比改善 </w:t>
            </w:r>
            <w:r>
              <w:rPr>
                <w:rFonts w:hint="default" w:ascii="Times New Roman" w:hAnsi="Times New Roman" w:eastAsia="宋体" w:cs="Times New Roman"/>
                <w:color w:val="FF0000"/>
                <w:kern w:val="0"/>
                <w:sz w:val="21"/>
                <w:szCs w:val="21"/>
                <w:lang w:val="en-US" w:eastAsia="zh-CN" w:bidi="ar"/>
              </w:rPr>
              <w:t>14.5%</w:t>
            </w:r>
            <w:r>
              <w:rPr>
                <w:rFonts w:hint="eastAsia" w:ascii="宋体" w:hAnsi="宋体" w:eastAsia="宋体" w:cs="宋体"/>
                <w:color w:val="FF0000"/>
                <w:kern w:val="0"/>
                <w:sz w:val="21"/>
                <w:szCs w:val="21"/>
                <w:lang w:val="en-US" w:eastAsia="zh-CN" w:bidi="ar"/>
              </w:rPr>
              <w:t>；细颗粒物（</w:t>
            </w:r>
            <w:r>
              <w:rPr>
                <w:rFonts w:hint="default" w:ascii="Times New Roman" w:hAnsi="Times New Roman" w:eastAsia="宋体" w:cs="Times New Roman"/>
                <w:color w:val="FF0000"/>
                <w:kern w:val="0"/>
                <w:sz w:val="21"/>
                <w:szCs w:val="21"/>
                <w:lang w:val="en-US" w:eastAsia="zh-CN" w:bidi="ar"/>
              </w:rPr>
              <w:t>PM</w:t>
            </w:r>
            <w:r>
              <w:rPr>
                <w:rFonts w:hint="default" w:ascii="Times New Roman" w:hAnsi="Times New Roman" w:eastAsia="宋体" w:cs="Times New Roman"/>
                <w:color w:val="FF0000"/>
                <w:kern w:val="0"/>
                <w:sz w:val="21"/>
                <w:szCs w:val="21"/>
                <w:vertAlign w:val="subscript"/>
                <w:lang w:val="en-US" w:eastAsia="zh-CN" w:bidi="ar"/>
              </w:rPr>
              <w:t>2.5</w:t>
            </w:r>
            <w:r>
              <w:rPr>
                <w:rFonts w:hint="eastAsia" w:ascii="宋体" w:hAnsi="宋体" w:eastAsia="宋体" w:cs="宋体"/>
                <w:color w:val="FF0000"/>
                <w:kern w:val="0"/>
                <w:sz w:val="21"/>
                <w:szCs w:val="21"/>
                <w:lang w:val="en-US" w:eastAsia="zh-CN" w:bidi="ar"/>
              </w:rPr>
              <w:t>）</w:t>
            </w:r>
            <w:r>
              <w:rPr>
                <w:rFonts w:hint="default" w:ascii="Times New Roman" w:hAnsi="Times New Roman" w:eastAsia="宋体" w:cs="Times New Roman"/>
                <w:color w:val="FF0000"/>
                <w:kern w:val="0"/>
                <w:sz w:val="21"/>
                <w:szCs w:val="21"/>
                <w:lang w:val="en-US" w:eastAsia="zh-CN" w:bidi="ar"/>
              </w:rPr>
              <w:t xml:space="preserve">35 </w:t>
            </w:r>
            <w:r>
              <w:rPr>
                <w:rFonts w:hint="eastAsia" w:ascii="宋体" w:hAnsi="宋体" w:eastAsia="宋体" w:cs="宋体"/>
                <w:color w:val="FF0000"/>
                <w:kern w:val="0"/>
                <w:sz w:val="21"/>
                <w:szCs w:val="21"/>
                <w:lang w:val="en-US" w:eastAsia="zh-CN" w:bidi="ar"/>
              </w:rPr>
              <w:t>微克</w:t>
            </w:r>
            <w:r>
              <w:rPr>
                <w:rFonts w:hint="default" w:ascii="Times New Roman" w:hAnsi="Times New Roman" w:eastAsia="宋体" w:cs="Times New Roman"/>
                <w:color w:val="FF0000"/>
                <w:kern w:val="0"/>
                <w:sz w:val="21"/>
                <w:szCs w:val="21"/>
                <w:lang w:val="en-US" w:eastAsia="zh-CN" w:bidi="ar"/>
              </w:rPr>
              <w:t xml:space="preserve">/ </w:t>
            </w:r>
            <w:r>
              <w:rPr>
                <w:rFonts w:hint="eastAsia" w:ascii="宋体" w:hAnsi="宋体" w:eastAsia="宋体" w:cs="宋体"/>
                <w:color w:val="FF0000"/>
                <w:kern w:val="0"/>
                <w:sz w:val="21"/>
                <w:szCs w:val="21"/>
                <w:lang w:val="en-US" w:eastAsia="zh-CN" w:bidi="ar"/>
              </w:rPr>
              <w:t xml:space="preserve">立方米，同比改善 </w:t>
            </w:r>
            <w:r>
              <w:rPr>
                <w:rFonts w:hint="default" w:ascii="Times New Roman" w:hAnsi="Times New Roman" w:eastAsia="宋体" w:cs="Times New Roman"/>
                <w:color w:val="FF0000"/>
                <w:kern w:val="0"/>
                <w:sz w:val="21"/>
                <w:szCs w:val="21"/>
                <w:lang w:val="en-US" w:eastAsia="zh-CN" w:bidi="ar"/>
              </w:rPr>
              <w:t>12.5%</w:t>
            </w:r>
            <w:r>
              <w:rPr>
                <w:rFonts w:hint="eastAsia" w:ascii="宋体" w:hAnsi="宋体" w:eastAsia="宋体" w:cs="宋体"/>
                <w:color w:val="FF0000"/>
                <w:kern w:val="0"/>
                <w:sz w:val="21"/>
                <w:szCs w:val="21"/>
                <w:lang w:val="en-US" w:eastAsia="zh-CN" w:bidi="ar"/>
              </w:rPr>
              <w:t>；一氧化碳（</w:t>
            </w:r>
            <w:r>
              <w:rPr>
                <w:rFonts w:hint="default" w:ascii="Times New Roman" w:hAnsi="Times New Roman" w:eastAsia="宋体" w:cs="Times New Roman"/>
                <w:color w:val="FF0000"/>
                <w:kern w:val="0"/>
                <w:sz w:val="21"/>
                <w:szCs w:val="21"/>
                <w:lang w:val="en-US" w:eastAsia="zh-CN" w:bidi="ar"/>
              </w:rPr>
              <w:t>CO</w:t>
            </w:r>
            <w:r>
              <w:rPr>
                <w:rFonts w:hint="eastAsia" w:ascii="宋体" w:hAnsi="宋体" w:eastAsia="宋体" w:cs="宋体"/>
                <w:color w:val="FF0000"/>
                <w:kern w:val="0"/>
                <w:sz w:val="21"/>
                <w:szCs w:val="21"/>
                <w:lang w:val="en-US" w:eastAsia="zh-CN" w:bidi="ar"/>
              </w:rPr>
              <w:t>）</w:t>
            </w:r>
            <w:r>
              <w:rPr>
                <w:rFonts w:hint="default" w:ascii="Times New Roman" w:hAnsi="Times New Roman" w:eastAsia="宋体" w:cs="Times New Roman"/>
                <w:color w:val="FF0000"/>
                <w:kern w:val="0"/>
                <w:sz w:val="21"/>
                <w:szCs w:val="21"/>
                <w:lang w:val="en-US" w:eastAsia="zh-CN" w:bidi="ar"/>
              </w:rPr>
              <w:t xml:space="preserve">1.1 </w:t>
            </w:r>
            <w:r>
              <w:rPr>
                <w:rFonts w:hint="eastAsia" w:ascii="宋体" w:hAnsi="宋体" w:eastAsia="宋体" w:cs="宋体"/>
                <w:color w:val="FF0000"/>
                <w:kern w:val="0"/>
                <w:sz w:val="21"/>
                <w:szCs w:val="21"/>
                <w:lang w:val="en-US" w:eastAsia="zh-CN" w:bidi="ar"/>
              </w:rPr>
              <w:t>毫克</w:t>
            </w:r>
            <w:r>
              <w:rPr>
                <w:rFonts w:hint="default" w:ascii="Times New Roman" w:hAnsi="Times New Roman" w:eastAsia="宋体" w:cs="Times New Roman"/>
                <w:color w:val="FF0000"/>
                <w:kern w:val="0"/>
                <w:sz w:val="21"/>
                <w:szCs w:val="21"/>
                <w:lang w:val="en-US" w:eastAsia="zh-CN" w:bidi="ar"/>
              </w:rPr>
              <w:t>/</w:t>
            </w:r>
            <w:r>
              <w:rPr>
                <w:rFonts w:hint="eastAsia" w:ascii="宋体" w:hAnsi="宋体" w:eastAsia="宋体" w:cs="宋体"/>
                <w:color w:val="FF0000"/>
                <w:kern w:val="0"/>
                <w:sz w:val="21"/>
                <w:szCs w:val="21"/>
                <w:lang w:val="en-US" w:eastAsia="zh-CN" w:bidi="ar"/>
              </w:rPr>
              <w:t xml:space="preserve">立方米，同比改善 </w:t>
            </w:r>
            <w:r>
              <w:rPr>
                <w:rFonts w:hint="default" w:ascii="Times New Roman" w:hAnsi="Times New Roman" w:eastAsia="宋体" w:cs="Times New Roman"/>
                <w:color w:val="FF0000"/>
                <w:kern w:val="0"/>
                <w:sz w:val="21"/>
                <w:szCs w:val="21"/>
                <w:lang w:val="en-US" w:eastAsia="zh-CN" w:bidi="ar"/>
              </w:rPr>
              <w:t>8.3%</w:t>
            </w:r>
            <w:r>
              <w:rPr>
                <w:rFonts w:hint="eastAsia" w:ascii="宋体" w:hAnsi="宋体" w:eastAsia="宋体" w:cs="宋体"/>
                <w:color w:val="FF0000"/>
                <w:kern w:val="0"/>
                <w:sz w:val="21"/>
                <w:szCs w:val="21"/>
                <w:lang w:val="en-US" w:eastAsia="zh-CN" w:bidi="ar"/>
              </w:rPr>
              <w:t>；臭氧（</w:t>
            </w:r>
            <w:r>
              <w:rPr>
                <w:rFonts w:hint="default" w:ascii="Times New Roman" w:hAnsi="Times New Roman" w:eastAsia="宋体" w:cs="Times New Roman"/>
                <w:color w:val="FF0000"/>
                <w:kern w:val="0"/>
                <w:sz w:val="21"/>
                <w:szCs w:val="21"/>
                <w:lang w:val="en-US" w:eastAsia="zh-CN" w:bidi="ar"/>
              </w:rPr>
              <w:t>O</w:t>
            </w:r>
            <w:r>
              <w:rPr>
                <w:rFonts w:hint="default" w:ascii="Times New Roman" w:hAnsi="Times New Roman" w:eastAsia="宋体" w:cs="Times New Roman"/>
                <w:color w:val="FF0000"/>
                <w:kern w:val="0"/>
                <w:sz w:val="21"/>
                <w:szCs w:val="21"/>
                <w:vertAlign w:val="subscript"/>
                <w:lang w:val="en-US" w:eastAsia="zh-CN" w:bidi="ar"/>
              </w:rPr>
              <w:t>3</w:t>
            </w:r>
            <w:r>
              <w:rPr>
                <w:rFonts w:hint="eastAsia" w:ascii="宋体" w:hAnsi="宋体" w:eastAsia="宋体" w:cs="宋体"/>
                <w:color w:val="FF0000"/>
                <w:kern w:val="0"/>
                <w:sz w:val="21"/>
                <w:szCs w:val="21"/>
                <w:lang w:val="en-US" w:eastAsia="zh-CN" w:bidi="ar"/>
              </w:rPr>
              <w:t>）</w:t>
            </w:r>
            <w:r>
              <w:rPr>
                <w:rFonts w:hint="default" w:ascii="Times New Roman" w:hAnsi="Times New Roman" w:eastAsia="宋体" w:cs="Times New Roman"/>
                <w:color w:val="FF0000"/>
                <w:kern w:val="0"/>
                <w:sz w:val="21"/>
                <w:szCs w:val="21"/>
                <w:lang w:val="en-US" w:eastAsia="zh-CN" w:bidi="ar"/>
              </w:rPr>
              <w:t xml:space="preserve">169 </w:t>
            </w:r>
            <w:r>
              <w:rPr>
                <w:rFonts w:hint="eastAsia" w:ascii="宋体" w:hAnsi="宋体" w:eastAsia="宋体" w:cs="宋体"/>
                <w:color w:val="FF0000"/>
                <w:kern w:val="0"/>
                <w:sz w:val="21"/>
                <w:szCs w:val="21"/>
                <w:lang w:val="en-US" w:eastAsia="zh-CN" w:bidi="ar"/>
              </w:rPr>
              <w:t>微克</w:t>
            </w:r>
            <w:r>
              <w:rPr>
                <w:rFonts w:hint="default" w:ascii="Times New Roman" w:hAnsi="Times New Roman" w:eastAsia="宋体" w:cs="Times New Roman"/>
                <w:color w:val="FF0000"/>
                <w:kern w:val="0"/>
                <w:sz w:val="21"/>
                <w:szCs w:val="21"/>
                <w:lang w:val="en-US" w:eastAsia="zh-CN" w:bidi="ar"/>
              </w:rPr>
              <w:t>/</w:t>
            </w:r>
            <w:r>
              <w:rPr>
                <w:rFonts w:hint="eastAsia" w:ascii="宋体" w:hAnsi="宋体" w:eastAsia="宋体" w:cs="宋体"/>
                <w:color w:val="FF0000"/>
                <w:kern w:val="0"/>
                <w:sz w:val="21"/>
                <w:szCs w:val="21"/>
                <w:lang w:val="en-US" w:eastAsia="zh-CN" w:bidi="ar"/>
              </w:rPr>
              <w:t xml:space="preserve">立方米，同比改善 </w:t>
            </w:r>
            <w:r>
              <w:rPr>
                <w:rFonts w:hint="default" w:ascii="Times New Roman" w:hAnsi="Times New Roman" w:eastAsia="宋体" w:cs="Times New Roman"/>
                <w:color w:val="FF0000"/>
                <w:kern w:val="0"/>
                <w:sz w:val="21"/>
                <w:szCs w:val="21"/>
                <w:lang w:val="en-US" w:eastAsia="zh-CN" w:bidi="ar"/>
              </w:rPr>
              <w:t>12.9%</w:t>
            </w:r>
            <w:r>
              <w:rPr>
                <w:rFonts w:hint="eastAsia" w:ascii="宋体" w:hAnsi="宋体" w:eastAsia="宋体" w:cs="宋体"/>
                <w:color w:val="FF0000"/>
                <w:kern w:val="0"/>
                <w:sz w:val="21"/>
                <w:szCs w:val="21"/>
                <w:lang w:val="en-US" w:eastAsia="zh-CN" w:bidi="ar"/>
              </w:rPr>
              <w:t xml:space="preserve">。全市综合指数为 </w:t>
            </w:r>
            <w:r>
              <w:rPr>
                <w:rFonts w:hint="default" w:ascii="Times New Roman" w:hAnsi="Times New Roman" w:eastAsia="宋体" w:cs="Times New Roman"/>
                <w:color w:val="FF0000"/>
                <w:kern w:val="0"/>
                <w:sz w:val="21"/>
                <w:szCs w:val="21"/>
                <w:lang w:val="en-US" w:eastAsia="zh-CN" w:bidi="ar"/>
              </w:rPr>
              <w:t>4.04</w:t>
            </w:r>
            <w:r>
              <w:rPr>
                <w:rFonts w:hint="eastAsia" w:ascii="宋体" w:hAnsi="宋体" w:eastAsia="宋体" w:cs="宋体"/>
                <w:color w:val="FF0000"/>
                <w:kern w:val="0"/>
                <w:sz w:val="21"/>
                <w:szCs w:val="21"/>
                <w:lang w:val="en-US" w:eastAsia="zh-CN" w:bidi="ar"/>
              </w:rPr>
              <w:t xml:space="preserve">，同比改善 </w:t>
            </w:r>
            <w:r>
              <w:rPr>
                <w:rFonts w:hint="default" w:ascii="Times New Roman" w:hAnsi="Times New Roman" w:eastAsia="宋体" w:cs="Times New Roman"/>
                <w:color w:val="FF0000"/>
                <w:kern w:val="0"/>
                <w:sz w:val="21"/>
                <w:szCs w:val="21"/>
                <w:lang w:val="en-US" w:eastAsia="zh-CN" w:bidi="ar"/>
              </w:rPr>
              <w:t>13.7%</w:t>
            </w:r>
            <w:r>
              <w:rPr>
                <w:rFonts w:hint="eastAsia" w:ascii="宋体" w:hAnsi="宋体" w:eastAsia="宋体" w:cs="宋体"/>
                <w:color w:val="FF0000"/>
                <w:kern w:val="0"/>
                <w:sz w:val="21"/>
                <w:szCs w:val="21"/>
                <w:lang w:val="en-US" w:eastAsia="zh-CN" w:bidi="ar"/>
              </w:rPr>
              <w:t>。</w:t>
            </w:r>
          </w:p>
          <w:p w14:paraId="58041090">
            <w:pPr>
              <w:pStyle w:val="1403"/>
              <w:keepNext w:val="0"/>
              <w:keepLines w:val="0"/>
              <w:pageBreakBefore w:val="0"/>
              <w:widowControl/>
              <w:kinsoku/>
              <w:wordWrap/>
              <w:overflowPunct/>
              <w:topLinePunct/>
              <w:autoSpaceDE w:val="0"/>
              <w:autoSpaceDN w:val="0"/>
              <w:bidi w:val="0"/>
              <w:adjustRightInd w:val="0"/>
              <w:snapToGrid w:val="0"/>
              <w:spacing w:line="360" w:lineRule="auto"/>
              <w:ind w:left="0" w:right="0" w:firstLine="420" w:firstLineChars="200"/>
              <w:jc w:val="both"/>
              <w:textAlignment w:val="baseline"/>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lang w:eastAsia="zh-CN"/>
              </w:rPr>
              <w:t>项目</w:t>
            </w:r>
            <w:r>
              <w:rPr>
                <w:rFonts w:hint="default" w:ascii="Times New Roman" w:hAnsi="Times New Roman" w:eastAsia="宋体" w:cs="Times New Roman"/>
                <w:color w:val="FF0000"/>
                <w:sz w:val="21"/>
                <w:szCs w:val="21"/>
                <w:highlight w:val="none"/>
                <w:lang w:eastAsia="zh-CN"/>
              </w:rPr>
              <w:t>所在</w:t>
            </w:r>
            <w:r>
              <w:rPr>
                <w:rFonts w:hint="eastAsia" w:cs="Times New Roman"/>
                <w:color w:val="FF0000"/>
                <w:sz w:val="21"/>
                <w:szCs w:val="21"/>
                <w:highlight w:val="none"/>
                <w:lang w:val="en-US" w:eastAsia="zh-CN"/>
              </w:rPr>
              <w:t>区域环境空气进行达标判断，</w:t>
            </w:r>
            <w:r>
              <w:rPr>
                <w:rFonts w:hint="default" w:ascii="Times New Roman" w:hAnsi="Times New Roman" w:eastAsia="宋体" w:cs="Times New Roman"/>
                <w:color w:val="FF0000"/>
                <w:sz w:val="21"/>
                <w:szCs w:val="21"/>
              </w:rPr>
              <w:t>数据统计及评价情况</w:t>
            </w:r>
            <w:r>
              <w:rPr>
                <w:rFonts w:hint="default" w:ascii="Times New Roman" w:hAnsi="Times New Roman" w:cs="Times New Roman"/>
                <w:color w:val="FF0000"/>
                <w:spacing w:val="3"/>
                <w:sz w:val="21"/>
                <w:szCs w:val="21"/>
                <w:highlight w:val="none"/>
              </w:rPr>
              <w:t>见下表</w:t>
            </w:r>
            <w:r>
              <w:rPr>
                <w:rFonts w:hint="default" w:ascii="Times New Roman" w:hAnsi="Times New Roman" w:eastAsia="宋体" w:cs="Times New Roman"/>
                <w:color w:val="FF0000"/>
                <w:spacing w:val="-1"/>
                <w:sz w:val="21"/>
                <w:szCs w:val="21"/>
                <w:highlight w:val="none"/>
              </w:rPr>
              <w:t>：</w:t>
            </w:r>
          </w:p>
          <w:p w14:paraId="18A8CFF6">
            <w:pPr>
              <w:pStyle w:val="1403"/>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snapToGrid w:val="0"/>
                <w:color w:val="FF0000"/>
                <w:kern w:val="0"/>
                <w:sz w:val="21"/>
                <w:szCs w:val="21"/>
                <w:highlight w:val="none"/>
                <w:lang w:val="en-US" w:eastAsia="en-US" w:bidi="ar-SA"/>
              </w:rPr>
            </w:pPr>
            <w:r>
              <w:rPr>
                <w:rFonts w:hint="default" w:ascii="Times New Roman" w:hAnsi="Times New Roman" w:eastAsia="宋体" w:cs="Times New Roman"/>
                <w:b/>
                <w:bCs/>
                <w:snapToGrid w:val="0"/>
                <w:color w:val="FF0000"/>
                <w:kern w:val="0"/>
                <w:sz w:val="21"/>
                <w:szCs w:val="21"/>
                <w:highlight w:val="none"/>
                <w:lang w:val="en-US" w:eastAsia="en-US" w:bidi="ar-SA"/>
              </w:rPr>
              <w:t xml:space="preserve">表3-1  </w:t>
            </w:r>
            <w:r>
              <w:rPr>
                <w:rFonts w:hint="eastAsia" w:ascii="宋体" w:hAnsi="宋体" w:eastAsia="宋体" w:cs="宋体"/>
                <w:b/>
                <w:bCs w:val="0"/>
                <w:color w:val="FF0000"/>
                <w:sz w:val="21"/>
                <w:szCs w:val="21"/>
              </w:rPr>
              <w:t>202</w:t>
            </w:r>
            <w:r>
              <w:rPr>
                <w:rFonts w:hint="eastAsia" w:ascii="宋体" w:hAnsi="宋体" w:eastAsia="宋体" w:cs="宋体"/>
                <w:b/>
                <w:bCs w:val="0"/>
                <w:color w:val="FF0000"/>
                <w:sz w:val="21"/>
                <w:szCs w:val="21"/>
                <w:lang w:val="en-US" w:eastAsia="zh-CN"/>
              </w:rPr>
              <w:t>5</w:t>
            </w:r>
            <w:r>
              <w:rPr>
                <w:rFonts w:hint="eastAsia" w:ascii="宋体" w:hAnsi="宋体" w:eastAsia="宋体" w:cs="宋体"/>
                <w:b/>
                <w:bCs w:val="0"/>
                <w:color w:val="FF0000"/>
                <w:sz w:val="21"/>
                <w:szCs w:val="21"/>
              </w:rPr>
              <w:t>年</w:t>
            </w:r>
            <w:r>
              <w:rPr>
                <w:rFonts w:hint="eastAsia" w:ascii="宋体" w:hAnsi="宋体" w:eastAsia="宋体" w:cs="宋体"/>
                <w:b/>
                <w:bCs w:val="0"/>
                <w:color w:val="FF0000"/>
                <w:sz w:val="21"/>
                <w:szCs w:val="21"/>
                <w:lang w:eastAsia="zh-CN"/>
              </w:rPr>
              <w:t>项目</w:t>
            </w:r>
            <w:r>
              <w:rPr>
                <w:rFonts w:hint="eastAsia" w:ascii="宋体" w:hAnsi="宋体" w:eastAsia="宋体" w:cs="宋体"/>
                <w:b/>
                <w:bCs w:val="0"/>
                <w:color w:val="FF0000"/>
                <w:sz w:val="21"/>
                <w:szCs w:val="21"/>
              </w:rPr>
              <w:t>区域空气质量现状评价结果一览表</w:t>
            </w:r>
          </w:p>
          <w:tbl>
            <w:tblPr>
              <w:tblStyle w:val="83"/>
              <w:tblW w:w="4998"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5"/>
              <w:gridCol w:w="838"/>
              <w:gridCol w:w="2643"/>
              <w:gridCol w:w="918"/>
              <w:gridCol w:w="918"/>
              <w:gridCol w:w="953"/>
              <w:gridCol w:w="896"/>
            </w:tblGrid>
            <w:tr w14:paraId="71F61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A05C3C9">
                  <w:pPr>
                    <w:pStyle w:val="376"/>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污染物</w:t>
                  </w:r>
                </w:p>
              </w:tc>
              <w:tc>
                <w:tcPr>
                  <w:tcW w:w="526" w:type="pct"/>
                  <w:tcBorders>
                    <w:tl2br w:val="nil"/>
                    <w:tr2bl w:val="nil"/>
                  </w:tcBorders>
                  <w:noWrap w:val="0"/>
                  <w:vAlign w:val="center"/>
                </w:tcPr>
                <w:p w14:paraId="7BCAD848">
                  <w:pPr>
                    <w:pStyle w:val="376"/>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单位</w:t>
                  </w:r>
                </w:p>
              </w:tc>
              <w:tc>
                <w:tcPr>
                  <w:tcW w:w="1659" w:type="pct"/>
                  <w:tcBorders>
                    <w:tl2br w:val="nil"/>
                    <w:tr2bl w:val="nil"/>
                  </w:tcBorders>
                  <w:noWrap w:val="0"/>
                  <w:vAlign w:val="center"/>
                </w:tcPr>
                <w:p w14:paraId="31CB2C73">
                  <w:pPr>
                    <w:pStyle w:val="376"/>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年评价指标</w:t>
                  </w:r>
                </w:p>
              </w:tc>
              <w:tc>
                <w:tcPr>
                  <w:tcW w:w="576" w:type="pct"/>
                  <w:tcBorders>
                    <w:tl2br w:val="nil"/>
                    <w:tr2bl w:val="nil"/>
                  </w:tcBorders>
                  <w:noWrap w:val="0"/>
                  <w:vAlign w:val="center"/>
                </w:tcPr>
                <w:p w14:paraId="60A0C8E4">
                  <w:pPr>
                    <w:pStyle w:val="376"/>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现状浓度</w:t>
                  </w:r>
                </w:p>
              </w:tc>
              <w:tc>
                <w:tcPr>
                  <w:tcW w:w="576" w:type="pct"/>
                  <w:tcBorders>
                    <w:tl2br w:val="nil"/>
                    <w:tr2bl w:val="nil"/>
                  </w:tcBorders>
                  <w:noWrap w:val="0"/>
                  <w:vAlign w:val="center"/>
                </w:tcPr>
                <w:p w14:paraId="54EA2162">
                  <w:pPr>
                    <w:pStyle w:val="376"/>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评价标准</w:t>
                  </w:r>
                </w:p>
              </w:tc>
              <w:tc>
                <w:tcPr>
                  <w:tcW w:w="598" w:type="pct"/>
                  <w:tcBorders>
                    <w:tl2br w:val="nil"/>
                    <w:tr2bl w:val="nil"/>
                  </w:tcBorders>
                  <w:noWrap w:val="0"/>
                  <w:vAlign w:val="center"/>
                </w:tcPr>
                <w:p w14:paraId="47A8ECE3">
                  <w:pPr>
                    <w:pStyle w:val="376"/>
                    <w:spacing w:line="240" w:lineRule="auto"/>
                    <w:rPr>
                      <w:rFonts w:hint="default" w:ascii="Times New Roman" w:hAnsi="Times New Roman" w:eastAsia="宋体" w:cs="Times New Roman"/>
                      <w:b/>
                      <w:color w:val="FF0000"/>
                      <w:sz w:val="18"/>
                      <w:szCs w:val="18"/>
                      <w:lang w:val="en-US" w:eastAsia="zh-CN"/>
                    </w:rPr>
                  </w:pPr>
                  <w:r>
                    <w:rPr>
                      <w:rFonts w:hint="default" w:ascii="Times New Roman" w:hAnsi="Times New Roman" w:cs="Times New Roman"/>
                      <w:b/>
                      <w:color w:val="FF0000"/>
                      <w:sz w:val="18"/>
                      <w:szCs w:val="18"/>
                    </w:rPr>
                    <w:t>占标率</w:t>
                  </w:r>
                  <w:r>
                    <w:rPr>
                      <w:rFonts w:hint="default" w:ascii="Times New Roman" w:hAnsi="Times New Roman" w:cs="Times New Roman"/>
                      <w:b/>
                      <w:color w:val="FF0000"/>
                      <w:sz w:val="18"/>
                      <w:szCs w:val="18"/>
                      <w:lang w:val="en-US" w:eastAsia="zh-CN"/>
                    </w:rPr>
                    <w:t>%</w:t>
                  </w:r>
                </w:p>
              </w:tc>
              <w:tc>
                <w:tcPr>
                  <w:tcW w:w="562" w:type="pct"/>
                  <w:tcBorders>
                    <w:tl2br w:val="nil"/>
                    <w:tr2bl w:val="nil"/>
                  </w:tcBorders>
                  <w:noWrap w:val="0"/>
                  <w:vAlign w:val="center"/>
                </w:tcPr>
                <w:p w14:paraId="6B7651D8">
                  <w:pPr>
                    <w:pStyle w:val="376"/>
                    <w:spacing w:line="240" w:lineRule="auto"/>
                    <w:rPr>
                      <w:rFonts w:hint="default" w:ascii="Times New Roman" w:hAnsi="Times New Roman" w:cs="Times New Roman"/>
                      <w:b/>
                      <w:color w:val="FF0000"/>
                      <w:sz w:val="18"/>
                      <w:szCs w:val="18"/>
                    </w:rPr>
                  </w:pPr>
                  <w:r>
                    <w:rPr>
                      <w:rFonts w:hint="default" w:ascii="Times New Roman" w:hAnsi="Times New Roman" w:cs="Times New Roman"/>
                      <w:b/>
                      <w:color w:val="FF0000"/>
                      <w:sz w:val="18"/>
                      <w:szCs w:val="18"/>
                    </w:rPr>
                    <w:t>达标情况</w:t>
                  </w:r>
                </w:p>
              </w:tc>
            </w:tr>
            <w:tr w14:paraId="4FB59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79C587F">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SO</w:t>
                  </w:r>
                  <w:r>
                    <w:rPr>
                      <w:rFonts w:hint="default" w:ascii="Times New Roman" w:hAnsi="Times New Roman" w:cs="Times New Roman"/>
                      <w:color w:val="FF0000"/>
                      <w:sz w:val="18"/>
                      <w:szCs w:val="18"/>
                      <w:vertAlign w:val="subscript"/>
                    </w:rPr>
                    <w:t>2</w:t>
                  </w:r>
                </w:p>
              </w:tc>
              <w:tc>
                <w:tcPr>
                  <w:tcW w:w="526" w:type="pct"/>
                  <w:tcBorders>
                    <w:tl2br w:val="nil"/>
                    <w:tr2bl w:val="nil"/>
                  </w:tcBorders>
                  <w:noWrap w:val="0"/>
                  <w:vAlign w:val="center"/>
                </w:tcPr>
                <w:p w14:paraId="07321B8B">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μg/m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6E633AC4">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年平均质量浓度</w:t>
                  </w:r>
                </w:p>
              </w:tc>
              <w:tc>
                <w:tcPr>
                  <w:tcW w:w="918" w:type="dxa"/>
                  <w:tcBorders>
                    <w:tl2br w:val="nil"/>
                    <w:tr2bl w:val="nil"/>
                  </w:tcBorders>
                  <w:noWrap w:val="0"/>
                  <w:vAlign w:val="center"/>
                </w:tcPr>
                <w:p w14:paraId="219FAEAF">
                  <w:pPr>
                    <w:keepNext w:val="0"/>
                    <w:keepLines w:val="0"/>
                    <w:pageBreakBefore w:val="0"/>
                    <w:widowControl w:val="0"/>
                    <w:kinsoku/>
                    <w:wordWrap/>
                    <w:overflowPunct/>
                    <w:topLinePunct w:val="0"/>
                    <w:autoSpaceDE/>
                    <w:autoSpaceDN/>
                    <w:bidi w:val="0"/>
                    <w:adjustRightInd/>
                    <w:snapToGrid/>
                    <w:spacing w:before="101" w:line="195" w:lineRule="auto"/>
                    <w:ind w:left="0" w:leftChars="0" w:right="0" w:rightChars="0" w:firstLine="0" w:firstLineChars="0"/>
                    <w:jc w:val="center"/>
                    <w:textAlignment w:val="auto"/>
                    <w:rPr>
                      <w:rFonts w:hint="eastAsia" w:ascii="Times New Roman" w:hAnsi="Times New Roman" w:eastAsia="宋体" w:cs="Times New Roman"/>
                      <w:color w:val="FF0000"/>
                      <w:sz w:val="18"/>
                      <w:szCs w:val="18"/>
                      <w:lang w:val="en-US" w:eastAsia="zh-CN"/>
                    </w:rPr>
                  </w:pPr>
                  <w:r>
                    <w:rPr>
                      <w:rFonts w:ascii="Times New Roman" w:hAnsi="Times New Roman" w:eastAsia="Times New Roman" w:cs="Times New Roman"/>
                      <w:color w:val="FF0000"/>
                      <w:spacing w:val="-8"/>
                      <w:sz w:val="18"/>
                      <w:szCs w:val="18"/>
                    </w:rPr>
                    <w:t>1</w:t>
                  </w:r>
                  <w:r>
                    <w:rPr>
                      <w:rFonts w:hint="eastAsia" w:eastAsia="宋体" w:cs="Times New Roman"/>
                      <w:color w:val="FF0000"/>
                      <w:spacing w:val="-8"/>
                      <w:sz w:val="18"/>
                      <w:szCs w:val="18"/>
                      <w:lang w:val="en-US" w:eastAsia="zh-CN"/>
                    </w:rPr>
                    <w:t>1</w:t>
                  </w:r>
                </w:p>
              </w:tc>
              <w:tc>
                <w:tcPr>
                  <w:tcW w:w="918" w:type="dxa"/>
                  <w:tcBorders>
                    <w:tl2br w:val="nil"/>
                    <w:tr2bl w:val="nil"/>
                  </w:tcBorders>
                  <w:noWrap w:val="0"/>
                  <w:vAlign w:val="center"/>
                </w:tcPr>
                <w:p w14:paraId="0E9AC1CF">
                  <w:pPr>
                    <w:keepNext w:val="0"/>
                    <w:keepLines w:val="0"/>
                    <w:pageBreakBefore w:val="0"/>
                    <w:widowControl w:val="0"/>
                    <w:kinsoku/>
                    <w:wordWrap/>
                    <w:overflowPunct/>
                    <w:topLinePunct w:val="0"/>
                    <w:autoSpaceDE/>
                    <w:autoSpaceDN/>
                    <w:bidi w:val="0"/>
                    <w:adjustRightInd/>
                    <w:snapToGrid/>
                    <w:spacing w:before="101" w:line="195"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ascii="Times New Roman" w:hAnsi="Times New Roman" w:eastAsia="Times New Roman" w:cs="Times New Roman"/>
                      <w:color w:val="FF0000"/>
                      <w:sz w:val="18"/>
                      <w:szCs w:val="18"/>
                    </w:rPr>
                    <w:t>60</w:t>
                  </w:r>
                </w:p>
              </w:tc>
              <w:tc>
                <w:tcPr>
                  <w:tcW w:w="977" w:type="dxa"/>
                  <w:tcBorders>
                    <w:tl2br w:val="nil"/>
                    <w:tr2bl w:val="nil"/>
                  </w:tcBorders>
                  <w:noWrap w:val="0"/>
                  <w:vAlign w:val="center"/>
                </w:tcPr>
                <w:p w14:paraId="7E2C0162">
                  <w:pPr>
                    <w:keepNext w:val="0"/>
                    <w:keepLines w:val="0"/>
                    <w:pageBreakBefore w:val="0"/>
                    <w:widowControl w:val="0"/>
                    <w:kinsoku/>
                    <w:wordWrap/>
                    <w:overflowPunct/>
                    <w:topLinePunct w:val="0"/>
                    <w:autoSpaceDE/>
                    <w:autoSpaceDN/>
                    <w:bidi w:val="0"/>
                    <w:adjustRightInd/>
                    <w:snapToGrid/>
                    <w:spacing w:before="101"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eastAsia" w:eastAsia="宋体" w:cs="Times New Roman"/>
                      <w:color w:val="FF0000"/>
                      <w:sz w:val="18"/>
                      <w:szCs w:val="18"/>
                      <w:lang w:val="en-US" w:eastAsia="zh-CN"/>
                    </w:rPr>
                    <w:t>18.3</w:t>
                  </w:r>
                </w:p>
              </w:tc>
              <w:tc>
                <w:tcPr>
                  <w:tcW w:w="562" w:type="pct"/>
                  <w:tcBorders>
                    <w:tl2br w:val="nil"/>
                    <w:tr2bl w:val="nil"/>
                  </w:tcBorders>
                  <w:noWrap w:val="0"/>
                  <w:vAlign w:val="center"/>
                </w:tcPr>
                <w:p w14:paraId="32C06BBD">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达标</w:t>
                  </w:r>
                </w:p>
              </w:tc>
            </w:tr>
            <w:tr w14:paraId="61511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10ABFE6">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NO</w:t>
                  </w:r>
                  <w:r>
                    <w:rPr>
                      <w:rFonts w:hint="default" w:ascii="Times New Roman" w:hAnsi="Times New Roman" w:cs="Times New Roman"/>
                      <w:color w:val="FF0000"/>
                      <w:sz w:val="18"/>
                      <w:szCs w:val="18"/>
                      <w:vertAlign w:val="subscript"/>
                    </w:rPr>
                    <w:t>2</w:t>
                  </w:r>
                </w:p>
              </w:tc>
              <w:tc>
                <w:tcPr>
                  <w:tcW w:w="526" w:type="pct"/>
                  <w:tcBorders>
                    <w:tl2br w:val="nil"/>
                    <w:tr2bl w:val="nil"/>
                  </w:tcBorders>
                  <w:noWrap w:val="0"/>
                  <w:vAlign w:val="center"/>
                </w:tcPr>
                <w:p w14:paraId="4494821E">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μg/m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01207DE0">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年平均质量浓度</w:t>
                  </w:r>
                </w:p>
              </w:tc>
              <w:tc>
                <w:tcPr>
                  <w:tcW w:w="918" w:type="dxa"/>
                  <w:tcBorders>
                    <w:tl2br w:val="nil"/>
                    <w:tr2bl w:val="nil"/>
                  </w:tcBorders>
                  <w:noWrap w:val="0"/>
                  <w:vAlign w:val="center"/>
                </w:tcPr>
                <w:p w14:paraId="52A76B13">
                  <w:pPr>
                    <w:keepNext w:val="0"/>
                    <w:keepLines w:val="0"/>
                    <w:pageBreakBefore w:val="0"/>
                    <w:widowControl w:val="0"/>
                    <w:kinsoku/>
                    <w:wordWrap/>
                    <w:overflowPunct/>
                    <w:topLinePunct w:val="0"/>
                    <w:autoSpaceDE/>
                    <w:autoSpaceDN/>
                    <w:bidi w:val="0"/>
                    <w:adjustRightInd/>
                    <w:snapToGrid/>
                    <w:spacing w:before="102" w:line="195" w:lineRule="auto"/>
                    <w:ind w:left="0" w:leftChars="0" w:right="0" w:rightChars="0" w:firstLine="0" w:firstLineChars="0"/>
                    <w:jc w:val="center"/>
                    <w:textAlignment w:val="auto"/>
                    <w:rPr>
                      <w:rFonts w:hint="eastAsia" w:ascii="Times New Roman" w:hAnsi="Times New Roman" w:eastAsia="宋体" w:cs="Times New Roman"/>
                      <w:color w:val="FF0000"/>
                      <w:sz w:val="18"/>
                      <w:szCs w:val="18"/>
                      <w:lang w:val="en-US" w:eastAsia="zh-CN"/>
                    </w:rPr>
                  </w:pPr>
                  <w:r>
                    <w:rPr>
                      <w:rFonts w:ascii="Times New Roman" w:hAnsi="Times New Roman" w:eastAsia="Times New Roman" w:cs="Times New Roman"/>
                      <w:color w:val="FF0000"/>
                      <w:spacing w:val="2"/>
                      <w:sz w:val="18"/>
                      <w:szCs w:val="18"/>
                    </w:rPr>
                    <w:t>2</w:t>
                  </w:r>
                  <w:r>
                    <w:rPr>
                      <w:rFonts w:hint="eastAsia" w:eastAsia="宋体" w:cs="Times New Roman"/>
                      <w:color w:val="FF0000"/>
                      <w:spacing w:val="2"/>
                      <w:sz w:val="18"/>
                      <w:szCs w:val="18"/>
                      <w:lang w:val="en-US" w:eastAsia="zh-CN"/>
                    </w:rPr>
                    <w:t>7</w:t>
                  </w:r>
                </w:p>
              </w:tc>
              <w:tc>
                <w:tcPr>
                  <w:tcW w:w="918" w:type="dxa"/>
                  <w:tcBorders>
                    <w:tl2br w:val="nil"/>
                    <w:tr2bl w:val="nil"/>
                  </w:tcBorders>
                  <w:noWrap w:val="0"/>
                  <w:vAlign w:val="center"/>
                </w:tcPr>
                <w:p w14:paraId="6A7391A9">
                  <w:pPr>
                    <w:keepNext w:val="0"/>
                    <w:keepLines w:val="0"/>
                    <w:pageBreakBefore w:val="0"/>
                    <w:widowControl w:val="0"/>
                    <w:kinsoku/>
                    <w:wordWrap/>
                    <w:overflowPunct/>
                    <w:topLinePunct w:val="0"/>
                    <w:autoSpaceDE/>
                    <w:autoSpaceDN/>
                    <w:bidi w:val="0"/>
                    <w:adjustRightInd/>
                    <w:snapToGrid/>
                    <w:spacing w:before="102" w:line="195"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ascii="Times New Roman" w:hAnsi="Times New Roman" w:eastAsia="Times New Roman" w:cs="Times New Roman"/>
                      <w:color w:val="FF0000"/>
                      <w:spacing w:val="3"/>
                      <w:sz w:val="18"/>
                      <w:szCs w:val="18"/>
                    </w:rPr>
                    <w:t>40</w:t>
                  </w:r>
                </w:p>
              </w:tc>
              <w:tc>
                <w:tcPr>
                  <w:tcW w:w="977" w:type="dxa"/>
                  <w:tcBorders>
                    <w:tl2br w:val="nil"/>
                    <w:tr2bl w:val="nil"/>
                  </w:tcBorders>
                  <w:noWrap w:val="0"/>
                  <w:vAlign w:val="center"/>
                </w:tcPr>
                <w:p w14:paraId="5AC8859D">
                  <w:pPr>
                    <w:keepNext w:val="0"/>
                    <w:keepLines w:val="0"/>
                    <w:pageBreakBefore w:val="0"/>
                    <w:widowControl w:val="0"/>
                    <w:kinsoku/>
                    <w:wordWrap/>
                    <w:overflowPunct/>
                    <w:topLinePunct w:val="0"/>
                    <w:autoSpaceDE/>
                    <w:autoSpaceDN/>
                    <w:bidi w:val="0"/>
                    <w:adjustRightInd/>
                    <w:snapToGrid/>
                    <w:spacing w:before="102"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ascii="Times New Roman" w:hAnsi="Times New Roman" w:eastAsia="Times New Roman" w:cs="Times New Roman"/>
                      <w:color w:val="FF0000"/>
                      <w:spacing w:val="2"/>
                      <w:sz w:val="18"/>
                      <w:szCs w:val="18"/>
                    </w:rPr>
                    <w:t>6</w:t>
                  </w:r>
                  <w:r>
                    <w:rPr>
                      <w:rFonts w:hint="eastAsia" w:eastAsia="宋体" w:cs="Times New Roman"/>
                      <w:color w:val="FF0000"/>
                      <w:spacing w:val="2"/>
                      <w:sz w:val="18"/>
                      <w:szCs w:val="18"/>
                      <w:lang w:val="en-US" w:eastAsia="zh-CN"/>
                    </w:rPr>
                    <w:t>7.5</w:t>
                  </w:r>
                </w:p>
              </w:tc>
              <w:tc>
                <w:tcPr>
                  <w:tcW w:w="562" w:type="pct"/>
                  <w:tcBorders>
                    <w:tl2br w:val="nil"/>
                    <w:tr2bl w:val="nil"/>
                  </w:tcBorders>
                  <w:noWrap w:val="0"/>
                  <w:vAlign w:val="center"/>
                </w:tcPr>
                <w:p w14:paraId="177DA743">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达标</w:t>
                  </w:r>
                </w:p>
              </w:tc>
            </w:tr>
            <w:tr w14:paraId="5398C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99" w:type="pct"/>
                  <w:tcBorders>
                    <w:tl2br w:val="nil"/>
                    <w:tr2bl w:val="nil"/>
                  </w:tcBorders>
                  <w:noWrap w:val="0"/>
                  <w:vAlign w:val="center"/>
                </w:tcPr>
                <w:p w14:paraId="44C0AD78">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PM</w:t>
                  </w:r>
                  <w:r>
                    <w:rPr>
                      <w:rFonts w:hint="default" w:ascii="Times New Roman" w:hAnsi="Times New Roman" w:cs="Times New Roman"/>
                      <w:color w:val="FF0000"/>
                      <w:sz w:val="18"/>
                      <w:szCs w:val="18"/>
                      <w:vertAlign w:val="subscript"/>
                    </w:rPr>
                    <w:t>10</w:t>
                  </w:r>
                </w:p>
              </w:tc>
              <w:tc>
                <w:tcPr>
                  <w:tcW w:w="526" w:type="pct"/>
                  <w:tcBorders>
                    <w:tl2br w:val="nil"/>
                    <w:tr2bl w:val="nil"/>
                  </w:tcBorders>
                  <w:noWrap w:val="0"/>
                  <w:vAlign w:val="center"/>
                </w:tcPr>
                <w:p w14:paraId="09790E2F">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μg/m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430441EE">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年平均质量浓度</w:t>
                  </w:r>
                </w:p>
              </w:tc>
              <w:tc>
                <w:tcPr>
                  <w:tcW w:w="918" w:type="dxa"/>
                  <w:tcBorders>
                    <w:tl2br w:val="nil"/>
                    <w:tr2bl w:val="nil"/>
                  </w:tcBorders>
                  <w:noWrap w:val="0"/>
                  <w:vAlign w:val="center"/>
                </w:tcPr>
                <w:p w14:paraId="78DDEED0">
                  <w:pPr>
                    <w:keepNext w:val="0"/>
                    <w:keepLines w:val="0"/>
                    <w:pageBreakBefore w:val="0"/>
                    <w:widowControl w:val="0"/>
                    <w:kinsoku/>
                    <w:wordWrap/>
                    <w:overflowPunct/>
                    <w:topLinePunct w:val="0"/>
                    <w:autoSpaceDE/>
                    <w:autoSpaceDN/>
                    <w:bidi w:val="0"/>
                    <w:adjustRightInd/>
                    <w:snapToGrid/>
                    <w:spacing w:before="104"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hint="eastAsia" w:eastAsia="宋体" w:cs="Times New Roman"/>
                      <w:color w:val="FF0000"/>
                      <w:sz w:val="18"/>
                      <w:szCs w:val="18"/>
                      <w:lang w:val="en-US" w:eastAsia="zh-CN"/>
                    </w:rPr>
                    <w:t>59</w:t>
                  </w:r>
                </w:p>
              </w:tc>
              <w:tc>
                <w:tcPr>
                  <w:tcW w:w="918" w:type="dxa"/>
                  <w:tcBorders>
                    <w:tl2br w:val="nil"/>
                    <w:tr2bl w:val="nil"/>
                  </w:tcBorders>
                  <w:noWrap w:val="0"/>
                  <w:vAlign w:val="center"/>
                </w:tcPr>
                <w:p w14:paraId="29A16FF2">
                  <w:pPr>
                    <w:keepNext w:val="0"/>
                    <w:keepLines w:val="0"/>
                    <w:pageBreakBefore w:val="0"/>
                    <w:widowControl w:val="0"/>
                    <w:kinsoku/>
                    <w:wordWrap/>
                    <w:overflowPunct/>
                    <w:topLinePunct w:val="0"/>
                    <w:autoSpaceDE/>
                    <w:autoSpaceDN/>
                    <w:bidi w:val="0"/>
                    <w:adjustRightInd/>
                    <w:snapToGrid/>
                    <w:spacing w:before="104" w:line="195"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ascii="Times New Roman" w:hAnsi="Times New Roman" w:eastAsia="Times New Roman" w:cs="Times New Roman"/>
                      <w:color w:val="FF0000"/>
                      <w:spacing w:val="1"/>
                      <w:sz w:val="18"/>
                      <w:szCs w:val="18"/>
                    </w:rPr>
                    <w:t>70</w:t>
                  </w:r>
                </w:p>
              </w:tc>
              <w:tc>
                <w:tcPr>
                  <w:tcW w:w="977" w:type="dxa"/>
                  <w:tcBorders>
                    <w:tl2br w:val="nil"/>
                    <w:tr2bl w:val="nil"/>
                  </w:tcBorders>
                  <w:noWrap w:val="0"/>
                  <w:vAlign w:val="center"/>
                </w:tcPr>
                <w:p w14:paraId="35A29481">
                  <w:pPr>
                    <w:keepNext w:val="0"/>
                    <w:keepLines w:val="0"/>
                    <w:pageBreakBefore w:val="0"/>
                    <w:widowControl w:val="0"/>
                    <w:kinsoku/>
                    <w:wordWrap/>
                    <w:overflowPunct/>
                    <w:topLinePunct w:val="0"/>
                    <w:autoSpaceDE/>
                    <w:autoSpaceDN/>
                    <w:bidi w:val="0"/>
                    <w:adjustRightInd/>
                    <w:snapToGrid/>
                    <w:spacing w:before="104"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ascii="Times New Roman" w:hAnsi="Times New Roman" w:eastAsia="Times New Roman" w:cs="Times New Roman"/>
                      <w:color w:val="FF0000"/>
                      <w:spacing w:val="2"/>
                      <w:sz w:val="18"/>
                      <w:szCs w:val="18"/>
                    </w:rPr>
                    <w:t>8</w:t>
                  </w:r>
                  <w:r>
                    <w:rPr>
                      <w:rFonts w:hint="eastAsia" w:eastAsia="宋体" w:cs="Times New Roman"/>
                      <w:color w:val="FF0000"/>
                      <w:spacing w:val="2"/>
                      <w:sz w:val="18"/>
                      <w:szCs w:val="18"/>
                      <w:lang w:val="en-US" w:eastAsia="zh-CN"/>
                    </w:rPr>
                    <w:t>4.3</w:t>
                  </w:r>
                </w:p>
              </w:tc>
              <w:tc>
                <w:tcPr>
                  <w:tcW w:w="562" w:type="pct"/>
                  <w:tcBorders>
                    <w:tl2br w:val="nil"/>
                    <w:tr2bl w:val="nil"/>
                  </w:tcBorders>
                  <w:noWrap w:val="0"/>
                  <w:vAlign w:val="center"/>
                </w:tcPr>
                <w:p w14:paraId="4A84F82B">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达标</w:t>
                  </w:r>
                </w:p>
              </w:tc>
            </w:tr>
            <w:tr w14:paraId="35AE5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7C3984A3">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PM</w:t>
                  </w:r>
                  <w:r>
                    <w:rPr>
                      <w:rFonts w:hint="default" w:ascii="Times New Roman" w:hAnsi="Times New Roman" w:cs="Times New Roman"/>
                      <w:color w:val="FF0000"/>
                      <w:sz w:val="18"/>
                      <w:szCs w:val="18"/>
                      <w:vertAlign w:val="subscript"/>
                    </w:rPr>
                    <w:t>2.5</w:t>
                  </w:r>
                </w:p>
              </w:tc>
              <w:tc>
                <w:tcPr>
                  <w:tcW w:w="526" w:type="pct"/>
                  <w:tcBorders>
                    <w:tl2br w:val="nil"/>
                    <w:tr2bl w:val="nil"/>
                  </w:tcBorders>
                  <w:noWrap w:val="0"/>
                  <w:vAlign w:val="center"/>
                </w:tcPr>
                <w:p w14:paraId="1FD845FF">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μg/m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178CFC50">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年平均质量浓度</w:t>
                  </w:r>
                </w:p>
              </w:tc>
              <w:tc>
                <w:tcPr>
                  <w:tcW w:w="918" w:type="dxa"/>
                  <w:tcBorders>
                    <w:tl2br w:val="nil"/>
                    <w:tr2bl w:val="nil"/>
                  </w:tcBorders>
                  <w:noWrap w:val="0"/>
                  <w:vAlign w:val="center"/>
                </w:tcPr>
                <w:p w14:paraId="4576D6E5">
                  <w:pPr>
                    <w:keepNext w:val="0"/>
                    <w:keepLines w:val="0"/>
                    <w:pageBreakBefore w:val="0"/>
                    <w:widowControl w:val="0"/>
                    <w:kinsoku/>
                    <w:wordWrap/>
                    <w:overflowPunct/>
                    <w:topLinePunct w:val="0"/>
                    <w:autoSpaceDE/>
                    <w:autoSpaceDN/>
                    <w:bidi w:val="0"/>
                    <w:adjustRightInd/>
                    <w:snapToGrid/>
                    <w:spacing w:before="105" w:line="195" w:lineRule="auto"/>
                    <w:ind w:left="0" w:leftChars="0" w:right="0" w:rightChars="0" w:firstLine="0" w:firstLineChars="0"/>
                    <w:jc w:val="center"/>
                    <w:textAlignment w:val="auto"/>
                    <w:rPr>
                      <w:rFonts w:hint="eastAsia" w:ascii="Times New Roman" w:hAnsi="Times New Roman" w:eastAsia="宋体" w:cs="Times New Roman"/>
                      <w:color w:val="FF0000"/>
                      <w:sz w:val="18"/>
                      <w:szCs w:val="18"/>
                      <w:lang w:val="en-US" w:eastAsia="zh-CN"/>
                    </w:rPr>
                  </w:pPr>
                  <w:r>
                    <w:rPr>
                      <w:rFonts w:ascii="Times New Roman" w:hAnsi="Times New Roman" w:eastAsia="Times New Roman" w:cs="Times New Roman"/>
                      <w:color w:val="FF0000"/>
                      <w:sz w:val="18"/>
                      <w:szCs w:val="18"/>
                    </w:rPr>
                    <w:t>3</w:t>
                  </w:r>
                  <w:r>
                    <w:rPr>
                      <w:rFonts w:hint="eastAsia" w:eastAsia="宋体" w:cs="Times New Roman"/>
                      <w:color w:val="FF0000"/>
                      <w:sz w:val="18"/>
                      <w:szCs w:val="18"/>
                      <w:lang w:val="en-US" w:eastAsia="zh-CN"/>
                    </w:rPr>
                    <w:t>5</w:t>
                  </w:r>
                </w:p>
              </w:tc>
              <w:tc>
                <w:tcPr>
                  <w:tcW w:w="918" w:type="dxa"/>
                  <w:tcBorders>
                    <w:tl2br w:val="nil"/>
                    <w:tr2bl w:val="nil"/>
                  </w:tcBorders>
                  <w:noWrap w:val="0"/>
                  <w:vAlign w:val="center"/>
                </w:tcPr>
                <w:p w14:paraId="66973539">
                  <w:pPr>
                    <w:keepNext w:val="0"/>
                    <w:keepLines w:val="0"/>
                    <w:pageBreakBefore w:val="0"/>
                    <w:widowControl w:val="0"/>
                    <w:kinsoku/>
                    <w:wordWrap/>
                    <w:overflowPunct/>
                    <w:topLinePunct w:val="0"/>
                    <w:autoSpaceDE/>
                    <w:autoSpaceDN/>
                    <w:bidi w:val="0"/>
                    <w:adjustRightInd/>
                    <w:snapToGrid/>
                    <w:spacing w:before="105" w:line="195"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ascii="Times New Roman" w:hAnsi="Times New Roman" w:eastAsia="Times New Roman" w:cs="Times New Roman"/>
                      <w:color w:val="FF0000"/>
                      <w:sz w:val="18"/>
                      <w:szCs w:val="18"/>
                    </w:rPr>
                    <w:t>35</w:t>
                  </w:r>
                </w:p>
              </w:tc>
              <w:tc>
                <w:tcPr>
                  <w:tcW w:w="977" w:type="dxa"/>
                  <w:tcBorders>
                    <w:tl2br w:val="nil"/>
                    <w:tr2bl w:val="nil"/>
                  </w:tcBorders>
                  <w:noWrap w:val="0"/>
                  <w:vAlign w:val="center"/>
                </w:tcPr>
                <w:p w14:paraId="71DD97A7">
                  <w:pPr>
                    <w:keepNext w:val="0"/>
                    <w:keepLines w:val="0"/>
                    <w:pageBreakBefore w:val="0"/>
                    <w:widowControl w:val="0"/>
                    <w:kinsoku/>
                    <w:wordWrap/>
                    <w:overflowPunct/>
                    <w:topLinePunct w:val="0"/>
                    <w:autoSpaceDE/>
                    <w:autoSpaceDN/>
                    <w:bidi w:val="0"/>
                    <w:adjustRightInd/>
                    <w:snapToGrid/>
                    <w:spacing w:before="105"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ascii="Times New Roman" w:hAnsi="Times New Roman" w:eastAsia="Times New Roman" w:cs="Times New Roman"/>
                      <w:color w:val="FF0000"/>
                      <w:sz w:val="18"/>
                      <w:szCs w:val="18"/>
                    </w:rPr>
                    <w:t>10</w:t>
                  </w:r>
                  <w:r>
                    <w:rPr>
                      <w:rFonts w:hint="eastAsia" w:eastAsia="宋体" w:cs="Times New Roman"/>
                      <w:color w:val="FF0000"/>
                      <w:sz w:val="18"/>
                      <w:szCs w:val="18"/>
                      <w:lang w:val="en-US" w:eastAsia="zh-CN"/>
                    </w:rPr>
                    <w:t>0.0</w:t>
                  </w:r>
                </w:p>
              </w:tc>
              <w:tc>
                <w:tcPr>
                  <w:tcW w:w="562" w:type="pct"/>
                  <w:tcBorders>
                    <w:tl2br w:val="nil"/>
                    <w:tr2bl w:val="nil"/>
                  </w:tcBorders>
                  <w:noWrap w:val="0"/>
                  <w:vAlign w:val="center"/>
                </w:tcPr>
                <w:p w14:paraId="36471A6D">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达标</w:t>
                  </w:r>
                </w:p>
              </w:tc>
            </w:tr>
            <w:tr w14:paraId="311E6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AB6023C">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CO</w:t>
                  </w:r>
                </w:p>
              </w:tc>
              <w:tc>
                <w:tcPr>
                  <w:tcW w:w="526" w:type="pct"/>
                  <w:tcBorders>
                    <w:tl2br w:val="nil"/>
                    <w:tr2bl w:val="nil"/>
                  </w:tcBorders>
                  <w:noWrap w:val="0"/>
                  <w:vAlign w:val="center"/>
                </w:tcPr>
                <w:p w14:paraId="626CE41A">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mg/m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38EF5774">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95%保证率日平均浓度</w:t>
                  </w:r>
                </w:p>
              </w:tc>
              <w:tc>
                <w:tcPr>
                  <w:tcW w:w="918" w:type="dxa"/>
                  <w:tcBorders>
                    <w:tl2br w:val="nil"/>
                    <w:tr2bl w:val="nil"/>
                  </w:tcBorders>
                  <w:noWrap w:val="0"/>
                  <w:vAlign w:val="center"/>
                </w:tcPr>
                <w:p w14:paraId="3FC35D3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ascii="Times New Roman" w:hAnsi="Times New Roman" w:eastAsia="Times New Roman" w:cs="Times New Roman"/>
                      <w:color w:val="FF0000"/>
                      <w:spacing w:val="-6"/>
                      <w:sz w:val="18"/>
                      <w:szCs w:val="18"/>
                    </w:rPr>
                    <w:t>1.</w:t>
                  </w:r>
                  <w:r>
                    <w:rPr>
                      <w:rFonts w:ascii="Times New Roman" w:hAnsi="Times New Roman" w:eastAsia="Times New Roman" w:cs="Times New Roman"/>
                      <w:color w:val="FF0000"/>
                      <w:spacing w:val="-25"/>
                      <w:sz w:val="18"/>
                      <w:szCs w:val="18"/>
                    </w:rPr>
                    <w:t xml:space="preserve"> </w:t>
                  </w:r>
                  <w:r>
                    <w:rPr>
                      <w:rFonts w:ascii="Times New Roman" w:hAnsi="Times New Roman" w:eastAsia="Times New Roman" w:cs="Times New Roman"/>
                      <w:color w:val="FF0000"/>
                      <w:spacing w:val="-6"/>
                      <w:sz w:val="18"/>
                      <w:szCs w:val="18"/>
                    </w:rPr>
                    <w:t>1</w:t>
                  </w:r>
                </w:p>
              </w:tc>
              <w:tc>
                <w:tcPr>
                  <w:tcW w:w="918" w:type="dxa"/>
                  <w:tcBorders>
                    <w:tl2br w:val="nil"/>
                    <w:tr2bl w:val="nil"/>
                  </w:tcBorders>
                  <w:noWrap w:val="0"/>
                  <w:vAlign w:val="center"/>
                </w:tcPr>
                <w:p w14:paraId="3066C6A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ascii="Times New Roman" w:hAnsi="Times New Roman" w:eastAsia="Times New Roman" w:cs="Times New Roman"/>
                      <w:color w:val="FF0000"/>
                      <w:spacing w:val="1"/>
                      <w:sz w:val="18"/>
                      <w:szCs w:val="18"/>
                    </w:rPr>
                    <w:t>4</w:t>
                  </w:r>
                </w:p>
              </w:tc>
              <w:tc>
                <w:tcPr>
                  <w:tcW w:w="977" w:type="dxa"/>
                  <w:tcBorders>
                    <w:tl2br w:val="nil"/>
                    <w:tr2bl w:val="nil"/>
                  </w:tcBorders>
                  <w:noWrap w:val="0"/>
                  <w:vAlign w:val="center"/>
                </w:tcPr>
                <w:p w14:paraId="1564326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ascii="Times New Roman" w:hAnsi="Times New Roman" w:eastAsia="Times New Roman" w:cs="Times New Roman"/>
                      <w:color w:val="FF0000"/>
                      <w:spacing w:val="4"/>
                      <w:sz w:val="18"/>
                      <w:szCs w:val="18"/>
                    </w:rPr>
                    <w:t>27.5</w:t>
                  </w:r>
                </w:p>
              </w:tc>
              <w:tc>
                <w:tcPr>
                  <w:tcW w:w="562" w:type="pct"/>
                  <w:tcBorders>
                    <w:tl2br w:val="nil"/>
                    <w:tr2bl w:val="nil"/>
                  </w:tcBorders>
                  <w:noWrap w:val="0"/>
                  <w:vAlign w:val="center"/>
                </w:tcPr>
                <w:p w14:paraId="2EC9F389">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达标</w:t>
                  </w:r>
                </w:p>
              </w:tc>
            </w:tr>
            <w:tr w14:paraId="1CAF9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300ACE3">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O</w:t>
                  </w:r>
                  <w:r>
                    <w:rPr>
                      <w:rFonts w:hint="default" w:ascii="Times New Roman" w:hAnsi="Times New Roman" w:cs="Times New Roman"/>
                      <w:color w:val="FF0000"/>
                      <w:sz w:val="18"/>
                      <w:szCs w:val="18"/>
                      <w:vertAlign w:val="subscript"/>
                    </w:rPr>
                    <w:t>3</w:t>
                  </w:r>
                </w:p>
              </w:tc>
              <w:tc>
                <w:tcPr>
                  <w:tcW w:w="526" w:type="pct"/>
                  <w:tcBorders>
                    <w:tl2br w:val="nil"/>
                    <w:tr2bl w:val="nil"/>
                  </w:tcBorders>
                  <w:noWrap w:val="0"/>
                  <w:vAlign w:val="center"/>
                </w:tcPr>
                <w:p w14:paraId="1CDD7B3A">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μg/m</w:t>
                  </w:r>
                  <w:r>
                    <w:rPr>
                      <w:rFonts w:hint="default" w:ascii="Times New Roman" w:hAnsi="Times New Roman" w:cs="Times New Roman"/>
                      <w:color w:val="FF0000"/>
                      <w:sz w:val="18"/>
                      <w:szCs w:val="18"/>
                      <w:vertAlign w:val="superscript"/>
                    </w:rPr>
                    <w:t>3</w:t>
                  </w:r>
                </w:p>
              </w:tc>
              <w:tc>
                <w:tcPr>
                  <w:tcW w:w="1659" w:type="pct"/>
                  <w:tcBorders>
                    <w:tl2br w:val="nil"/>
                    <w:tr2bl w:val="nil"/>
                  </w:tcBorders>
                  <w:noWrap w:val="0"/>
                  <w:vAlign w:val="center"/>
                </w:tcPr>
                <w:p w14:paraId="10322F31">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90%保证率日最大8h滑动平均浓度</w:t>
                  </w:r>
                </w:p>
              </w:tc>
              <w:tc>
                <w:tcPr>
                  <w:tcW w:w="918" w:type="dxa"/>
                  <w:tcBorders>
                    <w:tl2br w:val="nil"/>
                    <w:tr2bl w:val="nil"/>
                  </w:tcBorders>
                  <w:noWrap w:val="0"/>
                  <w:vAlign w:val="center"/>
                </w:tcPr>
                <w:p w14:paraId="555C04A4">
                  <w:pPr>
                    <w:keepNext w:val="0"/>
                    <w:keepLines w:val="0"/>
                    <w:pageBreakBefore w:val="0"/>
                    <w:widowControl w:val="0"/>
                    <w:kinsoku/>
                    <w:wordWrap/>
                    <w:overflowPunct/>
                    <w:topLinePunct w:val="0"/>
                    <w:autoSpaceDE/>
                    <w:autoSpaceDN/>
                    <w:bidi w:val="0"/>
                    <w:adjustRightInd/>
                    <w:snapToGrid/>
                    <w:spacing w:before="58"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ascii="Times New Roman" w:hAnsi="Times New Roman" w:eastAsia="Times New Roman" w:cs="Times New Roman"/>
                      <w:color w:val="FF0000"/>
                      <w:spacing w:val="-3"/>
                      <w:sz w:val="18"/>
                      <w:szCs w:val="18"/>
                    </w:rPr>
                    <w:t>1</w:t>
                  </w:r>
                  <w:r>
                    <w:rPr>
                      <w:rFonts w:hint="eastAsia" w:eastAsia="宋体" w:cs="Times New Roman"/>
                      <w:color w:val="FF0000"/>
                      <w:spacing w:val="-3"/>
                      <w:sz w:val="18"/>
                      <w:szCs w:val="18"/>
                      <w:lang w:val="en-US" w:eastAsia="zh-CN"/>
                    </w:rPr>
                    <w:t>69</w:t>
                  </w:r>
                </w:p>
              </w:tc>
              <w:tc>
                <w:tcPr>
                  <w:tcW w:w="918" w:type="dxa"/>
                  <w:tcBorders>
                    <w:tl2br w:val="nil"/>
                    <w:tr2bl w:val="nil"/>
                  </w:tcBorders>
                  <w:noWrap w:val="0"/>
                  <w:vAlign w:val="center"/>
                </w:tcPr>
                <w:p w14:paraId="7AF180D0">
                  <w:pPr>
                    <w:keepNext w:val="0"/>
                    <w:keepLines w:val="0"/>
                    <w:pageBreakBefore w:val="0"/>
                    <w:widowControl w:val="0"/>
                    <w:kinsoku/>
                    <w:wordWrap/>
                    <w:overflowPunct/>
                    <w:topLinePunct w:val="0"/>
                    <w:autoSpaceDE/>
                    <w:autoSpaceDN/>
                    <w:bidi w:val="0"/>
                    <w:adjustRightInd/>
                    <w:snapToGrid/>
                    <w:spacing w:before="58" w:line="195" w:lineRule="auto"/>
                    <w:ind w:left="0" w:leftChars="0" w:right="0" w:rightChars="0" w:firstLine="0" w:firstLineChars="0"/>
                    <w:jc w:val="center"/>
                    <w:textAlignment w:val="auto"/>
                    <w:rPr>
                      <w:rFonts w:hint="default" w:ascii="Times New Roman" w:hAnsi="Times New Roman" w:cs="Times New Roman"/>
                      <w:color w:val="FF0000"/>
                      <w:sz w:val="18"/>
                      <w:szCs w:val="18"/>
                    </w:rPr>
                  </w:pPr>
                  <w:r>
                    <w:rPr>
                      <w:rFonts w:ascii="Times New Roman" w:hAnsi="Times New Roman" w:eastAsia="Times New Roman" w:cs="Times New Roman"/>
                      <w:color w:val="FF0000"/>
                      <w:spacing w:val="-3"/>
                      <w:sz w:val="18"/>
                      <w:szCs w:val="18"/>
                    </w:rPr>
                    <w:t>160</w:t>
                  </w:r>
                </w:p>
              </w:tc>
              <w:tc>
                <w:tcPr>
                  <w:tcW w:w="977" w:type="dxa"/>
                  <w:tcBorders>
                    <w:tl2br w:val="nil"/>
                    <w:tr2bl w:val="nil"/>
                  </w:tcBorders>
                  <w:noWrap w:val="0"/>
                  <w:vAlign w:val="center"/>
                </w:tcPr>
                <w:p w14:paraId="7BE842F7">
                  <w:pPr>
                    <w:keepNext w:val="0"/>
                    <w:keepLines w:val="0"/>
                    <w:pageBreakBefore w:val="0"/>
                    <w:widowControl w:val="0"/>
                    <w:kinsoku/>
                    <w:wordWrap/>
                    <w:overflowPunct/>
                    <w:topLinePunct w:val="0"/>
                    <w:autoSpaceDE/>
                    <w:autoSpaceDN/>
                    <w:bidi w:val="0"/>
                    <w:adjustRightInd/>
                    <w:snapToGrid/>
                    <w:spacing w:before="58" w:line="195" w:lineRule="auto"/>
                    <w:ind w:left="0" w:leftChars="0" w:right="0" w:rightChars="0" w:firstLine="0" w:firstLineChars="0"/>
                    <w:jc w:val="center"/>
                    <w:textAlignment w:val="auto"/>
                    <w:rPr>
                      <w:rFonts w:hint="default" w:ascii="Times New Roman" w:hAnsi="Times New Roman" w:eastAsia="宋体" w:cs="Times New Roman"/>
                      <w:color w:val="FF0000"/>
                      <w:sz w:val="18"/>
                      <w:szCs w:val="18"/>
                      <w:lang w:val="en-US" w:eastAsia="zh-CN"/>
                    </w:rPr>
                  </w:pPr>
                  <w:r>
                    <w:rPr>
                      <w:rFonts w:ascii="Times New Roman" w:hAnsi="Times New Roman" w:eastAsia="Times New Roman" w:cs="Times New Roman"/>
                      <w:color w:val="FF0000"/>
                      <w:spacing w:val="-1"/>
                      <w:sz w:val="18"/>
                      <w:szCs w:val="18"/>
                    </w:rPr>
                    <w:t>1</w:t>
                  </w:r>
                  <w:r>
                    <w:rPr>
                      <w:rFonts w:hint="eastAsia" w:eastAsia="宋体" w:cs="Times New Roman"/>
                      <w:color w:val="FF0000"/>
                      <w:spacing w:val="-1"/>
                      <w:sz w:val="18"/>
                      <w:szCs w:val="18"/>
                      <w:lang w:val="en-US" w:eastAsia="zh-CN"/>
                    </w:rPr>
                    <w:t>05.6</w:t>
                  </w:r>
                </w:p>
              </w:tc>
              <w:tc>
                <w:tcPr>
                  <w:tcW w:w="562" w:type="pct"/>
                  <w:tcBorders>
                    <w:tl2br w:val="nil"/>
                    <w:tr2bl w:val="nil"/>
                  </w:tcBorders>
                  <w:noWrap w:val="0"/>
                  <w:vAlign w:val="center"/>
                </w:tcPr>
                <w:p w14:paraId="275C3FA4">
                  <w:pPr>
                    <w:pStyle w:val="376"/>
                    <w:spacing w:line="240" w:lineRule="auto"/>
                    <w:rPr>
                      <w:rFonts w:hint="default" w:ascii="Times New Roman" w:hAnsi="Times New Roman" w:cs="Times New Roman"/>
                      <w:color w:val="FF0000"/>
                      <w:sz w:val="18"/>
                      <w:szCs w:val="18"/>
                    </w:rPr>
                  </w:pPr>
                  <w:r>
                    <w:rPr>
                      <w:rFonts w:hint="default" w:ascii="Times New Roman" w:hAnsi="Times New Roman" w:cs="Times New Roman"/>
                      <w:color w:val="FF0000"/>
                      <w:sz w:val="18"/>
                      <w:szCs w:val="18"/>
                    </w:rPr>
                    <w:t>超标</w:t>
                  </w:r>
                </w:p>
              </w:tc>
            </w:tr>
          </w:tbl>
          <w:p w14:paraId="6F1AAF80">
            <w:pPr>
              <w:snapToGrid w:val="0"/>
              <w:spacing w:line="360" w:lineRule="auto"/>
              <w:ind w:firstLine="420" w:firstLineChars="200"/>
              <w:rPr>
                <w:rFonts w:hint="eastAsia" w:eastAsia="宋体"/>
                <w:color w:val="FF0000"/>
                <w:sz w:val="21"/>
                <w:szCs w:val="21"/>
                <w:highlight w:val="none"/>
                <w:lang w:eastAsia="zh-CN"/>
              </w:rPr>
            </w:pPr>
            <w:r>
              <w:rPr>
                <w:rFonts w:hint="default" w:ascii="Times New Roman" w:hAnsi="Times New Roman" w:cs="Times New Roman"/>
                <w:color w:val="FF0000"/>
                <w:kern w:val="0"/>
                <w:highlight w:val="none"/>
              </w:rPr>
              <w:t>根据上表，</w:t>
            </w:r>
            <w:r>
              <w:rPr>
                <w:rFonts w:hint="eastAsia" w:cs="Times New Roman"/>
                <w:color w:val="FF0000"/>
                <w:kern w:val="0"/>
                <w:highlight w:val="none"/>
                <w:lang w:val="en-US" w:eastAsia="zh-CN"/>
              </w:rPr>
              <w:t>项目所在区域</w:t>
            </w:r>
            <w:r>
              <w:rPr>
                <w:rFonts w:hint="eastAsia" w:ascii="Times New Roman" w:hAnsi="Times New Roman" w:eastAsia="宋体" w:cs="Times New Roman"/>
                <w:color w:val="FF0000"/>
                <w:sz w:val="21"/>
                <w:szCs w:val="21"/>
                <w:highlight w:val="none"/>
                <w:shd w:val="clear" w:color="auto" w:fill="auto"/>
                <w:lang w:val="en-US" w:eastAsia="zh-CN"/>
              </w:rPr>
              <w:t>O</w:t>
            </w:r>
            <w:r>
              <w:rPr>
                <w:rFonts w:hint="eastAsia" w:ascii="Times New Roman" w:hAnsi="Times New Roman" w:eastAsia="宋体" w:cs="Times New Roman"/>
                <w:color w:val="FF0000"/>
                <w:sz w:val="21"/>
                <w:szCs w:val="21"/>
                <w:highlight w:val="none"/>
                <w:shd w:val="clear" w:color="auto" w:fill="auto"/>
                <w:vertAlign w:val="subscript"/>
                <w:lang w:val="en-US" w:eastAsia="zh-CN"/>
              </w:rPr>
              <w:t>3</w:t>
            </w:r>
            <w:r>
              <w:rPr>
                <w:rFonts w:hint="default" w:ascii="Times New Roman" w:hAnsi="Times New Roman" w:cs="Times New Roman"/>
                <w:color w:val="FF0000"/>
                <w:highlight w:val="none"/>
              </w:rPr>
              <w:t>浓度不</w:t>
            </w:r>
            <w:r>
              <w:rPr>
                <w:rFonts w:hint="default" w:ascii="Times New Roman" w:hAnsi="Times New Roman" w:cs="Times New Roman"/>
                <w:color w:val="FF0000"/>
                <w:kern w:val="0"/>
                <w:highlight w:val="none"/>
              </w:rPr>
              <w:t>满足《环境空气质量标准》</w:t>
            </w:r>
            <w:r>
              <w:rPr>
                <w:rFonts w:hint="default" w:ascii="Times New Roman" w:hAnsi="Times New Roman" w:cs="Times New Roman"/>
                <w:color w:val="FF0000"/>
                <w:kern w:val="0"/>
                <w:highlight w:val="none"/>
                <w:lang w:eastAsia="zh-CN"/>
              </w:rPr>
              <w:t>（</w:t>
            </w:r>
            <w:r>
              <w:rPr>
                <w:rFonts w:hint="default" w:ascii="Times New Roman" w:hAnsi="Times New Roman" w:cs="Times New Roman"/>
                <w:color w:val="FF0000"/>
                <w:kern w:val="0"/>
                <w:highlight w:val="none"/>
              </w:rPr>
              <w:t>GB3095-2012</w:t>
            </w:r>
            <w:r>
              <w:rPr>
                <w:rFonts w:hint="default" w:ascii="Times New Roman" w:hAnsi="Times New Roman" w:cs="Times New Roman"/>
                <w:color w:val="FF0000"/>
                <w:kern w:val="0"/>
                <w:highlight w:val="none"/>
                <w:lang w:eastAsia="zh-CN"/>
              </w:rPr>
              <w:t>）</w:t>
            </w:r>
            <w:r>
              <w:rPr>
                <w:rFonts w:hint="default" w:ascii="Times New Roman" w:hAnsi="Times New Roman" w:cs="Times New Roman"/>
                <w:color w:val="FF0000"/>
                <w:highlight w:val="none"/>
              </w:rPr>
              <w:t>及其修改单二级标准限值要求</w:t>
            </w:r>
            <w:r>
              <w:rPr>
                <w:rFonts w:hint="eastAsia"/>
                <w:color w:val="FF0000"/>
                <w:sz w:val="21"/>
                <w:szCs w:val="21"/>
                <w:highlight w:val="none"/>
                <w:lang w:eastAsia="zh-CN"/>
              </w:rPr>
              <w:t>。</w:t>
            </w:r>
          </w:p>
          <w:p w14:paraId="0B8EDA78">
            <w:pPr>
              <w:adjustRightInd w:val="0"/>
              <w:snapToGrid w:val="0"/>
              <w:spacing w:line="360" w:lineRule="auto"/>
              <w:ind w:firstLine="420" w:firstLineChars="200"/>
              <w:rPr>
                <w:color w:val="auto"/>
                <w:sz w:val="21"/>
                <w:szCs w:val="21"/>
              </w:rPr>
            </w:pPr>
            <w:r>
              <w:rPr>
                <w:color w:val="auto"/>
                <w:sz w:val="21"/>
                <w:szCs w:val="21"/>
                <w:highlight w:val="none"/>
              </w:rPr>
              <w:t>根据《淄博市“十四五”生态环境保护规划》要求，以持续降低PM</w:t>
            </w:r>
            <w:r>
              <w:rPr>
                <w:color w:val="auto"/>
                <w:sz w:val="21"/>
                <w:szCs w:val="21"/>
                <w:highlight w:val="none"/>
                <w:vertAlign w:val="subscript"/>
              </w:rPr>
              <w:t>2.5</w:t>
            </w:r>
            <w:r>
              <w:rPr>
                <w:color w:val="auto"/>
                <w:sz w:val="21"/>
                <w:szCs w:val="21"/>
                <w:highlight w:val="none"/>
              </w:rPr>
              <w:t>浓度，不断提高空气质量优良天数比例，逐步消除重污染天气为目标任务，实施产业结构升级、清洁能源替代、运输结构优化、扬尘精细管控、VOCs深度治理、氮氧化物深度治理“六大减排工程”，全面推进重点行业、重点领域的全流程污染治理，治理后环境空气质量将得到改善</w:t>
            </w:r>
            <w:r>
              <w:rPr>
                <w:color w:val="auto"/>
                <w:sz w:val="21"/>
                <w:szCs w:val="21"/>
              </w:rPr>
              <w:t>。</w:t>
            </w:r>
          </w:p>
          <w:p w14:paraId="086DD8EA">
            <w:pPr>
              <w:adjustRightInd w:val="0"/>
              <w:snapToGrid w:val="0"/>
              <w:spacing w:line="360" w:lineRule="auto"/>
              <w:ind w:firstLine="422" w:firstLineChars="200"/>
              <w:rPr>
                <w:b/>
                <w:bCs/>
                <w:color w:val="auto"/>
              </w:rPr>
            </w:pPr>
            <w:r>
              <w:rPr>
                <w:b/>
                <w:bCs/>
                <w:color w:val="auto"/>
              </w:rPr>
              <w:t>2、地表水环境质量</w:t>
            </w:r>
          </w:p>
          <w:p w14:paraId="6A8CB130">
            <w:pPr>
              <w:widowControl/>
              <w:adjustRightInd w:val="0"/>
              <w:snapToGrid w:val="0"/>
              <w:spacing w:line="360" w:lineRule="auto"/>
              <w:ind w:firstLine="420" w:firstLineChars="20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项目所在区域属于孝妇河流域，根据《淄博市地表水环境功能区划分及管理规定》地表水环境功能区划分，评价区域内主要地表水为孝妇河，该区域河段水功能区划为Ⅳ类，根据淄博市生态环境局发布的《2024年1—12月全市地表水环境质量状况》，经开区张周路桥断面水质类别满足Ⅳ类，因此经开区孝妇河段满足《地表水环境质量标准》（GB3838-2002）Ⅳ类标准。</w:t>
            </w:r>
          </w:p>
          <w:p w14:paraId="7069F7D7">
            <w:pPr>
              <w:adjustRightInd w:val="0"/>
              <w:snapToGrid w:val="0"/>
              <w:spacing w:line="360" w:lineRule="auto"/>
              <w:ind w:firstLine="422" w:firstLineChars="200"/>
              <w:rPr>
                <w:b/>
                <w:bCs/>
                <w:color w:val="auto"/>
                <w:highlight w:val="none"/>
              </w:rPr>
            </w:pPr>
            <w:r>
              <w:rPr>
                <w:b/>
                <w:bCs/>
                <w:color w:val="auto"/>
              </w:rPr>
              <w:t>3、声环境质量</w:t>
            </w:r>
          </w:p>
          <w:p w14:paraId="4F33A507">
            <w:pPr>
              <w:widowControl/>
              <w:adjustRightInd w:val="0"/>
              <w:snapToGrid w:val="0"/>
              <w:spacing w:line="360" w:lineRule="auto"/>
              <w:ind w:firstLine="452" w:firstLineChars="200"/>
              <w:rPr>
                <w:rFonts w:hint="default" w:ascii="Times New Roman" w:hAnsi="Times New Roman" w:cs="Times New Roman"/>
                <w:color w:val="auto"/>
                <w:highlight w:val="none"/>
              </w:rPr>
            </w:pPr>
            <w:r>
              <w:rPr>
                <w:rFonts w:hint="default" w:ascii="Times New Roman" w:hAnsi="Times New Roman" w:cs="Times New Roman"/>
                <w:color w:val="auto"/>
                <w:spacing w:val="8"/>
                <w:highlight w:val="none"/>
              </w:rPr>
              <w:t>全市所有区县各类功能区昼、夜噪声监测结果均不超标，该项目位于淄博市</w:t>
            </w:r>
            <w:r>
              <w:rPr>
                <w:rFonts w:hint="eastAsia" w:ascii="Times New Roman" w:hAnsi="Times New Roman" w:cs="Times New Roman"/>
                <w:color w:val="auto"/>
                <w:spacing w:val="8"/>
                <w:highlight w:val="none"/>
                <w:lang w:eastAsia="zh-CN"/>
              </w:rPr>
              <w:t>经开区</w:t>
            </w:r>
            <w:r>
              <w:rPr>
                <w:rFonts w:hint="default" w:ascii="Times New Roman" w:hAnsi="Times New Roman" w:cs="Times New Roman"/>
                <w:color w:val="auto"/>
                <w:spacing w:val="8"/>
                <w:highlight w:val="none"/>
              </w:rPr>
              <w:t>，区域昼间噪声与夜间</w:t>
            </w:r>
            <w:r>
              <w:rPr>
                <w:rFonts w:hint="default" w:ascii="Times New Roman" w:hAnsi="Times New Roman" w:cs="Times New Roman"/>
                <w:color w:val="auto"/>
                <w:spacing w:val="7"/>
                <w:highlight w:val="none"/>
              </w:rPr>
              <w:t>噪声均符合《声环境质量</w:t>
            </w:r>
            <w:r>
              <w:rPr>
                <w:rFonts w:hint="default" w:ascii="Times New Roman" w:hAnsi="Times New Roman" w:cs="Times New Roman"/>
                <w:color w:val="auto"/>
                <w:spacing w:val="8"/>
                <w:highlight w:val="none"/>
              </w:rPr>
              <w:t>标准》（</w:t>
            </w:r>
            <w:r>
              <w:rPr>
                <w:rFonts w:hint="default" w:ascii="Times New Roman" w:hAnsi="Times New Roman" w:eastAsia="Times New Roman" w:cs="Times New Roman"/>
                <w:color w:val="auto"/>
                <w:highlight w:val="none"/>
              </w:rPr>
              <w:t>GB</w:t>
            </w:r>
            <w:r>
              <w:rPr>
                <w:rFonts w:hint="default" w:ascii="Times New Roman" w:hAnsi="Times New Roman" w:eastAsia="Times New Roman" w:cs="Times New Roman"/>
                <w:color w:val="auto"/>
                <w:spacing w:val="8"/>
                <w:highlight w:val="none"/>
              </w:rPr>
              <w:t>3096-2008</w:t>
            </w:r>
            <w:r>
              <w:rPr>
                <w:rFonts w:hint="default" w:ascii="Times New Roman" w:hAnsi="Times New Roman" w:cs="Times New Roman"/>
                <w:color w:val="auto"/>
                <w:spacing w:val="8"/>
                <w:highlight w:val="none"/>
              </w:rPr>
              <w:t>）</w:t>
            </w:r>
            <w:r>
              <w:rPr>
                <w:rFonts w:hint="eastAsia" w:ascii="Times New Roman" w:hAnsi="Times New Roman" w:cs="Times New Roman"/>
                <w:color w:val="auto"/>
                <w:spacing w:val="8"/>
                <w:highlight w:val="none"/>
                <w:lang w:val="en-US" w:eastAsia="zh-CN"/>
              </w:rPr>
              <w:t>3</w:t>
            </w:r>
            <w:r>
              <w:rPr>
                <w:rFonts w:hint="default" w:ascii="Times New Roman" w:hAnsi="Times New Roman" w:cs="Times New Roman"/>
                <w:color w:val="auto"/>
                <w:spacing w:val="8"/>
                <w:highlight w:val="none"/>
              </w:rPr>
              <w:t>类区标准的要求，声环境质量良好</w:t>
            </w:r>
            <w:r>
              <w:rPr>
                <w:rFonts w:hint="default" w:ascii="Times New Roman" w:hAnsi="Times New Roman" w:cs="Times New Roman"/>
                <w:color w:val="auto"/>
                <w:highlight w:val="none"/>
              </w:rPr>
              <w:t>。</w:t>
            </w:r>
          </w:p>
          <w:p w14:paraId="4FDCA0FD">
            <w:pPr>
              <w:widowControl/>
              <w:adjustRightInd w:val="0"/>
              <w:snapToGrid w:val="0"/>
              <w:spacing w:line="360" w:lineRule="auto"/>
              <w:ind w:firstLine="422" w:firstLineChars="200"/>
              <w:jc w:val="left"/>
              <w:rPr>
                <w:b/>
                <w:bCs/>
                <w:color w:val="auto"/>
              </w:rPr>
            </w:pPr>
            <w:r>
              <w:rPr>
                <w:b/>
                <w:bCs/>
                <w:color w:val="auto"/>
              </w:rPr>
              <w:t>4、生态环境</w:t>
            </w:r>
          </w:p>
          <w:p w14:paraId="51296D3D">
            <w:pPr>
              <w:adjustRightInd w:val="0"/>
              <w:snapToGrid w:val="0"/>
              <w:spacing w:line="360" w:lineRule="auto"/>
              <w:ind w:firstLine="420" w:firstLineChars="200"/>
              <w:rPr>
                <w:color w:val="auto"/>
              </w:rPr>
            </w:pPr>
            <w:r>
              <w:rPr>
                <w:color w:val="auto"/>
              </w:rPr>
              <w:t>淄博市地处华北地台鲁西台北斜鲁中隆断区的北缘，为一向斜构造，称“淄博向斜”。构造特征是褶皱平缓舒展而不甚发育，除较高一级的“淄博向斜”外，其它系与“淄博向斜”相伴生的次级小型褶皱；区内断层构造较为发育，尤以张性正断层为主，纵横切割。岩浆岩石分布面广，并具有多期活动的特点。主要有金岭闪长岩杂岩体、昆仑辉长岩体等。地势南高北低，南部及东西两翼山峦起伏跌宕，中部低陷向北倾伏，南北落差千余米。以胶济铁路为界，以南大部分为山区、丘陵，岩溶地貌发达；以北大部分为山前冲积平原和黄泛平原，土地平坦肥沃。北部有黄河、小清河流经，发源于淄博的河流有沂河、淄河、孝妇河等。全市山区、丘陵、平原面积分别占全市总面积的42%、29.9%和28.1%。根据地质勘探资料，厂区所处区域地貌单元属鲁中低山丘陵区北部边缘。</w:t>
            </w:r>
            <w:r>
              <w:rPr>
                <w:color w:val="auto"/>
                <w:sz w:val="21"/>
                <w:szCs w:val="21"/>
              </w:rPr>
              <w:t>本项目</w:t>
            </w:r>
            <w:r>
              <w:rPr>
                <w:rFonts w:hint="eastAsia"/>
                <w:color w:val="auto"/>
                <w:sz w:val="21"/>
                <w:szCs w:val="21"/>
                <w:lang w:val="en-US" w:eastAsia="zh-CN"/>
              </w:rPr>
              <w:t>在现有车间进行技改</w:t>
            </w:r>
            <w:r>
              <w:rPr>
                <w:color w:val="auto"/>
              </w:rPr>
              <w:t>，不新增占地，且用地范围内无生态环境保护目标，无需进行生态现状调查。</w:t>
            </w:r>
          </w:p>
          <w:p w14:paraId="0E01C051">
            <w:pPr>
              <w:widowControl/>
              <w:adjustRightInd w:val="0"/>
              <w:snapToGrid w:val="0"/>
              <w:spacing w:line="360" w:lineRule="auto"/>
              <w:ind w:firstLine="422" w:firstLineChars="200"/>
              <w:jc w:val="left"/>
              <w:rPr>
                <w:b/>
                <w:bCs/>
                <w:color w:val="auto"/>
              </w:rPr>
            </w:pPr>
            <w:r>
              <w:rPr>
                <w:b/>
                <w:bCs/>
                <w:color w:val="auto"/>
              </w:rPr>
              <w:t>5、电磁辐射</w:t>
            </w:r>
          </w:p>
          <w:p w14:paraId="5B314FB2">
            <w:pPr>
              <w:widowControl/>
              <w:adjustRightInd w:val="0"/>
              <w:snapToGrid w:val="0"/>
              <w:spacing w:line="360" w:lineRule="auto"/>
              <w:ind w:firstLine="420" w:firstLineChars="200"/>
              <w:rPr>
                <w:color w:val="auto"/>
              </w:rPr>
            </w:pPr>
            <w:r>
              <w:rPr>
                <w:color w:val="auto"/>
              </w:rPr>
              <w:t>项目不属于新建或改建、扩建广播电台、差转台、电视塔台、卫星地球上行站、雷达等电磁辐射类项目，无需对电磁辐射现状开展监测与评价。</w:t>
            </w:r>
          </w:p>
          <w:p w14:paraId="73CA0488">
            <w:pPr>
              <w:widowControl/>
              <w:adjustRightInd w:val="0"/>
              <w:snapToGrid w:val="0"/>
              <w:spacing w:line="360" w:lineRule="auto"/>
              <w:ind w:firstLine="422" w:firstLineChars="200"/>
              <w:jc w:val="left"/>
              <w:rPr>
                <w:b/>
                <w:bCs/>
                <w:color w:val="auto"/>
              </w:rPr>
            </w:pPr>
            <w:r>
              <w:rPr>
                <w:b/>
                <w:bCs/>
                <w:color w:val="auto"/>
              </w:rPr>
              <w:t>6、地下水</w:t>
            </w:r>
          </w:p>
          <w:p w14:paraId="07367385">
            <w:pPr>
              <w:adjustRightInd w:val="0"/>
              <w:snapToGrid w:val="0"/>
              <w:spacing w:line="360" w:lineRule="auto"/>
              <w:ind w:firstLine="420" w:firstLineChars="200"/>
              <w:rPr>
                <w:color w:val="auto"/>
              </w:rPr>
            </w:pPr>
            <w:r>
              <w:rPr>
                <w:color w:val="auto"/>
              </w:rPr>
              <w:t>经现场勘查，厂界外周边500米范围内无集中式饮用水水源和热水、矿泉水、温泉等特殊地下水资源。</w:t>
            </w:r>
          </w:p>
          <w:p w14:paraId="0D5B3089">
            <w:pPr>
              <w:widowControl/>
              <w:adjustRightInd w:val="0"/>
              <w:snapToGrid w:val="0"/>
              <w:spacing w:line="360" w:lineRule="auto"/>
              <w:ind w:firstLine="422" w:firstLineChars="200"/>
              <w:jc w:val="left"/>
              <w:rPr>
                <w:b/>
                <w:bCs/>
                <w:color w:val="auto"/>
              </w:rPr>
            </w:pPr>
            <w:r>
              <w:rPr>
                <w:b/>
                <w:bCs/>
                <w:color w:val="auto"/>
              </w:rPr>
              <w:t>7、土壤</w:t>
            </w:r>
          </w:p>
          <w:p w14:paraId="78720FC9">
            <w:pPr>
              <w:pStyle w:val="103"/>
              <w:ind w:firstLine="420"/>
              <w:rPr>
                <w:rFonts w:ascii="Times New Roman" w:hAnsi="Times New Roman"/>
                <w:color w:val="auto"/>
              </w:rPr>
            </w:pPr>
            <w:r>
              <w:rPr>
                <w:rFonts w:hint="eastAsia" w:ascii="Times New Roman" w:hAnsi="Times New Roman"/>
                <w:color w:val="auto"/>
                <w:sz w:val="21"/>
                <w:lang w:eastAsia="zh-CN"/>
              </w:rPr>
              <w:t>项目所在</w:t>
            </w:r>
            <w:r>
              <w:rPr>
                <w:rFonts w:ascii="Times New Roman" w:hAnsi="Times New Roman"/>
                <w:color w:val="auto"/>
                <w:sz w:val="21"/>
              </w:rPr>
              <w:t>区域</w:t>
            </w:r>
            <w:r>
              <w:rPr>
                <w:rFonts w:hint="eastAsia" w:ascii="Times New Roman" w:hAnsi="Times New Roman"/>
                <w:color w:val="auto"/>
                <w:sz w:val="21"/>
                <w:lang w:eastAsia="zh-CN"/>
              </w:rPr>
              <w:t>及周边</w:t>
            </w:r>
            <w:r>
              <w:rPr>
                <w:rFonts w:ascii="Times New Roman" w:hAnsi="Times New Roman"/>
                <w:color w:val="auto"/>
                <w:sz w:val="21"/>
              </w:rPr>
              <w:t>土壤环境质量</w:t>
            </w:r>
            <w:r>
              <w:rPr>
                <w:rFonts w:hint="eastAsia" w:ascii="Times New Roman" w:hAnsi="Times New Roman"/>
                <w:color w:val="auto"/>
                <w:sz w:val="21"/>
                <w:lang w:eastAsia="zh-CN"/>
              </w:rPr>
              <w:t>良</w:t>
            </w:r>
            <w:r>
              <w:rPr>
                <w:rFonts w:ascii="Times New Roman" w:hAnsi="Times New Roman"/>
                <w:color w:val="auto"/>
                <w:sz w:val="21"/>
              </w:rPr>
              <w:t>好</w:t>
            </w:r>
            <w:r>
              <w:rPr>
                <w:rFonts w:hint="eastAsia" w:ascii="Times New Roman" w:hAnsi="Times New Roman"/>
                <w:color w:val="auto"/>
                <w:sz w:val="21"/>
                <w:lang w:eastAsia="zh-CN"/>
              </w:rPr>
              <w:t>，</w:t>
            </w:r>
            <w:r>
              <w:rPr>
                <w:color w:val="auto"/>
                <w:sz w:val="21"/>
                <w:szCs w:val="21"/>
              </w:rPr>
              <w:t>本项目建成后对周围土壤环境造成影响较小，可不开展环境质量现状调查</w:t>
            </w:r>
            <w:r>
              <w:rPr>
                <w:rFonts w:hint="eastAsia"/>
                <w:color w:val="auto"/>
                <w:sz w:val="21"/>
                <w:szCs w:val="21"/>
                <w:lang w:eastAsia="zh-CN"/>
              </w:rPr>
              <w:t>。</w:t>
            </w:r>
          </w:p>
        </w:tc>
      </w:tr>
      <w:tr w14:paraId="177AE7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23" w:hRule="atLeast"/>
          <w:jc w:val="center"/>
        </w:trPr>
        <w:tc>
          <w:tcPr>
            <w:tcW w:w="800" w:type="dxa"/>
            <w:vAlign w:val="center"/>
          </w:tcPr>
          <w:p w14:paraId="7A284C89">
            <w:pPr>
              <w:adjustRightInd w:val="0"/>
              <w:snapToGrid w:val="0"/>
              <w:spacing w:line="420" w:lineRule="exact"/>
              <w:jc w:val="center"/>
              <w:rPr>
                <w:color w:val="auto"/>
                <w:kern w:val="0"/>
              </w:rPr>
            </w:pPr>
            <w:r>
              <w:rPr>
                <w:color w:val="auto"/>
                <w:kern w:val="0"/>
              </w:rPr>
              <w:t>环境</w:t>
            </w:r>
          </w:p>
          <w:p w14:paraId="0883A283">
            <w:pPr>
              <w:adjustRightInd w:val="0"/>
              <w:snapToGrid w:val="0"/>
              <w:spacing w:line="420" w:lineRule="exact"/>
              <w:jc w:val="center"/>
              <w:rPr>
                <w:color w:val="auto"/>
                <w:kern w:val="0"/>
              </w:rPr>
            </w:pPr>
            <w:r>
              <w:rPr>
                <w:color w:val="auto"/>
                <w:kern w:val="0"/>
              </w:rPr>
              <w:t>保护</w:t>
            </w:r>
          </w:p>
          <w:p w14:paraId="6B2EAE1B">
            <w:pPr>
              <w:adjustRightInd w:val="0"/>
              <w:snapToGrid w:val="0"/>
              <w:spacing w:line="420" w:lineRule="exact"/>
              <w:jc w:val="center"/>
              <w:rPr>
                <w:color w:val="auto"/>
                <w:kern w:val="0"/>
              </w:rPr>
            </w:pPr>
            <w:r>
              <w:rPr>
                <w:color w:val="auto"/>
                <w:kern w:val="0"/>
              </w:rPr>
              <w:t>目标</w:t>
            </w:r>
          </w:p>
        </w:tc>
        <w:tc>
          <w:tcPr>
            <w:tcW w:w="8190" w:type="dxa"/>
            <w:vAlign w:val="center"/>
          </w:tcPr>
          <w:p w14:paraId="450EB25F">
            <w:pPr>
              <w:spacing w:line="420" w:lineRule="exact"/>
              <w:ind w:firstLine="420" w:firstLineChars="200"/>
              <w:rPr>
                <w:color w:val="auto"/>
              </w:rPr>
            </w:pPr>
            <w:r>
              <w:rPr>
                <w:color w:val="auto"/>
              </w:rPr>
              <w:t>本项目厂界外500米范围内无自然保护区、风景名胜区，存在</w:t>
            </w:r>
            <w:r>
              <w:rPr>
                <w:rFonts w:hint="eastAsia"/>
                <w:color w:val="auto"/>
                <w:lang w:val="en-US" w:eastAsia="zh-CN"/>
              </w:rPr>
              <w:t>2处</w:t>
            </w:r>
            <w:r>
              <w:rPr>
                <w:color w:val="auto"/>
              </w:rPr>
              <w:t>居民区，无地下水集中式饮用水水源和热水、矿泉水、温泉等特殊地下水资源。本项目环境保护目标情况一览表如下。</w:t>
            </w:r>
          </w:p>
          <w:p w14:paraId="63E3D83A">
            <w:pPr>
              <w:pStyle w:val="1313"/>
              <w:adjustRightInd w:val="0"/>
              <w:snapToGrid w:val="0"/>
              <w:spacing w:before="120" w:beforeLines="50" w:line="240" w:lineRule="auto"/>
              <w:rPr>
                <w:rFonts w:ascii="Times New Roman" w:hAnsi="Times New Roman" w:eastAsia="宋体"/>
                <w:b/>
                <w:bCs/>
                <w:color w:val="auto"/>
                <w:sz w:val="21"/>
              </w:rPr>
            </w:pPr>
            <w:r>
              <w:rPr>
                <w:rFonts w:ascii="Times New Roman" w:hAnsi="Times New Roman" w:eastAsia="宋体"/>
                <w:b/>
                <w:bCs/>
                <w:color w:val="auto"/>
                <w:sz w:val="21"/>
              </w:rPr>
              <w:t>表3-</w:t>
            </w:r>
            <w:r>
              <w:rPr>
                <w:rFonts w:hint="eastAsia" w:ascii="Times New Roman" w:hAnsi="Times New Roman" w:eastAsia="宋体"/>
                <w:b/>
                <w:bCs/>
                <w:color w:val="auto"/>
                <w:sz w:val="21"/>
                <w:lang w:val="en-US" w:eastAsia="zh-CN"/>
              </w:rPr>
              <w:t>2</w:t>
            </w:r>
            <w:r>
              <w:rPr>
                <w:rFonts w:ascii="Times New Roman" w:hAnsi="Times New Roman" w:eastAsia="宋体"/>
                <w:b/>
                <w:bCs/>
                <w:color w:val="auto"/>
                <w:sz w:val="21"/>
              </w:rPr>
              <w:t>主要环境保护目标一览表</w:t>
            </w:r>
          </w:p>
          <w:tbl>
            <w:tblPr>
              <w:tblStyle w:val="83"/>
              <w:tblW w:w="0" w:type="auto"/>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9"/>
              <w:gridCol w:w="1764"/>
              <w:gridCol w:w="1068"/>
              <w:gridCol w:w="1835"/>
              <w:gridCol w:w="915"/>
              <w:gridCol w:w="1213"/>
            </w:tblGrid>
            <w:tr w14:paraId="65FFC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9" w:type="dxa"/>
                  <w:vMerge w:val="restart"/>
                  <w:vAlign w:val="center"/>
                </w:tcPr>
                <w:p w14:paraId="788228F8">
                  <w:pPr>
                    <w:pStyle w:val="1267"/>
                    <w:adjustRightInd w:val="0"/>
                    <w:snapToGrid w:val="0"/>
                    <w:jc w:val="center"/>
                    <w:rPr>
                      <w:b/>
                      <w:bCs/>
                      <w:color w:val="auto"/>
                      <w:sz w:val="18"/>
                      <w:szCs w:val="18"/>
                    </w:rPr>
                  </w:pPr>
                  <w:r>
                    <w:rPr>
                      <w:b/>
                      <w:bCs/>
                      <w:color w:val="auto"/>
                      <w:sz w:val="18"/>
                      <w:szCs w:val="18"/>
                    </w:rPr>
                    <w:t>名称</w:t>
                  </w:r>
                </w:p>
              </w:tc>
              <w:tc>
                <w:tcPr>
                  <w:tcW w:w="1764" w:type="dxa"/>
                  <w:vMerge w:val="restart"/>
                  <w:vAlign w:val="center"/>
                </w:tcPr>
                <w:p w14:paraId="04C75FE0">
                  <w:pPr>
                    <w:pStyle w:val="1267"/>
                    <w:adjustRightInd w:val="0"/>
                    <w:snapToGrid w:val="0"/>
                    <w:jc w:val="center"/>
                    <w:rPr>
                      <w:b/>
                      <w:bCs/>
                      <w:color w:val="auto"/>
                      <w:sz w:val="18"/>
                      <w:szCs w:val="18"/>
                    </w:rPr>
                  </w:pPr>
                  <w:r>
                    <w:rPr>
                      <w:b/>
                      <w:bCs/>
                      <w:color w:val="auto"/>
                      <w:sz w:val="18"/>
                      <w:szCs w:val="18"/>
                    </w:rPr>
                    <w:t>保护对象</w:t>
                  </w:r>
                </w:p>
              </w:tc>
              <w:tc>
                <w:tcPr>
                  <w:tcW w:w="1068" w:type="dxa"/>
                  <w:vMerge w:val="restart"/>
                  <w:vAlign w:val="center"/>
                </w:tcPr>
                <w:p w14:paraId="38D22529">
                  <w:pPr>
                    <w:pStyle w:val="1267"/>
                    <w:adjustRightInd w:val="0"/>
                    <w:snapToGrid w:val="0"/>
                    <w:jc w:val="center"/>
                    <w:rPr>
                      <w:b/>
                      <w:bCs/>
                      <w:color w:val="auto"/>
                      <w:sz w:val="18"/>
                      <w:szCs w:val="18"/>
                    </w:rPr>
                  </w:pPr>
                  <w:r>
                    <w:rPr>
                      <w:b/>
                      <w:bCs/>
                      <w:color w:val="auto"/>
                      <w:sz w:val="18"/>
                      <w:szCs w:val="18"/>
                    </w:rPr>
                    <w:t>保护内容</w:t>
                  </w:r>
                </w:p>
              </w:tc>
              <w:tc>
                <w:tcPr>
                  <w:tcW w:w="1835" w:type="dxa"/>
                  <w:vMerge w:val="restart"/>
                  <w:vAlign w:val="center"/>
                </w:tcPr>
                <w:p w14:paraId="62095DAF">
                  <w:pPr>
                    <w:pStyle w:val="1267"/>
                    <w:adjustRightInd w:val="0"/>
                    <w:snapToGrid w:val="0"/>
                    <w:jc w:val="center"/>
                    <w:rPr>
                      <w:b/>
                      <w:bCs/>
                      <w:color w:val="auto"/>
                      <w:sz w:val="18"/>
                      <w:szCs w:val="18"/>
                    </w:rPr>
                  </w:pPr>
                  <w:r>
                    <w:rPr>
                      <w:b/>
                      <w:bCs/>
                      <w:color w:val="auto"/>
                      <w:sz w:val="18"/>
                      <w:szCs w:val="18"/>
                    </w:rPr>
                    <w:t>环境</w:t>
                  </w:r>
                </w:p>
                <w:p w14:paraId="2529E7C7">
                  <w:pPr>
                    <w:pStyle w:val="1267"/>
                    <w:adjustRightInd w:val="0"/>
                    <w:snapToGrid w:val="0"/>
                    <w:jc w:val="center"/>
                    <w:rPr>
                      <w:b/>
                      <w:bCs/>
                      <w:color w:val="auto"/>
                      <w:sz w:val="18"/>
                      <w:szCs w:val="18"/>
                    </w:rPr>
                  </w:pPr>
                  <w:r>
                    <w:rPr>
                      <w:b/>
                      <w:bCs/>
                      <w:color w:val="auto"/>
                      <w:sz w:val="18"/>
                      <w:szCs w:val="18"/>
                    </w:rPr>
                    <w:t>功能区</w:t>
                  </w:r>
                </w:p>
              </w:tc>
              <w:tc>
                <w:tcPr>
                  <w:tcW w:w="915" w:type="dxa"/>
                  <w:vMerge w:val="restart"/>
                  <w:vAlign w:val="center"/>
                </w:tcPr>
                <w:p w14:paraId="5FCED7BC">
                  <w:pPr>
                    <w:pStyle w:val="1267"/>
                    <w:adjustRightInd w:val="0"/>
                    <w:snapToGrid w:val="0"/>
                    <w:jc w:val="center"/>
                    <w:rPr>
                      <w:b/>
                      <w:bCs/>
                      <w:color w:val="auto"/>
                      <w:sz w:val="18"/>
                      <w:szCs w:val="18"/>
                    </w:rPr>
                  </w:pPr>
                  <w:r>
                    <w:rPr>
                      <w:b/>
                      <w:bCs/>
                      <w:color w:val="auto"/>
                      <w:sz w:val="18"/>
                      <w:szCs w:val="18"/>
                    </w:rPr>
                    <w:t>相对厂</w:t>
                  </w:r>
                </w:p>
                <w:p w14:paraId="63B567FD">
                  <w:pPr>
                    <w:pStyle w:val="1267"/>
                    <w:adjustRightInd w:val="0"/>
                    <w:snapToGrid w:val="0"/>
                    <w:jc w:val="center"/>
                    <w:rPr>
                      <w:b/>
                      <w:bCs/>
                      <w:color w:val="auto"/>
                      <w:sz w:val="18"/>
                      <w:szCs w:val="18"/>
                    </w:rPr>
                  </w:pPr>
                  <w:r>
                    <w:rPr>
                      <w:b/>
                      <w:bCs/>
                      <w:color w:val="auto"/>
                      <w:sz w:val="18"/>
                      <w:szCs w:val="18"/>
                    </w:rPr>
                    <w:t>址方位</w:t>
                  </w:r>
                </w:p>
              </w:tc>
              <w:tc>
                <w:tcPr>
                  <w:tcW w:w="1213" w:type="dxa"/>
                  <w:vMerge w:val="restart"/>
                  <w:vAlign w:val="center"/>
                </w:tcPr>
                <w:p w14:paraId="6CD116BE">
                  <w:pPr>
                    <w:pStyle w:val="1267"/>
                    <w:adjustRightInd w:val="0"/>
                    <w:snapToGrid w:val="0"/>
                    <w:jc w:val="center"/>
                    <w:rPr>
                      <w:b/>
                      <w:bCs/>
                      <w:color w:val="auto"/>
                      <w:sz w:val="18"/>
                      <w:szCs w:val="18"/>
                    </w:rPr>
                  </w:pPr>
                  <w:r>
                    <w:rPr>
                      <w:b/>
                      <w:bCs/>
                      <w:color w:val="auto"/>
                      <w:sz w:val="18"/>
                      <w:szCs w:val="18"/>
                    </w:rPr>
                    <w:t>相对厂</w:t>
                  </w:r>
                </w:p>
                <w:p w14:paraId="22DC3B75">
                  <w:pPr>
                    <w:pStyle w:val="1267"/>
                    <w:adjustRightInd w:val="0"/>
                    <w:snapToGrid w:val="0"/>
                    <w:jc w:val="center"/>
                    <w:rPr>
                      <w:b/>
                      <w:bCs/>
                      <w:color w:val="auto"/>
                      <w:sz w:val="18"/>
                      <w:szCs w:val="18"/>
                    </w:rPr>
                  </w:pPr>
                  <w:r>
                    <w:rPr>
                      <w:b/>
                      <w:bCs/>
                      <w:color w:val="auto"/>
                      <w:sz w:val="18"/>
                      <w:szCs w:val="18"/>
                    </w:rPr>
                    <w:t>界距离/m</w:t>
                  </w:r>
                </w:p>
              </w:tc>
            </w:tr>
            <w:tr w14:paraId="7635F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7" w:hRule="atLeast"/>
              </w:trPr>
              <w:tc>
                <w:tcPr>
                  <w:tcW w:w="1089" w:type="dxa"/>
                  <w:vMerge w:val="continue"/>
                  <w:vAlign w:val="center"/>
                </w:tcPr>
                <w:p w14:paraId="376E9B24">
                  <w:pPr>
                    <w:pStyle w:val="1267"/>
                    <w:adjustRightInd w:val="0"/>
                    <w:snapToGrid w:val="0"/>
                    <w:jc w:val="center"/>
                    <w:rPr>
                      <w:color w:val="auto"/>
                      <w:sz w:val="18"/>
                      <w:szCs w:val="18"/>
                    </w:rPr>
                  </w:pPr>
                </w:p>
              </w:tc>
              <w:tc>
                <w:tcPr>
                  <w:tcW w:w="1764" w:type="dxa"/>
                  <w:vMerge w:val="continue"/>
                  <w:vAlign w:val="center"/>
                </w:tcPr>
                <w:p w14:paraId="6E04A5B2">
                  <w:pPr>
                    <w:pStyle w:val="1267"/>
                    <w:adjustRightInd w:val="0"/>
                    <w:snapToGrid w:val="0"/>
                    <w:jc w:val="center"/>
                    <w:rPr>
                      <w:color w:val="auto"/>
                      <w:sz w:val="18"/>
                      <w:szCs w:val="18"/>
                    </w:rPr>
                  </w:pPr>
                </w:p>
              </w:tc>
              <w:tc>
                <w:tcPr>
                  <w:tcW w:w="1068" w:type="dxa"/>
                  <w:vMerge w:val="continue"/>
                  <w:vAlign w:val="center"/>
                </w:tcPr>
                <w:p w14:paraId="21D9AA74">
                  <w:pPr>
                    <w:pStyle w:val="1267"/>
                    <w:adjustRightInd w:val="0"/>
                    <w:snapToGrid w:val="0"/>
                    <w:jc w:val="center"/>
                    <w:rPr>
                      <w:color w:val="auto"/>
                      <w:sz w:val="18"/>
                      <w:szCs w:val="18"/>
                    </w:rPr>
                  </w:pPr>
                </w:p>
              </w:tc>
              <w:tc>
                <w:tcPr>
                  <w:tcW w:w="1835" w:type="dxa"/>
                  <w:vMerge w:val="continue"/>
                  <w:vAlign w:val="center"/>
                </w:tcPr>
                <w:p w14:paraId="6F2DD275">
                  <w:pPr>
                    <w:pStyle w:val="1267"/>
                    <w:adjustRightInd w:val="0"/>
                    <w:snapToGrid w:val="0"/>
                    <w:jc w:val="center"/>
                    <w:rPr>
                      <w:color w:val="auto"/>
                      <w:sz w:val="18"/>
                      <w:szCs w:val="18"/>
                    </w:rPr>
                  </w:pPr>
                </w:p>
              </w:tc>
              <w:tc>
                <w:tcPr>
                  <w:tcW w:w="915" w:type="dxa"/>
                  <w:vMerge w:val="continue"/>
                  <w:vAlign w:val="center"/>
                </w:tcPr>
                <w:p w14:paraId="4F643826">
                  <w:pPr>
                    <w:pStyle w:val="1267"/>
                    <w:adjustRightInd w:val="0"/>
                    <w:snapToGrid w:val="0"/>
                    <w:jc w:val="center"/>
                    <w:rPr>
                      <w:color w:val="auto"/>
                      <w:sz w:val="18"/>
                      <w:szCs w:val="18"/>
                    </w:rPr>
                  </w:pPr>
                </w:p>
              </w:tc>
              <w:tc>
                <w:tcPr>
                  <w:tcW w:w="1213" w:type="dxa"/>
                  <w:vMerge w:val="continue"/>
                  <w:vAlign w:val="center"/>
                </w:tcPr>
                <w:p w14:paraId="29872F92">
                  <w:pPr>
                    <w:pStyle w:val="1267"/>
                    <w:adjustRightInd w:val="0"/>
                    <w:snapToGrid w:val="0"/>
                    <w:jc w:val="center"/>
                    <w:rPr>
                      <w:color w:val="auto"/>
                      <w:sz w:val="18"/>
                      <w:szCs w:val="18"/>
                    </w:rPr>
                  </w:pPr>
                </w:p>
              </w:tc>
            </w:tr>
            <w:tr w14:paraId="0346B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089" w:type="dxa"/>
                  <w:vMerge w:val="restart"/>
                  <w:vAlign w:val="center"/>
                </w:tcPr>
                <w:p w14:paraId="7905A48C">
                  <w:pPr>
                    <w:pStyle w:val="1267"/>
                    <w:adjustRightInd w:val="0"/>
                    <w:snapToGrid w:val="0"/>
                    <w:jc w:val="center"/>
                    <w:rPr>
                      <w:color w:val="auto"/>
                      <w:sz w:val="18"/>
                      <w:szCs w:val="18"/>
                    </w:rPr>
                  </w:pPr>
                  <w:r>
                    <w:rPr>
                      <w:color w:val="auto"/>
                      <w:sz w:val="18"/>
                      <w:szCs w:val="18"/>
                    </w:rPr>
                    <w:t>环境空气</w:t>
                  </w:r>
                </w:p>
              </w:tc>
              <w:tc>
                <w:tcPr>
                  <w:tcW w:w="1764" w:type="dxa"/>
                  <w:vAlign w:val="center"/>
                </w:tcPr>
                <w:p w14:paraId="44EE46E5">
                  <w:pPr>
                    <w:pStyle w:val="1267"/>
                    <w:adjustRightInd w:val="0"/>
                    <w:snapToGrid w:val="0"/>
                    <w:jc w:val="center"/>
                    <w:rPr>
                      <w:color w:val="auto"/>
                      <w:sz w:val="18"/>
                      <w:szCs w:val="18"/>
                    </w:rPr>
                  </w:pPr>
                  <w:r>
                    <w:rPr>
                      <w:rFonts w:hint="eastAsia"/>
                      <w:color w:val="auto"/>
                      <w:sz w:val="18"/>
                      <w:szCs w:val="18"/>
                      <w:lang w:val="en-US" w:eastAsia="zh-CN"/>
                    </w:rPr>
                    <w:t>清泉村</w:t>
                  </w:r>
                </w:p>
              </w:tc>
              <w:tc>
                <w:tcPr>
                  <w:tcW w:w="1068" w:type="dxa"/>
                  <w:vAlign w:val="center"/>
                </w:tcPr>
                <w:p w14:paraId="35AC372D">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居民区</w:t>
                  </w:r>
                </w:p>
              </w:tc>
              <w:tc>
                <w:tcPr>
                  <w:tcW w:w="1835" w:type="dxa"/>
                  <w:vMerge w:val="restart"/>
                  <w:vAlign w:val="center"/>
                </w:tcPr>
                <w:p w14:paraId="638617DF">
                  <w:pPr>
                    <w:pStyle w:val="1267"/>
                    <w:adjustRightInd w:val="0"/>
                    <w:snapToGrid w:val="0"/>
                    <w:jc w:val="center"/>
                    <w:rPr>
                      <w:color w:val="auto"/>
                      <w:sz w:val="18"/>
                      <w:szCs w:val="18"/>
                    </w:rPr>
                  </w:pPr>
                  <w:r>
                    <w:rPr>
                      <w:rFonts w:hint="eastAsia"/>
                      <w:color w:val="auto"/>
                      <w:sz w:val="18"/>
                      <w:szCs w:val="18"/>
                    </w:rPr>
                    <w:t>《环境空气质量标准》（GB3095-2026）表1过渡阶段浓度限值中的二级标准</w:t>
                  </w:r>
                </w:p>
              </w:tc>
              <w:tc>
                <w:tcPr>
                  <w:tcW w:w="915" w:type="dxa"/>
                  <w:vAlign w:val="center"/>
                </w:tcPr>
                <w:p w14:paraId="2F939C49">
                  <w:pPr>
                    <w:pStyle w:val="1267"/>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E</w:t>
                  </w:r>
                </w:p>
              </w:tc>
              <w:tc>
                <w:tcPr>
                  <w:tcW w:w="1213" w:type="dxa"/>
                  <w:vAlign w:val="center"/>
                </w:tcPr>
                <w:p w14:paraId="6DE6D087">
                  <w:pPr>
                    <w:pStyle w:val="1267"/>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428</w:t>
                  </w:r>
                </w:p>
              </w:tc>
            </w:tr>
            <w:tr w14:paraId="087C9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7" w:hRule="atLeast"/>
              </w:trPr>
              <w:tc>
                <w:tcPr>
                  <w:tcW w:w="1089" w:type="dxa"/>
                  <w:vMerge w:val="continue"/>
                  <w:vAlign w:val="center"/>
                </w:tcPr>
                <w:p w14:paraId="1818FB29">
                  <w:pPr>
                    <w:pStyle w:val="1267"/>
                    <w:adjustRightInd w:val="0"/>
                    <w:snapToGrid w:val="0"/>
                    <w:jc w:val="center"/>
                    <w:rPr>
                      <w:color w:val="auto"/>
                    </w:rPr>
                  </w:pPr>
                </w:p>
              </w:tc>
              <w:tc>
                <w:tcPr>
                  <w:tcW w:w="1764" w:type="dxa"/>
                  <w:vAlign w:val="center"/>
                </w:tcPr>
                <w:p w14:paraId="629D5FD3">
                  <w:pPr>
                    <w:pStyle w:val="1267"/>
                    <w:adjustRightInd w:val="0"/>
                    <w:snapToGrid w:val="0"/>
                    <w:jc w:val="center"/>
                    <w:rPr>
                      <w:rFonts w:hint="eastAsia" w:eastAsia="宋体"/>
                      <w:color w:val="auto"/>
                      <w:lang w:val="en-US" w:eastAsia="zh-CN"/>
                    </w:rPr>
                  </w:pPr>
                  <w:r>
                    <w:rPr>
                      <w:rFonts w:hint="eastAsia" w:ascii="Times New Roman" w:hAnsi="Times New Roman" w:eastAsia="宋体" w:cs="Times New Roman"/>
                      <w:color w:val="auto"/>
                      <w:sz w:val="18"/>
                      <w:szCs w:val="18"/>
                      <w:lang w:val="en-US" w:eastAsia="zh-CN"/>
                    </w:rPr>
                    <w:t>李家村</w:t>
                  </w:r>
                </w:p>
              </w:tc>
              <w:tc>
                <w:tcPr>
                  <w:tcW w:w="1068" w:type="dxa"/>
                  <w:vAlign w:val="center"/>
                </w:tcPr>
                <w:p w14:paraId="6A905533">
                  <w:pPr>
                    <w:pStyle w:val="1267"/>
                    <w:adjustRightInd w:val="0"/>
                    <w:snapToGrid w:val="0"/>
                    <w:jc w:val="center"/>
                    <w:rPr>
                      <w:color w:val="auto"/>
                    </w:rPr>
                  </w:pPr>
                  <w:r>
                    <w:rPr>
                      <w:rFonts w:hint="eastAsia"/>
                      <w:color w:val="auto"/>
                      <w:sz w:val="18"/>
                      <w:szCs w:val="18"/>
                      <w:lang w:val="en-US" w:eastAsia="zh-CN"/>
                    </w:rPr>
                    <w:t>居民区</w:t>
                  </w:r>
                </w:p>
              </w:tc>
              <w:tc>
                <w:tcPr>
                  <w:tcW w:w="1835" w:type="dxa"/>
                  <w:vMerge w:val="continue"/>
                  <w:vAlign w:val="center"/>
                </w:tcPr>
                <w:p w14:paraId="532F053C">
                  <w:pPr>
                    <w:pStyle w:val="1267"/>
                    <w:adjustRightInd w:val="0"/>
                    <w:snapToGrid w:val="0"/>
                    <w:jc w:val="center"/>
                    <w:rPr>
                      <w:color w:val="auto"/>
                    </w:rPr>
                  </w:pPr>
                </w:p>
              </w:tc>
              <w:tc>
                <w:tcPr>
                  <w:tcW w:w="915" w:type="dxa"/>
                  <w:vAlign w:val="center"/>
                </w:tcPr>
                <w:p w14:paraId="1669D466">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S</w:t>
                  </w:r>
                </w:p>
              </w:tc>
              <w:tc>
                <w:tcPr>
                  <w:tcW w:w="1213" w:type="dxa"/>
                  <w:vAlign w:val="center"/>
                </w:tcPr>
                <w:p w14:paraId="35ADBB01">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280</w:t>
                  </w:r>
                </w:p>
              </w:tc>
            </w:tr>
            <w:tr w14:paraId="65AF6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1089" w:type="dxa"/>
                  <w:vAlign w:val="center"/>
                </w:tcPr>
                <w:p w14:paraId="3DDB9728">
                  <w:pPr>
                    <w:pStyle w:val="1267"/>
                    <w:adjustRightInd w:val="0"/>
                    <w:snapToGrid w:val="0"/>
                    <w:jc w:val="center"/>
                    <w:rPr>
                      <w:color w:val="auto"/>
                      <w:sz w:val="18"/>
                      <w:szCs w:val="18"/>
                    </w:rPr>
                  </w:pPr>
                  <w:r>
                    <w:rPr>
                      <w:color w:val="auto"/>
                      <w:sz w:val="18"/>
                      <w:szCs w:val="18"/>
                    </w:rPr>
                    <w:t>声环境</w:t>
                  </w:r>
                </w:p>
              </w:tc>
              <w:tc>
                <w:tcPr>
                  <w:tcW w:w="4667" w:type="dxa"/>
                  <w:gridSpan w:val="3"/>
                  <w:shd w:val="clear" w:color="auto" w:fill="auto"/>
                  <w:vAlign w:val="center"/>
                </w:tcPr>
                <w:p w14:paraId="7F7AD3B3">
                  <w:pPr>
                    <w:pStyle w:val="1267"/>
                    <w:adjustRightInd w:val="0"/>
                    <w:snapToGrid w:val="0"/>
                    <w:jc w:val="center"/>
                    <w:rPr>
                      <w:color w:val="auto"/>
                      <w:sz w:val="18"/>
                      <w:szCs w:val="18"/>
                    </w:rPr>
                  </w:pPr>
                  <w:r>
                    <w:rPr>
                      <w:color w:val="auto"/>
                      <w:sz w:val="18"/>
                      <w:szCs w:val="18"/>
                    </w:rPr>
                    <w:t>《声环境质量标准》(GB3096-2008)中的</w:t>
                  </w:r>
                  <w:r>
                    <w:rPr>
                      <w:rFonts w:hint="eastAsia"/>
                      <w:color w:val="auto"/>
                      <w:sz w:val="18"/>
                      <w:szCs w:val="18"/>
                      <w:lang w:val="en-US" w:eastAsia="zh-CN"/>
                    </w:rPr>
                    <w:t>3</w:t>
                  </w:r>
                  <w:r>
                    <w:rPr>
                      <w:color w:val="auto"/>
                      <w:sz w:val="18"/>
                      <w:szCs w:val="18"/>
                    </w:rPr>
                    <w:t>类标准</w:t>
                  </w:r>
                </w:p>
              </w:tc>
              <w:tc>
                <w:tcPr>
                  <w:tcW w:w="915" w:type="dxa"/>
                  <w:vAlign w:val="center"/>
                </w:tcPr>
                <w:p w14:paraId="24EA3A21">
                  <w:pPr>
                    <w:adjustRightInd w:val="0"/>
                    <w:snapToGrid w:val="0"/>
                    <w:jc w:val="center"/>
                    <w:rPr>
                      <w:rFonts w:hint="eastAsia" w:eastAsia="宋体"/>
                      <w:color w:val="auto"/>
                      <w:sz w:val="18"/>
                      <w:szCs w:val="18"/>
                      <w:lang w:val="en-US" w:eastAsia="zh-CN"/>
                    </w:rPr>
                  </w:pPr>
                  <w:r>
                    <w:rPr>
                      <w:rFonts w:hint="eastAsia"/>
                      <w:color w:val="auto"/>
                      <w:sz w:val="18"/>
                      <w:szCs w:val="18"/>
                    </w:rPr>
                    <w:t>/</w:t>
                  </w:r>
                </w:p>
              </w:tc>
              <w:tc>
                <w:tcPr>
                  <w:tcW w:w="1213" w:type="dxa"/>
                  <w:vAlign w:val="center"/>
                </w:tcPr>
                <w:p w14:paraId="79CCC0F2">
                  <w:pPr>
                    <w:adjustRightInd w:val="0"/>
                    <w:snapToGrid w:val="0"/>
                    <w:jc w:val="center"/>
                    <w:rPr>
                      <w:rFonts w:hint="eastAsia" w:eastAsia="宋体"/>
                      <w:color w:val="auto"/>
                      <w:sz w:val="18"/>
                      <w:szCs w:val="18"/>
                      <w:lang w:val="en-US" w:eastAsia="zh-CN"/>
                    </w:rPr>
                  </w:pPr>
                  <w:r>
                    <w:rPr>
                      <w:rFonts w:hint="eastAsia"/>
                      <w:color w:val="auto"/>
                      <w:sz w:val="18"/>
                      <w:szCs w:val="18"/>
                    </w:rPr>
                    <w:t>/</w:t>
                  </w:r>
                </w:p>
              </w:tc>
            </w:tr>
            <w:tr w14:paraId="5DBB2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089" w:type="dxa"/>
                  <w:vAlign w:val="center"/>
                </w:tcPr>
                <w:p w14:paraId="4463F713">
                  <w:pPr>
                    <w:pStyle w:val="1267"/>
                    <w:adjustRightInd w:val="0"/>
                    <w:snapToGrid w:val="0"/>
                    <w:jc w:val="center"/>
                    <w:rPr>
                      <w:color w:val="auto"/>
                      <w:sz w:val="18"/>
                      <w:szCs w:val="18"/>
                    </w:rPr>
                  </w:pPr>
                  <w:r>
                    <w:rPr>
                      <w:color w:val="auto"/>
                      <w:sz w:val="18"/>
                      <w:szCs w:val="18"/>
                    </w:rPr>
                    <w:t>地表水</w:t>
                  </w:r>
                </w:p>
              </w:tc>
              <w:tc>
                <w:tcPr>
                  <w:tcW w:w="1764" w:type="dxa"/>
                  <w:vAlign w:val="center"/>
                </w:tcPr>
                <w:p w14:paraId="2246CB1E">
                  <w:pPr>
                    <w:pStyle w:val="1267"/>
                    <w:adjustRightInd w:val="0"/>
                    <w:snapToGrid w:val="0"/>
                    <w:jc w:val="center"/>
                    <w:rPr>
                      <w:color w:val="auto"/>
                      <w:sz w:val="18"/>
                      <w:szCs w:val="18"/>
                    </w:rPr>
                  </w:pPr>
                  <w:r>
                    <w:rPr>
                      <w:rFonts w:hint="eastAsia"/>
                      <w:color w:val="auto"/>
                      <w:sz w:val="18"/>
                      <w:szCs w:val="18"/>
                      <w:lang w:val="en-US" w:eastAsia="zh-CN"/>
                    </w:rPr>
                    <w:t>孝妇河</w:t>
                  </w:r>
                </w:p>
              </w:tc>
              <w:tc>
                <w:tcPr>
                  <w:tcW w:w="2903" w:type="dxa"/>
                  <w:gridSpan w:val="2"/>
                  <w:vAlign w:val="center"/>
                </w:tcPr>
                <w:p w14:paraId="31C5CB9E">
                  <w:pPr>
                    <w:pStyle w:val="1267"/>
                    <w:adjustRightInd w:val="0"/>
                    <w:snapToGrid w:val="0"/>
                    <w:jc w:val="center"/>
                    <w:rPr>
                      <w:color w:val="auto"/>
                      <w:sz w:val="18"/>
                      <w:szCs w:val="18"/>
                      <w:highlight w:val="none"/>
                    </w:rPr>
                  </w:pPr>
                  <w:r>
                    <w:rPr>
                      <w:color w:val="auto"/>
                      <w:sz w:val="18"/>
                      <w:szCs w:val="18"/>
                      <w:highlight w:val="none"/>
                    </w:rPr>
                    <w:t>《地表水环境质量标准》（GB3838-2002）</w:t>
                  </w:r>
                  <w:r>
                    <w:rPr>
                      <w:rFonts w:hint="eastAsia" w:cs="Times New Roman"/>
                      <w:color w:val="auto"/>
                      <w:sz w:val="18"/>
                      <w:szCs w:val="18"/>
                      <w:highlight w:val="none"/>
                      <w:lang w:val="en-US" w:eastAsia="zh-CN"/>
                    </w:rPr>
                    <w:t>IV</w:t>
                  </w:r>
                  <w:r>
                    <w:rPr>
                      <w:color w:val="auto"/>
                      <w:sz w:val="18"/>
                      <w:szCs w:val="18"/>
                      <w:highlight w:val="none"/>
                    </w:rPr>
                    <w:t>类标准</w:t>
                  </w:r>
                </w:p>
              </w:tc>
              <w:tc>
                <w:tcPr>
                  <w:tcW w:w="915" w:type="dxa"/>
                  <w:vAlign w:val="center"/>
                </w:tcPr>
                <w:p w14:paraId="5A87EACD">
                  <w:pPr>
                    <w:pStyle w:val="1267"/>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E</w:t>
                  </w:r>
                </w:p>
              </w:tc>
              <w:tc>
                <w:tcPr>
                  <w:tcW w:w="1213" w:type="dxa"/>
                  <w:vAlign w:val="center"/>
                </w:tcPr>
                <w:p w14:paraId="36F93E13">
                  <w:pPr>
                    <w:pStyle w:val="1267"/>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700</w:t>
                  </w:r>
                </w:p>
              </w:tc>
            </w:tr>
            <w:tr w14:paraId="0BC8A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9" w:type="dxa"/>
                  <w:vAlign w:val="center"/>
                </w:tcPr>
                <w:p w14:paraId="28A3D333">
                  <w:pPr>
                    <w:pStyle w:val="1267"/>
                    <w:adjustRightInd w:val="0"/>
                    <w:snapToGrid w:val="0"/>
                    <w:jc w:val="center"/>
                    <w:rPr>
                      <w:color w:val="auto"/>
                      <w:sz w:val="18"/>
                      <w:szCs w:val="18"/>
                    </w:rPr>
                  </w:pPr>
                  <w:r>
                    <w:rPr>
                      <w:color w:val="auto"/>
                      <w:sz w:val="18"/>
                      <w:szCs w:val="18"/>
                    </w:rPr>
                    <w:t>地下水</w:t>
                  </w:r>
                </w:p>
              </w:tc>
              <w:tc>
                <w:tcPr>
                  <w:tcW w:w="6795" w:type="dxa"/>
                  <w:gridSpan w:val="5"/>
                  <w:vAlign w:val="center"/>
                </w:tcPr>
                <w:p w14:paraId="01E171AF">
                  <w:pPr>
                    <w:pStyle w:val="1267"/>
                    <w:adjustRightInd w:val="0"/>
                    <w:snapToGrid w:val="0"/>
                    <w:jc w:val="center"/>
                    <w:rPr>
                      <w:color w:val="auto"/>
                      <w:sz w:val="18"/>
                      <w:szCs w:val="18"/>
                    </w:rPr>
                  </w:pPr>
                  <w:r>
                    <w:rPr>
                      <w:color w:val="auto"/>
                      <w:sz w:val="18"/>
                      <w:szCs w:val="18"/>
                    </w:rPr>
                    <w:t>厂界周边500m范围内无地下水集中式饮用水水源和热水、矿泉水、温泉等特殊地下水资源</w:t>
                  </w:r>
                </w:p>
              </w:tc>
            </w:tr>
            <w:tr w14:paraId="3B350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089" w:type="dxa"/>
                  <w:vAlign w:val="center"/>
                </w:tcPr>
                <w:p w14:paraId="438143E6">
                  <w:pPr>
                    <w:pStyle w:val="1267"/>
                    <w:adjustRightInd w:val="0"/>
                    <w:snapToGrid w:val="0"/>
                    <w:jc w:val="center"/>
                    <w:rPr>
                      <w:color w:val="auto"/>
                      <w:sz w:val="18"/>
                      <w:szCs w:val="18"/>
                    </w:rPr>
                  </w:pPr>
                  <w:r>
                    <w:rPr>
                      <w:color w:val="auto"/>
                      <w:sz w:val="18"/>
                      <w:szCs w:val="18"/>
                    </w:rPr>
                    <w:t>生态</w:t>
                  </w:r>
                </w:p>
              </w:tc>
              <w:tc>
                <w:tcPr>
                  <w:tcW w:w="6795" w:type="dxa"/>
                  <w:gridSpan w:val="5"/>
                  <w:vAlign w:val="center"/>
                </w:tcPr>
                <w:p w14:paraId="077B0BD7">
                  <w:pPr>
                    <w:pStyle w:val="1267"/>
                    <w:adjustRightInd w:val="0"/>
                    <w:snapToGrid w:val="0"/>
                    <w:jc w:val="center"/>
                    <w:rPr>
                      <w:color w:val="auto"/>
                      <w:sz w:val="18"/>
                      <w:szCs w:val="18"/>
                    </w:rPr>
                  </w:pPr>
                  <w:r>
                    <w:rPr>
                      <w:color w:val="auto"/>
                      <w:sz w:val="18"/>
                      <w:szCs w:val="18"/>
                    </w:rPr>
                    <w:t>项目用地范围内无生态环境保护目标</w:t>
                  </w:r>
                </w:p>
              </w:tc>
            </w:tr>
          </w:tbl>
          <w:p w14:paraId="6DF92286">
            <w:pPr>
              <w:pStyle w:val="2"/>
              <w:rPr>
                <w:rFonts w:hint="eastAsia"/>
                <w:color w:val="auto"/>
                <w:lang w:eastAsia="zh-CN"/>
              </w:rPr>
            </w:pPr>
          </w:p>
          <w:p w14:paraId="55735783">
            <w:pPr>
              <w:pStyle w:val="2"/>
              <w:rPr>
                <w:rFonts w:hint="eastAsia" w:eastAsia="宋体"/>
                <w:color w:val="auto"/>
                <w:lang w:eastAsia="zh-CN"/>
              </w:rPr>
            </w:pPr>
          </w:p>
        </w:tc>
      </w:tr>
      <w:tr w14:paraId="678D09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24" w:hRule="atLeast"/>
          <w:jc w:val="center"/>
        </w:trPr>
        <w:tc>
          <w:tcPr>
            <w:tcW w:w="800" w:type="dxa"/>
            <w:tcMar>
              <w:left w:w="28" w:type="dxa"/>
              <w:right w:w="28" w:type="dxa"/>
            </w:tcMar>
            <w:vAlign w:val="center"/>
          </w:tcPr>
          <w:p w14:paraId="0DEECD8E">
            <w:pPr>
              <w:adjustRightInd w:val="0"/>
              <w:snapToGrid w:val="0"/>
              <w:spacing w:line="420" w:lineRule="exact"/>
              <w:jc w:val="center"/>
              <w:rPr>
                <w:color w:val="auto"/>
                <w:kern w:val="0"/>
              </w:rPr>
            </w:pPr>
            <w:r>
              <w:rPr>
                <w:color w:val="auto"/>
                <w:kern w:val="0"/>
              </w:rPr>
              <w:t>污染</w:t>
            </w:r>
          </w:p>
          <w:p w14:paraId="0CB62F8D">
            <w:pPr>
              <w:adjustRightInd w:val="0"/>
              <w:snapToGrid w:val="0"/>
              <w:spacing w:line="420" w:lineRule="exact"/>
              <w:jc w:val="center"/>
              <w:rPr>
                <w:color w:val="auto"/>
                <w:kern w:val="0"/>
              </w:rPr>
            </w:pPr>
            <w:r>
              <w:rPr>
                <w:color w:val="auto"/>
                <w:kern w:val="0"/>
              </w:rPr>
              <w:t>物排</w:t>
            </w:r>
          </w:p>
          <w:p w14:paraId="2D5CFD4E">
            <w:pPr>
              <w:adjustRightInd w:val="0"/>
              <w:snapToGrid w:val="0"/>
              <w:spacing w:line="420" w:lineRule="exact"/>
              <w:jc w:val="center"/>
              <w:rPr>
                <w:color w:val="auto"/>
                <w:kern w:val="0"/>
              </w:rPr>
            </w:pPr>
            <w:r>
              <w:rPr>
                <w:color w:val="auto"/>
                <w:kern w:val="0"/>
              </w:rPr>
              <w:t>放控</w:t>
            </w:r>
          </w:p>
          <w:p w14:paraId="4146166E">
            <w:pPr>
              <w:adjustRightInd w:val="0"/>
              <w:snapToGrid w:val="0"/>
              <w:spacing w:line="420" w:lineRule="exact"/>
              <w:jc w:val="center"/>
              <w:rPr>
                <w:color w:val="auto"/>
                <w:kern w:val="0"/>
              </w:rPr>
            </w:pPr>
            <w:r>
              <w:rPr>
                <w:color w:val="auto"/>
                <w:kern w:val="0"/>
              </w:rPr>
              <w:t>制标</w:t>
            </w:r>
          </w:p>
          <w:p w14:paraId="4AB6E97C">
            <w:pPr>
              <w:adjustRightInd w:val="0"/>
              <w:snapToGrid w:val="0"/>
              <w:spacing w:line="420" w:lineRule="exact"/>
              <w:jc w:val="center"/>
              <w:rPr>
                <w:color w:val="auto"/>
                <w:kern w:val="0"/>
              </w:rPr>
            </w:pPr>
            <w:r>
              <w:rPr>
                <w:color w:val="auto"/>
                <w:kern w:val="0"/>
              </w:rPr>
              <w:t>准</w:t>
            </w:r>
          </w:p>
        </w:tc>
        <w:tc>
          <w:tcPr>
            <w:tcW w:w="8190" w:type="dxa"/>
            <w:vAlign w:val="center"/>
          </w:tcPr>
          <w:p w14:paraId="045750FA">
            <w:pPr>
              <w:pStyle w:val="1042"/>
              <w:spacing w:line="420" w:lineRule="exact"/>
              <w:ind w:left="-96" w:firstLine="422"/>
              <w:rPr>
                <w:b/>
                <w:color w:val="auto"/>
                <w:szCs w:val="21"/>
              </w:rPr>
            </w:pPr>
            <w:r>
              <w:rPr>
                <w:b/>
                <w:color w:val="auto"/>
                <w:szCs w:val="21"/>
              </w:rPr>
              <w:t>1、噪声</w:t>
            </w:r>
          </w:p>
          <w:p w14:paraId="366080C9">
            <w:pPr>
              <w:spacing w:line="420" w:lineRule="exact"/>
              <w:ind w:firstLine="420" w:firstLineChars="200"/>
              <w:rPr>
                <w:color w:val="auto"/>
              </w:rPr>
            </w:pPr>
            <w:r>
              <w:rPr>
                <w:color w:val="auto"/>
              </w:rPr>
              <w:t>营运期噪声执行《工业企业厂界环境噪声排放标准》（GB12348-2008）</w:t>
            </w:r>
            <w:r>
              <w:rPr>
                <w:rFonts w:hint="eastAsia"/>
                <w:color w:val="auto"/>
                <w:lang w:val="en-US" w:eastAsia="zh-CN"/>
              </w:rPr>
              <w:t>3</w:t>
            </w:r>
            <w:r>
              <w:rPr>
                <w:color w:val="auto"/>
              </w:rPr>
              <w:t>类标准，具体标准值见表3-</w:t>
            </w:r>
            <w:r>
              <w:rPr>
                <w:rFonts w:hint="eastAsia"/>
                <w:color w:val="auto"/>
                <w:lang w:val="en-US" w:eastAsia="zh-CN"/>
              </w:rPr>
              <w:t>3</w:t>
            </w:r>
            <w:r>
              <w:rPr>
                <w:color w:val="auto"/>
              </w:rPr>
              <w:t>。</w:t>
            </w:r>
          </w:p>
          <w:p w14:paraId="6D256A70">
            <w:pPr>
              <w:spacing w:line="420" w:lineRule="exact"/>
              <w:jc w:val="center"/>
              <w:rPr>
                <w:b/>
                <w:color w:val="auto"/>
              </w:rPr>
            </w:pPr>
            <w:r>
              <w:rPr>
                <w:b/>
                <w:color w:val="auto"/>
              </w:rPr>
              <w:t>表3-</w:t>
            </w:r>
            <w:r>
              <w:rPr>
                <w:rFonts w:hint="eastAsia"/>
                <w:b/>
                <w:color w:val="auto"/>
                <w:lang w:val="en-US" w:eastAsia="zh-CN"/>
              </w:rPr>
              <w:t>3</w:t>
            </w:r>
            <w:r>
              <w:rPr>
                <w:b/>
                <w:color w:val="auto"/>
              </w:rPr>
              <w:t>工业企业厂界环境噪声排放标准       单位：</w:t>
            </w:r>
            <w:r>
              <w:rPr>
                <w:b/>
                <w:bCs/>
                <w:color w:val="auto"/>
              </w:rPr>
              <w:t>dB（A）</w:t>
            </w:r>
          </w:p>
          <w:tbl>
            <w:tblPr>
              <w:tblStyle w:val="83"/>
              <w:tblW w:w="0" w:type="auto"/>
              <w:jc w:val="center"/>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1289"/>
              <w:gridCol w:w="1218"/>
              <w:gridCol w:w="1293"/>
              <w:gridCol w:w="4084"/>
            </w:tblGrid>
            <w:tr w14:paraId="24799AA7">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9" w:hRule="atLeast"/>
                <w:jc w:val="center"/>
              </w:trPr>
              <w:tc>
                <w:tcPr>
                  <w:tcW w:w="1289" w:type="dxa"/>
                  <w:vAlign w:val="center"/>
                </w:tcPr>
                <w:p w14:paraId="38332194">
                  <w:pPr>
                    <w:spacing w:line="420" w:lineRule="exact"/>
                    <w:jc w:val="center"/>
                    <w:rPr>
                      <w:b/>
                      <w:bCs/>
                      <w:color w:val="auto"/>
                      <w:sz w:val="18"/>
                      <w:szCs w:val="18"/>
                    </w:rPr>
                  </w:pPr>
                  <w:r>
                    <w:rPr>
                      <w:b/>
                      <w:bCs/>
                      <w:color w:val="auto"/>
                      <w:sz w:val="18"/>
                      <w:szCs w:val="18"/>
                    </w:rPr>
                    <w:t>类别</w:t>
                  </w:r>
                </w:p>
              </w:tc>
              <w:tc>
                <w:tcPr>
                  <w:tcW w:w="1218" w:type="dxa"/>
                  <w:vAlign w:val="center"/>
                </w:tcPr>
                <w:p w14:paraId="4E1F2AE6">
                  <w:pPr>
                    <w:spacing w:line="420" w:lineRule="exact"/>
                    <w:jc w:val="center"/>
                    <w:rPr>
                      <w:b/>
                      <w:bCs/>
                      <w:color w:val="auto"/>
                      <w:sz w:val="18"/>
                      <w:szCs w:val="18"/>
                    </w:rPr>
                  </w:pPr>
                  <w:r>
                    <w:rPr>
                      <w:b/>
                      <w:bCs/>
                      <w:color w:val="auto"/>
                      <w:sz w:val="18"/>
                      <w:szCs w:val="18"/>
                    </w:rPr>
                    <w:t>昼间</w:t>
                  </w:r>
                </w:p>
              </w:tc>
              <w:tc>
                <w:tcPr>
                  <w:tcW w:w="1293" w:type="dxa"/>
                  <w:vAlign w:val="center"/>
                </w:tcPr>
                <w:p w14:paraId="17220B4B">
                  <w:pPr>
                    <w:spacing w:line="420" w:lineRule="exact"/>
                    <w:jc w:val="center"/>
                    <w:rPr>
                      <w:b/>
                      <w:bCs/>
                      <w:color w:val="auto"/>
                      <w:sz w:val="18"/>
                      <w:szCs w:val="18"/>
                    </w:rPr>
                  </w:pPr>
                  <w:r>
                    <w:rPr>
                      <w:b/>
                      <w:bCs/>
                      <w:color w:val="auto"/>
                      <w:sz w:val="18"/>
                      <w:szCs w:val="18"/>
                    </w:rPr>
                    <w:t>夜间</w:t>
                  </w:r>
                </w:p>
              </w:tc>
              <w:tc>
                <w:tcPr>
                  <w:tcW w:w="4084" w:type="dxa"/>
                  <w:vAlign w:val="center"/>
                </w:tcPr>
                <w:p w14:paraId="35E0B5E9">
                  <w:pPr>
                    <w:spacing w:line="420" w:lineRule="exact"/>
                    <w:jc w:val="center"/>
                    <w:rPr>
                      <w:b/>
                      <w:bCs/>
                      <w:color w:val="auto"/>
                      <w:sz w:val="18"/>
                      <w:szCs w:val="18"/>
                    </w:rPr>
                  </w:pPr>
                  <w:r>
                    <w:rPr>
                      <w:b/>
                      <w:bCs/>
                      <w:color w:val="auto"/>
                      <w:sz w:val="18"/>
                      <w:szCs w:val="18"/>
                    </w:rPr>
                    <w:t>标准来源</w:t>
                  </w:r>
                </w:p>
              </w:tc>
            </w:tr>
            <w:tr w14:paraId="0B84E4B1">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PrEx>
              <w:trPr>
                <w:trHeight w:val="397" w:hRule="atLeast"/>
                <w:jc w:val="center"/>
              </w:trPr>
              <w:tc>
                <w:tcPr>
                  <w:tcW w:w="1289" w:type="dxa"/>
                  <w:vAlign w:val="center"/>
                </w:tcPr>
                <w:p w14:paraId="57714844">
                  <w:pPr>
                    <w:spacing w:line="420" w:lineRule="exact"/>
                    <w:jc w:val="center"/>
                    <w:rPr>
                      <w:rFonts w:hint="eastAsia" w:eastAsia="宋体"/>
                      <w:bCs/>
                      <w:color w:val="auto"/>
                      <w:sz w:val="18"/>
                      <w:szCs w:val="18"/>
                      <w:lang w:eastAsia="zh-CN"/>
                    </w:rPr>
                  </w:pPr>
                  <w:r>
                    <w:rPr>
                      <w:rFonts w:hint="eastAsia"/>
                      <w:bCs/>
                      <w:color w:val="auto"/>
                      <w:sz w:val="18"/>
                      <w:szCs w:val="18"/>
                      <w:lang w:val="en-US" w:eastAsia="zh-CN"/>
                    </w:rPr>
                    <w:t>3</w:t>
                  </w:r>
                </w:p>
              </w:tc>
              <w:tc>
                <w:tcPr>
                  <w:tcW w:w="1218" w:type="dxa"/>
                  <w:vAlign w:val="center"/>
                </w:tcPr>
                <w:p w14:paraId="3D744B52">
                  <w:pPr>
                    <w:spacing w:line="420" w:lineRule="exact"/>
                    <w:jc w:val="center"/>
                    <w:rPr>
                      <w:rFonts w:hint="eastAsia" w:eastAsia="宋体"/>
                      <w:bCs/>
                      <w:color w:val="auto"/>
                      <w:sz w:val="18"/>
                      <w:szCs w:val="18"/>
                      <w:lang w:eastAsia="zh-CN"/>
                    </w:rPr>
                  </w:pPr>
                  <w:r>
                    <w:rPr>
                      <w:bCs/>
                      <w:color w:val="auto"/>
                      <w:sz w:val="18"/>
                      <w:szCs w:val="18"/>
                    </w:rPr>
                    <w:t>6</w:t>
                  </w:r>
                  <w:r>
                    <w:rPr>
                      <w:rFonts w:hint="eastAsia"/>
                      <w:bCs/>
                      <w:color w:val="auto"/>
                      <w:sz w:val="18"/>
                      <w:szCs w:val="18"/>
                      <w:lang w:val="en-US" w:eastAsia="zh-CN"/>
                    </w:rPr>
                    <w:t>5</w:t>
                  </w:r>
                </w:p>
              </w:tc>
              <w:tc>
                <w:tcPr>
                  <w:tcW w:w="1293" w:type="dxa"/>
                  <w:vAlign w:val="center"/>
                </w:tcPr>
                <w:p w14:paraId="40887ED4">
                  <w:pPr>
                    <w:spacing w:line="420" w:lineRule="exact"/>
                    <w:jc w:val="center"/>
                    <w:rPr>
                      <w:rFonts w:hint="eastAsia" w:eastAsia="宋体"/>
                      <w:bCs/>
                      <w:color w:val="auto"/>
                      <w:sz w:val="18"/>
                      <w:szCs w:val="18"/>
                      <w:lang w:eastAsia="zh-CN"/>
                    </w:rPr>
                  </w:pPr>
                  <w:r>
                    <w:rPr>
                      <w:bCs/>
                      <w:color w:val="auto"/>
                      <w:sz w:val="18"/>
                      <w:szCs w:val="18"/>
                    </w:rPr>
                    <w:t>5</w:t>
                  </w:r>
                  <w:r>
                    <w:rPr>
                      <w:rFonts w:hint="eastAsia"/>
                      <w:bCs/>
                      <w:color w:val="auto"/>
                      <w:sz w:val="18"/>
                      <w:szCs w:val="18"/>
                      <w:lang w:val="en-US" w:eastAsia="zh-CN"/>
                    </w:rPr>
                    <w:t>5</w:t>
                  </w:r>
                </w:p>
              </w:tc>
              <w:tc>
                <w:tcPr>
                  <w:tcW w:w="4084" w:type="dxa"/>
                  <w:vAlign w:val="center"/>
                </w:tcPr>
                <w:p w14:paraId="1ACD9E6E">
                  <w:pPr>
                    <w:spacing w:line="420" w:lineRule="exact"/>
                    <w:jc w:val="center"/>
                    <w:rPr>
                      <w:bCs/>
                      <w:color w:val="auto"/>
                      <w:sz w:val="18"/>
                      <w:szCs w:val="18"/>
                    </w:rPr>
                  </w:pPr>
                  <w:r>
                    <w:rPr>
                      <w:color w:val="auto"/>
                      <w:sz w:val="18"/>
                      <w:szCs w:val="18"/>
                    </w:rPr>
                    <w:t>（GB12348-2008）</w:t>
                  </w:r>
                  <w:r>
                    <w:rPr>
                      <w:rFonts w:hint="eastAsia"/>
                      <w:bCs/>
                      <w:color w:val="auto"/>
                      <w:sz w:val="18"/>
                      <w:szCs w:val="18"/>
                      <w:lang w:val="en-US" w:eastAsia="zh-CN"/>
                    </w:rPr>
                    <w:t>3</w:t>
                  </w:r>
                  <w:r>
                    <w:rPr>
                      <w:color w:val="auto"/>
                      <w:sz w:val="18"/>
                      <w:szCs w:val="18"/>
                    </w:rPr>
                    <w:t>类标准</w:t>
                  </w:r>
                </w:p>
              </w:tc>
            </w:tr>
          </w:tbl>
          <w:p w14:paraId="596473CB">
            <w:pPr>
              <w:autoSpaceDE w:val="0"/>
              <w:autoSpaceDN w:val="0"/>
              <w:adjustRightInd w:val="0"/>
              <w:spacing w:line="360" w:lineRule="auto"/>
              <w:ind w:firstLine="422" w:firstLineChars="200"/>
              <w:rPr>
                <w:b/>
                <w:color w:val="auto"/>
              </w:rPr>
            </w:pPr>
            <w:r>
              <w:rPr>
                <w:b/>
                <w:color w:val="auto"/>
              </w:rPr>
              <w:t>2、废气</w:t>
            </w:r>
          </w:p>
          <w:p w14:paraId="3293540A">
            <w:pPr>
              <w:spacing w:line="360" w:lineRule="auto"/>
              <w:ind w:firstLine="420" w:firstLineChars="200"/>
              <w:rPr>
                <w:rFonts w:hint="eastAsia" w:eastAsia="宋体"/>
                <w:color w:val="auto"/>
                <w:highlight w:val="none"/>
                <w:lang w:eastAsia="zh-CN"/>
              </w:rPr>
            </w:pPr>
            <w:r>
              <w:rPr>
                <w:rFonts w:hint="default" w:ascii="Times New Roman" w:hAnsi="Times New Roman" w:cs="Times New Roman"/>
                <w:color w:val="auto"/>
                <w:sz w:val="21"/>
                <w:szCs w:val="21"/>
              </w:rPr>
              <w:t>营运期</w:t>
            </w:r>
            <w:r>
              <w:rPr>
                <w:rFonts w:hint="default" w:ascii="Times New Roman" w:hAnsi="Times New Roman" w:cs="Times New Roman" w:eastAsiaTheme="minorEastAsia"/>
                <w:color w:val="auto"/>
                <w:sz w:val="21"/>
                <w:szCs w:val="21"/>
                <w:lang w:eastAsia="zh-CN"/>
              </w:rPr>
              <w:t>有组织颗粒物</w:t>
            </w:r>
            <w:r>
              <w:rPr>
                <w:rFonts w:hint="eastAsia" w:cs="Times New Roman" w:eastAsiaTheme="minorEastAsia"/>
                <w:color w:val="auto"/>
                <w:sz w:val="21"/>
                <w:szCs w:val="21"/>
                <w:lang w:eastAsia="zh-CN"/>
              </w:rPr>
              <w:t>、</w:t>
            </w:r>
            <w:r>
              <w:rPr>
                <w:rFonts w:hint="eastAsia" w:cs="Times New Roman" w:eastAsiaTheme="minorEastAsia"/>
                <w:color w:val="auto"/>
                <w:sz w:val="21"/>
                <w:szCs w:val="21"/>
                <w:lang w:val="en-US" w:eastAsia="zh-CN"/>
              </w:rPr>
              <w:t>SO</w:t>
            </w:r>
            <w:r>
              <w:rPr>
                <w:rFonts w:hint="eastAsia" w:cs="Times New Roman" w:eastAsiaTheme="minorEastAsia"/>
                <w:color w:val="auto"/>
                <w:sz w:val="21"/>
                <w:szCs w:val="21"/>
                <w:vertAlign w:val="subscript"/>
                <w:lang w:val="en-US" w:eastAsia="zh-CN"/>
              </w:rPr>
              <w:t>2</w:t>
            </w:r>
            <w:r>
              <w:rPr>
                <w:rFonts w:hint="eastAsia" w:cs="Times New Roman" w:eastAsiaTheme="minorEastAsia"/>
                <w:color w:val="auto"/>
                <w:sz w:val="21"/>
                <w:szCs w:val="21"/>
                <w:lang w:val="en-US" w:eastAsia="zh-CN"/>
              </w:rPr>
              <w:t>、NOx</w:t>
            </w:r>
            <w:r>
              <w:rPr>
                <w:rFonts w:hint="default" w:ascii="Times New Roman" w:hAnsi="Times New Roman" w:cs="Times New Roman" w:eastAsiaTheme="minorEastAsia"/>
                <w:color w:val="auto"/>
                <w:sz w:val="21"/>
                <w:szCs w:val="21"/>
                <w:lang w:eastAsia="zh-CN"/>
              </w:rPr>
              <w:t>执行</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aps w:val="0"/>
                <w:color w:val="auto"/>
                <w:spacing w:val="0"/>
                <w:sz w:val="21"/>
                <w:szCs w:val="21"/>
                <w:highlight w:val="none"/>
                <w:lang w:val="en-US" w:eastAsia="zh-CN"/>
              </w:rPr>
              <w:t>区域性大气污染物综合排放标准》（DB37/2376-2019）表1大气污染物排放浓度限值中重点控制区限值要求</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lang w:val="en-US" w:eastAsia="zh-CN"/>
              </w:rPr>
              <w:t>颗粒物</w:t>
            </w:r>
            <w:r>
              <w:rPr>
                <w:rFonts w:hint="default" w:ascii="Times New Roman" w:hAnsi="Times New Roman" w:eastAsia="宋体" w:cs="Times New Roman"/>
                <w:color w:val="auto"/>
                <w:spacing w:val="0"/>
                <w:sz w:val="21"/>
                <w:szCs w:val="21"/>
                <w:highlight w:val="none"/>
              </w:rPr>
              <w:t>10mg/m</w:t>
            </w:r>
            <w:r>
              <w:rPr>
                <w:rFonts w:hint="default" w:ascii="Times New Roman" w:hAnsi="Times New Roman" w:eastAsia="宋体" w:cs="Times New Roman"/>
                <w:color w:val="auto"/>
                <w:spacing w:val="0"/>
                <w:sz w:val="21"/>
                <w:szCs w:val="21"/>
                <w:highlight w:val="none"/>
                <w:vertAlign w:val="superscript"/>
              </w:rPr>
              <w:t>3</w:t>
            </w:r>
            <w:r>
              <w:rPr>
                <w:rFonts w:hint="default" w:ascii="Times New Roman" w:hAnsi="Times New Roman" w:eastAsia="宋体" w:cs="Times New Roman"/>
                <w:color w:val="auto"/>
                <w:spacing w:val="0"/>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vertAlign w:val="baseline"/>
                <w:lang w:val="en-US" w:eastAsia="zh-CN"/>
              </w:rPr>
              <w:t>二氧化硫50mg/m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vertAlign w:val="baseline"/>
                <w:lang w:val="en-US" w:eastAsia="zh-CN"/>
              </w:rPr>
              <w:t>、氮氧化物100mg/m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aps w:val="0"/>
                <w:color w:val="auto"/>
                <w:spacing w:val="0"/>
                <w:sz w:val="21"/>
                <w:szCs w:val="21"/>
                <w:highlight w:val="none"/>
                <w:lang w:val="en-US" w:eastAsia="zh-CN"/>
              </w:rPr>
              <w:t>；</w:t>
            </w:r>
            <w:r>
              <w:rPr>
                <w:color w:val="auto"/>
                <w:highlight w:val="none"/>
              </w:rPr>
              <w:t>氨</w:t>
            </w:r>
            <w:r>
              <w:rPr>
                <w:rFonts w:hint="eastAsia"/>
                <w:color w:val="auto"/>
                <w:highlight w:val="none"/>
                <w:lang w:eastAsia="zh-CN"/>
              </w:rPr>
              <w:t>、</w:t>
            </w:r>
            <w:r>
              <w:rPr>
                <w:rFonts w:hint="eastAsia"/>
                <w:color w:val="auto"/>
                <w:highlight w:val="none"/>
                <w:lang w:val="en-US" w:eastAsia="zh-CN"/>
              </w:rPr>
              <w:t>臭气浓度</w:t>
            </w:r>
            <w:r>
              <w:rPr>
                <w:color w:val="auto"/>
                <w:highlight w:val="none"/>
              </w:rPr>
              <w:t>有组织排放执行《恶臭污染物排放标准》（GB14554-93）表2中标准（</w:t>
            </w:r>
            <w:r>
              <w:rPr>
                <w:rFonts w:hint="eastAsia"/>
                <w:color w:val="auto"/>
                <w:highlight w:val="none"/>
                <w:lang w:val="en-US" w:eastAsia="zh-CN"/>
              </w:rPr>
              <w:t>15</w:t>
            </w:r>
            <w:r>
              <w:rPr>
                <w:color w:val="auto"/>
                <w:highlight w:val="none"/>
              </w:rPr>
              <w:t>m排气筒，</w:t>
            </w:r>
            <w:r>
              <w:rPr>
                <w:rFonts w:hint="eastAsia"/>
                <w:color w:val="auto"/>
                <w:highlight w:val="none"/>
                <w:lang w:val="en-US" w:eastAsia="zh-CN"/>
              </w:rPr>
              <w:t>氨4.9</w:t>
            </w:r>
            <w:r>
              <w:rPr>
                <w:color w:val="auto"/>
                <w:highlight w:val="none"/>
              </w:rPr>
              <w:t>kg/h</w:t>
            </w:r>
            <w:r>
              <w:rPr>
                <w:rFonts w:hint="eastAsia"/>
                <w:color w:val="auto"/>
                <w:highlight w:val="none"/>
                <w:lang w:eastAsia="zh-CN"/>
              </w:rPr>
              <w:t>；</w:t>
            </w:r>
            <w:r>
              <w:rPr>
                <w:rFonts w:hint="eastAsia"/>
                <w:color w:val="auto"/>
                <w:highlight w:val="none"/>
                <w:lang w:val="en-US" w:eastAsia="zh-CN"/>
              </w:rPr>
              <w:t>臭气浓度2000无量纲</w:t>
            </w:r>
            <w:r>
              <w:rPr>
                <w:color w:val="auto"/>
                <w:highlight w:val="none"/>
              </w:rPr>
              <w:t>）</w:t>
            </w:r>
            <w:r>
              <w:rPr>
                <w:rFonts w:hint="eastAsia"/>
                <w:color w:val="auto"/>
                <w:highlight w:val="none"/>
                <w:lang w:eastAsia="zh-CN"/>
              </w:rPr>
              <w:t>。</w:t>
            </w:r>
            <w:r>
              <w:rPr>
                <w:rFonts w:hint="default" w:ascii="Times New Roman" w:hAnsi="Times New Roman" w:cs="Times New Roman" w:eastAsiaTheme="minorEastAsia"/>
                <w:color w:val="auto"/>
                <w:sz w:val="21"/>
                <w:szCs w:val="21"/>
                <w:highlight w:val="none"/>
                <w:lang w:eastAsia="zh-CN"/>
              </w:rPr>
              <w:t>厂</w:t>
            </w:r>
            <w:r>
              <w:rPr>
                <w:rFonts w:hint="default" w:ascii="Times New Roman" w:hAnsi="Times New Roman" w:cs="Times New Roman" w:eastAsiaTheme="minorEastAsia"/>
                <w:color w:val="auto"/>
                <w:highlight w:val="none"/>
                <w:lang w:eastAsia="zh-CN"/>
              </w:rPr>
              <w:t>界</w:t>
            </w:r>
            <w:r>
              <w:rPr>
                <w:rFonts w:hint="default" w:ascii="Times New Roman" w:hAnsi="Times New Roman" w:cs="Times New Roman" w:eastAsiaTheme="minorEastAsia"/>
                <w:color w:val="auto"/>
                <w:highlight w:val="none"/>
              </w:rPr>
              <w:t>颗粒物无组织排放执行</w:t>
            </w:r>
            <w:r>
              <w:rPr>
                <w:rFonts w:hint="default" w:ascii="Times New Roman" w:hAnsi="Times New Roman" w:cs="Times New Roman"/>
                <w:color w:val="auto"/>
                <w:highlight w:val="none"/>
              </w:rPr>
              <w:t>《大气污染物</w:t>
            </w:r>
            <w:r>
              <w:rPr>
                <w:rFonts w:hint="default" w:ascii="Times New Roman" w:hAnsi="Times New Roman" w:cs="Times New Roman"/>
                <w:color w:val="auto"/>
                <w:highlight w:val="none"/>
                <w:lang w:eastAsia="zh-CN"/>
              </w:rPr>
              <w:t>综合</w:t>
            </w:r>
            <w:r>
              <w:rPr>
                <w:rFonts w:hint="default" w:ascii="Times New Roman" w:hAnsi="Times New Roman" w:cs="Times New Roman"/>
                <w:color w:val="auto"/>
                <w:highlight w:val="none"/>
              </w:rPr>
              <w:t>排放标准》（</w:t>
            </w:r>
            <w:r>
              <w:rPr>
                <w:rFonts w:hint="default" w:ascii="Times New Roman" w:hAnsi="Times New Roman" w:cs="Times New Roman"/>
                <w:color w:val="auto"/>
                <w:highlight w:val="none"/>
                <w:lang w:val="en-US" w:eastAsia="zh-CN"/>
              </w:rPr>
              <w:t>GB16297-1996</w:t>
            </w: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无组织颗粒物排放监控浓度限值要求</w:t>
            </w:r>
            <w:r>
              <w:rPr>
                <w:rFonts w:hint="default" w:ascii="Times New Roman" w:hAnsi="Times New Roman" w:cs="Times New Roman" w:eastAsiaTheme="minorEastAsia"/>
                <w:color w:val="auto"/>
                <w:highlight w:val="none"/>
              </w:rPr>
              <w:t>（颗粒物</w:t>
            </w:r>
            <w:r>
              <w:rPr>
                <w:rFonts w:hint="default" w:ascii="Times New Roman" w:hAnsi="Times New Roman" w:cs="Times New Roman" w:eastAsiaTheme="minorEastAsia"/>
                <w:color w:val="auto"/>
                <w:highlight w:val="none"/>
                <w:lang w:val="en-US" w:eastAsia="zh-CN"/>
              </w:rPr>
              <w:t>1.0</w:t>
            </w:r>
            <w:r>
              <w:rPr>
                <w:rFonts w:hint="default" w:ascii="Times New Roman" w:hAnsi="Times New Roman" w:cs="Times New Roman" w:eastAsiaTheme="minorEastAsia"/>
                <w:color w:val="auto"/>
                <w:highlight w:val="none"/>
              </w:rPr>
              <w:t>mg/m</w:t>
            </w:r>
            <w:r>
              <w:rPr>
                <w:rFonts w:hint="default" w:ascii="Times New Roman" w:hAnsi="Times New Roman" w:cs="Times New Roman" w:eastAsiaTheme="minorEastAsia"/>
                <w:color w:val="auto"/>
                <w:highlight w:val="none"/>
                <w:vertAlign w:val="superscript"/>
              </w:rPr>
              <w:t>3</w:t>
            </w:r>
            <w:r>
              <w:rPr>
                <w:rFonts w:hint="default" w:ascii="Times New Roman" w:hAnsi="Times New Roman" w:cs="Times New Roman" w:eastAsiaTheme="minorEastAsia"/>
                <w:color w:val="auto"/>
                <w:highlight w:val="none"/>
              </w:rPr>
              <w:t>）</w:t>
            </w:r>
            <w:r>
              <w:rPr>
                <w:rFonts w:hint="eastAsia" w:hAnsi="宋体"/>
                <w:color w:val="auto"/>
                <w:sz w:val="21"/>
                <w:szCs w:val="21"/>
                <w:highlight w:val="none"/>
                <w:lang w:eastAsia="zh-CN"/>
              </w:rPr>
              <w:t>。</w:t>
            </w:r>
          </w:p>
          <w:p w14:paraId="461C452C">
            <w:pPr>
              <w:adjustRightInd w:val="0"/>
              <w:snapToGrid w:val="0"/>
              <w:spacing w:line="360" w:lineRule="auto"/>
              <w:jc w:val="center"/>
              <w:rPr>
                <w:rFonts w:hint="eastAsia" w:eastAsia="宋体"/>
                <w:b/>
                <w:color w:val="auto"/>
                <w:highlight w:val="none"/>
                <w:lang w:eastAsia="zh-CN"/>
              </w:rPr>
            </w:pPr>
            <w:r>
              <w:rPr>
                <w:b/>
                <w:color w:val="auto"/>
                <w:highlight w:val="none"/>
              </w:rPr>
              <w:t>表3-</w:t>
            </w:r>
            <w:r>
              <w:rPr>
                <w:rFonts w:hint="eastAsia"/>
                <w:b/>
                <w:color w:val="auto"/>
                <w:highlight w:val="none"/>
                <w:lang w:val="en-US" w:eastAsia="zh-CN"/>
              </w:rPr>
              <w:t>4</w:t>
            </w:r>
            <w:r>
              <w:rPr>
                <w:b/>
                <w:color w:val="auto"/>
                <w:highlight w:val="none"/>
              </w:rPr>
              <w:t>项目废气排放执行标准</w:t>
            </w:r>
            <w:r>
              <w:rPr>
                <w:rFonts w:hint="eastAsia"/>
                <w:b/>
                <w:color w:val="auto"/>
                <w:highlight w:val="none"/>
                <w:lang w:eastAsia="zh-CN"/>
              </w:rPr>
              <w:t>限值</w:t>
            </w:r>
          </w:p>
          <w:tbl>
            <w:tblPr>
              <w:tblStyle w:val="83"/>
              <w:tblW w:w="4996"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0" w:type="dxa"/>
                <w:bottom w:w="0" w:type="dxa"/>
                <w:right w:w="0" w:type="dxa"/>
              </w:tblCellMar>
            </w:tblPr>
            <w:tblGrid>
              <w:gridCol w:w="1228"/>
              <w:gridCol w:w="1231"/>
              <w:gridCol w:w="1022"/>
              <w:gridCol w:w="1089"/>
              <w:gridCol w:w="2587"/>
              <w:gridCol w:w="801"/>
            </w:tblGrid>
            <w:tr w14:paraId="2CB4E95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772" w:type="pct"/>
                  <w:vMerge w:val="restart"/>
                  <w:tcBorders>
                    <w:top w:val="single" w:color="auto" w:sz="6" w:space="0"/>
                    <w:left w:val="single" w:color="auto" w:sz="6" w:space="0"/>
                    <w:right w:val="single" w:color="auto" w:sz="4" w:space="0"/>
                  </w:tcBorders>
                  <w:noWrap w:val="0"/>
                  <w:vAlign w:val="center"/>
                </w:tcPr>
                <w:p w14:paraId="3EF1B079">
                  <w:pPr>
                    <w:autoSpaceDE w:val="0"/>
                    <w:autoSpaceDN w:val="0"/>
                    <w:adjustRightInd w:val="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污染物名称</w:t>
                  </w:r>
                </w:p>
              </w:tc>
              <w:tc>
                <w:tcPr>
                  <w:tcW w:w="2099" w:type="pct"/>
                  <w:gridSpan w:val="3"/>
                  <w:tcBorders>
                    <w:top w:val="single" w:color="auto" w:sz="4" w:space="0"/>
                    <w:left w:val="single" w:color="auto" w:sz="4" w:space="0"/>
                    <w:bottom w:val="single" w:color="auto" w:sz="4" w:space="0"/>
                    <w:right w:val="single" w:color="auto" w:sz="6" w:space="0"/>
                  </w:tcBorders>
                  <w:noWrap w:val="0"/>
                  <w:vAlign w:val="center"/>
                </w:tcPr>
                <w:p w14:paraId="7E83198F">
                  <w:pPr>
                    <w:autoSpaceDE w:val="0"/>
                    <w:autoSpaceDN w:val="0"/>
                    <w:adjustRightInd w:val="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有组织排放</w:t>
                  </w:r>
                </w:p>
              </w:tc>
              <w:tc>
                <w:tcPr>
                  <w:tcW w:w="2128" w:type="pct"/>
                  <w:gridSpan w:val="2"/>
                  <w:tcBorders>
                    <w:top w:val="single" w:color="auto" w:sz="6" w:space="0"/>
                    <w:left w:val="single" w:color="auto" w:sz="6" w:space="0"/>
                    <w:bottom w:val="single" w:color="auto" w:sz="6" w:space="0"/>
                    <w:right w:val="single" w:color="auto" w:sz="6" w:space="0"/>
                  </w:tcBorders>
                  <w:noWrap w:val="0"/>
                  <w:vAlign w:val="center"/>
                </w:tcPr>
                <w:p w14:paraId="60A6B04F">
                  <w:pPr>
                    <w:autoSpaceDE w:val="0"/>
                    <w:autoSpaceDN w:val="0"/>
                    <w:adjustRightInd w:val="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无组织排放</w:t>
                  </w:r>
                </w:p>
              </w:tc>
            </w:tr>
            <w:tr w14:paraId="6E974A3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340" w:hRule="atLeast"/>
                <w:jc w:val="center"/>
              </w:trPr>
              <w:tc>
                <w:tcPr>
                  <w:tcW w:w="772" w:type="pct"/>
                  <w:vMerge w:val="continue"/>
                  <w:tcBorders>
                    <w:left w:val="single" w:color="auto" w:sz="6" w:space="0"/>
                    <w:bottom w:val="single" w:color="auto" w:sz="4" w:space="0"/>
                    <w:right w:val="single" w:color="auto" w:sz="4" w:space="0"/>
                  </w:tcBorders>
                  <w:noWrap w:val="0"/>
                  <w:vAlign w:val="center"/>
                </w:tcPr>
                <w:p w14:paraId="07186091">
                  <w:pPr>
                    <w:autoSpaceDE w:val="0"/>
                    <w:autoSpaceDN w:val="0"/>
                    <w:adjustRightInd w:val="0"/>
                    <w:jc w:val="center"/>
                    <w:rPr>
                      <w:rFonts w:hint="default" w:ascii="Times New Roman" w:hAnsi="Times New Roman" w:cs="Times New Roman"/>
                      <w:color w:val="auto"/>
                      <w:sz w:val="18"/>
                      <w:szCs w:val="18"/>
                      <w:highlight w:val="none"/>
                    </w:rPr>
                  </w:pPr>
                </w:p>
              </w:tc>
              <w:tc>
                <w:tcPr>
                  <w:tcW w:w="773" w:type="pct"/>
                  <w:tcBorders>
                    <w:top w:val="single" w:color="auto" w:sz="4" w:space="0"/>
                    <w:left w:val="single" w:color="auto" w:sz="4" w:space="0"/>
                    <w:bottom w:val="single" w:color="auto" w:sz="4" w:space="0"/>
                    <w:right w:val="single" w:color="auto" w:sz="6" w:space="0"/>
                  </w:tcBorders>
                  <w:noWrap w:val="0"/>
                  <w:vAlign w:val="center"/>
                </w:tcPr>
                <w:p w14:paraId="4E114BD0">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最高允许排放浓度mg/m</w:t>
                  </w:r>
                  <w:r>
                    <w:rPr>
                      <w:rFonts w:hint="default" w:ascii="Times New Roman" w:hAnsi="Times New Roman" w:cs="Times New Roman"/>
                      <w:color w:val="auto"/>
                      <w:sz w:val="18"/>
                      <w:szCs w:val="18"/>
                      <w:highlight w:val="none"/>
                      <w:vertAlign w:val="superscript"/>
                    </w:rPr>
                    <w:t>3</w:t>
                  </w:r>
                </w:p>
              </w:tc>
              <w:tc>
                <w:tcPr>
                  <w:tcW w:w="642" w:type="pct"/>
                  <w:tcBorders>
                    <w:top w:val="single" w:color="auto" w:sz="4" w:space="0"/>
                    <w:left w:val="single" w:color="auto" w:sz="6" w:space="0"/>
                    <w:bottom w:val="single" w:color="auto" w:sz="4" w:space="0"/>
                    <w:right w:val="single" w:color="auto" w:sz="6" w:space="0"/>
                  </w:tcBorders>
                  <w:noWrap w:val="0"/>
                  <w:vAlign w:val="center"/>
                </w:tcPr>
                <w:p w14:paraId="69B571B2">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排气筒高度m</w:t>
                  </w:r>
                </w:p>
              </w:tc>
              <w:tc>
                <w:tcPr>
                  <w:tcW w:w="684" w:type="pct"/>
                  <w:tcBorders>
                    <w:top w:val="single" w:color="auto" w:sz="4" w:space="0"/>
                    <w:left w:val="single" w:color="auto" w:sz="6" w:space="0"/>
                    <w:bottom w:val="single" w:color="auto" w:sz="4" w:space="0"/>
                    <w:right w:val="single" w:color="auto" w:sz="4" w:space="0"/>
                  </w:tcBorders>
                  <w:noWrap w:val="0"/>
                  <w:vAlign w:val="center"/>
                </w:tcPr>
                <w:p w14:paraId="3ECD243C">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最高允许排放速率kg/h</w:t>
                  </w:r>
                </w:p>
              </w:tc>
              <w:tc>
                <w:tcPr>
                  <w:tcW w:w="1625" w:type="pct"/>
                  <w:tcBorders>
                    <w:top w:val="single" w:color="auto" w:sz="6" w:space="0"/>
                    <w:left w:val="single" w:color="auto" w:sz="4" w:space="0"/>
                    <w:bottom w:val="single" w:color="auto" w:sz="4" w:space="0"/>
                    <w:right w:val="single" w:color="auto" w:sz="6" w:space="0"/>
                  </w:tcBorders>
                  <w:noWrap w:val="0"/>
                  <w:vAlign w:val="center"/>
                </w:tcPr>
                <w:p w14:paraId="57FFEB59">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监控点</w:t>
                  </w:r>
                </w:p>
              </w:tc>
              <w:tc>
                <w:tcPr>
                  <w:tcW w:w="503" w:type="pct"/>
                  <w:tcBorders>
                    <w:top w:val="single" w:color="auto" w:sz="6" w:space="0"/>
                    <w:left w:val="single" w:color="auto" w:sz="6" w:space="0"/>
                    <w:bottom w:val="single" w:color="auto" w:sz="4" w:space="0"/>
                    <w:right w:val="single" w:color="auto" w:sz="6" w:space="0"/>
                  </w:tcBorders>
                  <w:noWrap w:val="0"/>
                  <w:vAlign w:val="center"/>
                </w:tcPr>
                <w:p w14:paraId="0BC35F24">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浓度mg/m</w:t>
                  </w:r>
                  <w:r>
                    <w:rPr>
                      <w:rFonts w:hint="default" w:ascii="Times New Roman" w:hAnsi="Times New Roman" w:cs="Times New Roman"/>
                      <w:color w:val="auto"/>
                      <w:sz w:val="18"/>
                      <w:szCs w:val="18"/>
                      <w:highlight w:val="none"/>
                      <w:vertAlign w:val="superscript"/>
                    </w:rPr>
                    <w:t>3</w:t>
                  </w:r>
                </w:p>
              </w:tc>
            </w:tr>
            <w:tr w14:paraId="4A3CC6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772" w:type="pct"/>
                  <w:tcBorders>
                    <w:top w:val="single" w:color="auto" w:sz="4" w:space="0"/>
                    <w:left w:val="single" w:color="auto" w:sz="4" w:space="0"/>
                    <w:bottom w:val="single" w:color="auto" w:sz="4" w:space="0"/>
                    <w:right w:val="single" w:color="auto" w:sz="4" w:space="0"/>
                  </w:tcBorders>
                  <w:noWrap w:val="0"/>
                  <w:vAlign w:val="center"/>
                </w:tcPr>
                <w:p w14:paraId="467CD1A6">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773" w:type="pct"/>
                  <w:tcBorders>
                    <w:top w:val="single" w:color="auto" w:sz="4" w:space="0"/>
                    <w:left w:val="single" w:color="auto" w:sz="4" w:space="0"/>
                    <w:bottom w:val="single" w:color="auto" w:sz="4" w:space="0"/>
                    <w:right w:val="single" w:color="auto" w:sz="4" w:space="0"/>
                  </w:tcBorders>
                  <w:noWrap w:val="0"/>
                  <w:vAlign w:val="center"/>
                </w:tcPr>
                <w:p w14:paraId="1B1C18E4">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w:t>
                  </w:r>
                </w:p>
              </w:tc>
              <w:tc>
                <w:tcPr>
                  <w:tcW w:w="642" w:type="pct"/>
                  <w:tcBorders>
                    <w:top w:val="single" w:color="auto" w:sz="4" w:space="0"/>
                    <w:left w:val="single" w:color="auto" w:sz="4" w:space="0"/>
                    <w:bottom w:val="single" w:color="auto" w:sz="4" w:space="0"/>
                    <w:right w:val="single" w:color="auto" w:sz="6" w:space="0"/>
                  </w:tcBorders>
                  <w:noWrap w:val="0"/>
                  <w:vAlign w:val="center"/>
                </w:tcPr>
                <w:p w14:paraId="2FFBC254">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w:t>
                  </w:r>
                </w:p>
              </w:tc>
              <w:tc>
                <w:tcPr>
                  <w:tcW w:w="684" w:type="pct"/>
                  <w:tcBorders>
                    <w:top w:val="single" w:color="auto" w:sz="4" w:space="0"/>
                    <w:left w:val="single" w:color="auto" w:sz="6" w:space="0"/>
                    <w:bottom w:val="single" w:color="auto" w:sz="4" w:space="0"/>
                    <w:right w:val="single" w:color="auto" w:sz="4" w:space="0"/>
                  </w:tcBorders>
                  <w:noWrap w:val="0"/>
                  <w:vAlign w:val="center"/>
                </w:tcPr>
                <w:p w14:paraId="2BEE2DD4">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625" w:type="pct"/>
                  <w:tcBorders>
                    <w:top w:val="single" w:color="auto" w:sz="6" w:space="0"/>
                    <w:left w:val="single" w:color="auto" w:sz="4" w:space="0"/>
                    <w:bottom w:val="single" w:color="auto" w:sz="6" w:space="0"/>
                    <w:right w:val="single" w:color="auto" w:sz="6" w:space="0"/>
                  </w:tcBorders>
                  <w:noWrap w:val="0"/>
                  <w:vAlign w:val="center"/>
                </w:tcPr>
                <w:p w14:paraId="67575B5B">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厂界监控浓度</w:t>
                  </w:r>
                </w:p>
              </w:tc>
              <w:tc>
                <w:tcPr>
                  <w:tcW w:w="503" w:type="pct"/>
                  <w:tcBorders>
                    <w:top w:val="single" w:color="auto" w:sz="6" w:space="0"/>
                    <w:left w:val="single" w:color="auto" w:sz="6" w:space="0"/>
                    <w:bottom w:val="single" w:color="auto" w:sz="6" w:space="0"/>
                    <w:right w:val="single" w:color="auto" w:sz="6" w:space="0"/>
                  </w:tcBorders>
                  <w:noWrap w:val="0"/>
                  <w:vAlign w:val="center"/>
                </w:tcPr>
                <w:p w14:paraId="57F69FD7">
                  <w:pPr>
                    <w:autoSpaceDE w:val="0"/>
                    <w:autoSpaceDN w:val="0"/>
                    <w:adjustRightInd w:val="0"/>
                    <w:jc w:val="center"/>
                    <w:rPr>
                      <w:rFonts w:hint="default" w:ascii="Times New Roman" w:hAnsi="Times New Roman" w:eastAsia="宋体" w:cs="Times New Roman"/>
                      <w:color w:val="auto"/>
                      <w:spacing w:val="6"/>
                      <w:sz w:val="18"/>
                      <w:szCs w:val="18"/>
                      <w:highlight w:val="none"/>
                      <w:lang w:val="en-US" w:eastAsia="zh-CN"/>
                    </w:rPr>
                  </w:pPr>
                  <w:r>
                    <w:rPr>
                      <w:rFonts w:hint="default" w:ascii="Times New Roman" w:hAnsi="Times New Roman" w:cs="Times New Roman"/>
                      <w:color w:val="auto"/>
                      <w:sz w:val="18"/>
                      <w:szCs w:val="18"/>
                      <w:highlight w:val="none"/>
                      <w:lang w:val="en-US" w:eastAsia="zh-CN"/>
                    </w:rPr>
                    <w:t>1.0</w:t>
                  </w:r>
                </w:p>
              </w:tc>
            </w:tr>
            <w:tr w14:paraId="67F83C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340" w:hRule="atLeast"/>
                <w:jc w:val="center"/>
              </w:trPr>
              <w:tc>
                <w:tcPr>
                  <w:tcW w:w="772" w:type="pct"/>
                  <w:tcBorders>
                    <w:top w:val="single" w:color="auto" w:sz="4" w:space="0"/>
                    <w:left w:val="single" w:color="auto" w:sz="4" w:space="0"/>
                    <w:bottom w:val="single" w:color="auto" w:sz="4" w:space="0"/>
                    <w:right w:val="single" w:color="auto" w:sz="4" w:space="0"/>
                  </w:tcBorders>
                  <w:noWrap w:val="0"/>
                  <w:vAlign w:val="center"/>
                </w:tcPr>
                <w:p w14:paraId="4307F7F0">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2</w:t>
                  </w:r>
                </w:p>
              </w:tc>
              <w:tc>
                <w:tcPr>
                  <w:tcW w:w="773" w:type="pct"/>
                  <w:tcBorders>
                    <w:top w:val="single" w:color="auto" w:sz="4" w:space="0"/>
                    <w:left w:val="single" w:color="auto" w:sz="4" w:space="0"/>
                    <w:bottom w:val="single" w:color="auto" w:sz="4" w:space="0"/>
                    <w:right w:val="single" w:color="auto" w:sz="4" w:space="0"/>
                  </w:tcBorders>
                  <w:noWrap w:val="0"/>
                  <w:vAlign w:val="center"/>
                </w:tcPr>
                <w:p w14:paraId="246D6D66">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w:t>
                  </w:r>
                </w:p>
              </w:tc>
              <w:tc>
                <w:tcPr>
                  <w:tcW w:w="642" w:type="pct"/>
                  <w:tcBorders>
                    <w:top w:val="single" w:color="auto" w:sz="4" w:space="0"/>
                    <w:left w:val="single" w:color="auto" w:sz="4" w:space="0"/>
                    <w:bottom w:val="single" w:color="auto" w:sz="4" w:space="0"/>
                    <w:right w:val="single" w:color="auto" w:sz="6" w:space="0"/>
                  </w:tcBorders>
                  <w:noWrap w:val="0"/>
                  <w:vAlign w:val="center"/>
                </w:tcPr>
                <w:p w14:paraId="6F500358">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684" w:type="pct"/>
                  <w:tcBorders>
                    <w:top w:val="single" w:color="auto" w:sz="4" w:space="0"/>
                    <w:left w:val="single" w:color="auto" w:sz="6" w:space="0"/>
                    <w:bottom w:val="single" w:color="auto" w:sz="4" w:space="0"/>
                    <w:right w:val="single" w:color="auto" w:sz="4" w:space="0"/>
                  </w:tcBorders>
                  <w:noWrap w:val="0"/>
                  <w:vAlign w:val="center"/>
                </w:tcPr>
                <w:p w14:paraId="3E2F5D95">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1625" w:type="pct"/>
                  <w:tcBorders>
                    <w:top w:val="single" w:color="auto" w:sz="6" w:space="0"/>
                    <w:left w:val="single" w:color="auto" w:sz="4" w:space="0"/>
                    <w:bottom w:val="single" w:color="auto" w:sz="6" w:space="0"/>
                    <w:right w:val="single" w:color="auto" w:sz="6" w:space="0"/>
                  </w:tcBorders>
                  <w:noWrap w:val="0"/>
                  <w:vAlign w:val="center"/>
                </w:tcPr>
                <w:p w14:paraId="2BAE680B">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503" w:type="pct"/>
                  <w:tcBorders>
                    <w:top w:val="single" w:color="auto" w:sz="6" w:space="0"/>
                    <w:left w:val="single" w:color="auto" w:sz="6" w:space="0"/>
                    <w:bottom w:val="single" w:color="auto" w:sz="6" w:space="0"/>
                    <w:right w:val="single" w:color="auto" w:sz="6" w:space="0"/>
                  </w:tcBorders>
                  <w:noWrap w:val="0"/>
                  <w:vAlign w:val="center"/>
                </w:tcPr>
                <w:p w14:paraId="5F4652F4">
                  <w:pPr>
                    <w:autoSpaceDE w:val="0"/>
                    <w:autoSpaceDN w:val="0"/>
                    <w:adjustRightInd w:val="0"/>
                    <w:jc w:val="center"/>
                    <w:rPr>
                      <w:rFonts w:hint="default" w:ascii="Times New Roman" w:hAnsi="Times New Roman" w:cs="Times New Roman"/>
                      <w:color w:val="auto"/>
                      <w:spacing w:val="6"/>
                      <w:sz w:val="18"/>
                      <w:szCs w:val="18"/>
                    </w:rPr>
                  </w:pPr>
                  <w:r>
                    <w:rPr>
                      <w:rFonts w:hint="default" w:ascii="Times New Roman" w:hAnsi="Times New Roman" w:cs="Times New Roman"/>
                      <w:color w:val="auto"/>
                      <w:sz w:val="18"/>
                      <w:szCs w:val="18"/>
                    </w:rPr>
                    <w:t>--</w:t>
                  </w:r>
                </w:p>
              </w:tc>
            </w:tr>
            <w:tr w14:paraId="71893BD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772" w:type="pct"/>
                  <w:tcBorders>
                    <w:top w:val="single" w:color="auto" w:sz="4" w:space="0"/>
                    <w:left w:val="single" w:color="auto" w:sz="4" w:space="0"/>
                    <w:bottom w:val="single" w:color="auto" w:sz="4" w:space="0"/>
                    <w:right w:val="single" w:color="auto" w:sz="4" w:space="0"/>
                  </w:tcBorders>
                  <w:noWrap w:val="0"/>
                  <w:vAlign w:val="center"/>
                </w:tcPr>
                <w:p w14:paraId="72C2031C">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NOx</w:t>
                  </w:r>
                </w:p>
              </w:tc>
              <w:tc>
                <w:tcPr>
                  <w:tcW w:w="773" w:type="pct"/>
                  <w:tcBorders>
                    <w:top w:val="single" w:color="auto" w:sz="4" w:space="0"/>
                    <w:left w:val="single" w:color="auto" w:sz="4" w:space="0"/>
                    <w:bottom w:val="single" w:color="auto" w:sz="4" w:space="0"/>
                    <w:right w:val="single" w:color="auto" w:sz="4" w:space="0"/>
                  </w:tcBorders>
                  <w:noWrap w:val="0"/>
                  <w:vAlign w:val="center"/>
                </w:tcPr>
                <w:p w14:paraId="3478FC42">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100</w:t>
                  </w:r>
                </w:p>
              </w:tc>
              <w:tc>
                <w:tcPr>
                  <w:tcW w:w="642" w:type="pct"/>
                  <w:tcBorders>
                    <w:top w:val="single" w:color="auto" w:sz="4" w:space="0"/>
                    <w:left w:val="single" w:color="auto" w:sz="4" w:space="0"/>
                    <w:bottom w:val="single" w:color="auto" w:sz="4" w:space="0"/>
                    <w:right w:val="single" w:color="auto" w:sz="6" w:space="0"/>
                  </w:tcBorders>
                  <w:noWrap w:val="0"/>
                  <w:vAlign w:val="center"/>
                </w:tcPr>
                <w:p w14:paraId="7B435D9D">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684" w:type="pct"/>
                  <w:tcBorders>
                    <w:top w:val="single" w:color="auto" w:sz="4" w:space="0"/>
                    <w:left w:val="single" w:color="auto" w:sz="6" w:space="0"/>
                    <w:bottom w:val="single" w:color="auto" w:sz="4" w:space="0"/>
                    <w:right w:val="single" w:color="auto" w:sz="4" w:space="0"/>
                  </w:tcBorders>
                  <w:noWrap w:val="0"/>
                  <w:vAlign w:val="center"/>
                </w:tcPr>
                <w:p w14:paraId="41ED0E8D">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1625" w:type="pct"/>
                  <w:tcBorders>
                    <w:top w:val="single" w:color="auto" w:sz="6" w:space="0"/>
                    <w:left w:val="single" w:color="auto" w:sz="4" w:space="0"/>
                    <w:bottom w:val="single" w:color="auto" w:sz="6" w:space="0"/>
                    <w:right w:val="single" w:color="auto" w:sz="6" w:space="0"/>
                  </w:tcBorders>
                  <w:noWrap w:val="0"/>
                  <w:vAlign w:val="center"/>
                </w:tcPr>
                <w:p w14:paraId="52FA589B">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503" w:type="pct"/>
                  <w:tcBorders>
                    <w:top w:val="single" w:color="auto" w:sz="6" w:space="0"/>
                    <w:left w:val="single" w:color="auto" w:sz="6" w:space="0"/>
                    <w:bottom w:val="single" w:color="auto" w:sz="6" w:space="0"/>
                    <w:right w:val="single" w:color="auto" w:sz="6" w:space="0"/>
                  </w:tcBorders>
                  <w:noWrap w:val="0"/>
                  <w:vAlign w:val="center"/>
                </w:tcPr>
                <w:p w14:paraId="7F5B93A1">
                  <w:pPr>
                    <w:autoSpaceDE w:val="0"/>
                    <w:autoSpaceDN w:val="0"/>
                    <w:adjustRightInd w:val="0"/>
                    <w:jc w:val="center"/>
                    <w:rPr>
                      <w:rFonts w:hint="default" w:ascii="Times New Roman" w:hAnsi="Times New Roman" w:cs="Times New Roman"/>
                      <w:color w:val="auto"/>
                      <w:spacing w:val="6"/>
                      <w:sz w:val="18"/>
                      <w:szCs w:val="18"/>
                    </w:rPr>
                  </w:pPr>
                  <w:r>
                    <w:rPr>
                      <w:rFonts w:hint="default" w:ascii="Times New Roman" w:hAnsi="Times New Roman" w:cs="Times New Roman"/>
                      <w:color w:val="auto"/>
                      <w:sz w:val="18"/>
                      <w:szCs w:val="18"/>
                    </w:rPr>
                    <w:t>--</w:t>
                  </w:r>
                </w:p>
              </w:tc>
            </w:tr>
            <w:tr w14:paraId="7BBC80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340" w:hRule="atLeast"/>
                <w:jc w:val="center"/>
              </w:trPr>
              <w:tc>
                <w:tcPr>
                  <w:tcW w:w="77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807608C">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氨</w:t>
                  </w:r>
                </w:p>
              </w:tc>
              <w:tc>
                <w:tcPr>
                  <w:tcW w:w="77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1CF094E">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642" w:type="pct"/>
                  <w:tcBorders>
                    <w:top w:val="single" w:color="auto" w:sz="4" w:space="0"/>
                    <w:left w:val="single" w:color="auto" w:sz="4" w:space="0"/>
                    <w:bottom w:val="single" w:color="auto" w:sz="4" w:space="0"/>
                    <w:right w:val="single" w:color="auto" w:sz="6" w:space="0"/>
                  </w:tcBorders>
                  <w:shd w:val="clear" w:color="auto" w:fill="auto"/>
                  <w:noWrap w:val="0"/>
                  <w:vAlign w:val="center"/>
                </w:tcPr>
                <w:p w14:paraId="3695BC80">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15</w:t>
                  </w:r>
                </w:p>
              </w:tc>
              <w:tc>
                <w:tcPr>
                  <w:tcW w:w="684" w:type="pct"/>
                  <w:tcBorders>
                    <w:top w:val="single" w:color="auto" w:sz="4" w:space="0"/>
                    <w:left w:val="single" w:color="auto" w:sz="6" w:space="0"/>
                    <w:bottom w:val="single" w:color="auto" w:sz="4" w:space="0"/>
                    <w:right w:val="single" w:color="auto" w:sz="4" w:space="0"/>
                  </w:tcBorders>
                  <w:shd w:val="clear" w:color="auto" w:fill="auto"/>
                  <w:noWrap w:val="0"/>
                  <w:vAlign w:val="center"/>
                </w:tcPr>
                <w:p w14:paraId="53283121">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4.9</w:t>
                  </w:r>
                </w:p>
              </w:tc>
              <w:tc>
                <w:tcPr>
                  <w:tcW w:w="1625" w:type="pct"/>
                  <w:tcBorders>
                    <w:top w:val="single" w:color="auto" w:sz="6" w:space="0"/>
                    <w:left w:val="single" w:color="auto" w:sz="4" w:space="0"/>
                    <w:bottom w:val="single" w:color="auto" w:sz="6" w:space="0"/>
                    <w:right w:val="single" w:color="auto" w:sz="6" w:space="0"/>
                  </w:tcBorders>
                  <w:noWrap w:val="0"/>
                  <w:vAlign w:val="center"/>
                </w:tcPr>
                <w:p w14:paraId="720E4235">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503" w:type="pct"/>
                  <w:tcBorders>
                    <w:top w:val="single" w:color="auto" w:sz="6" w:space="0"/>
                    <w:left w:val="single" w:color="auto" w:sz="6" w:space="0"/>
                    <w:bottom w:val="single" w:color="auto" w:sz="6" w:space="0"/>
                    <w:right w:val="single" w:color="auto" w:sz="6" w:space="0"/>
                  </w:tcBorders>
                  <w:noWrap w:val="0"/>
                  <w:vAlign w:val="center"/>
                </w:tcPr>
                <w:p w14:paraId="0F0A1DCA">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14:paraId="4FFF832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77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8556E28">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臭气浓度</w:t>
                  </w:r>
                </w:p>
              </w:tc>
              <w:tc>
                <w:tcPr>
                  <w:tcW w:w="77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443AC7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2</w:t>
                  </w:r>
                  <w:r>
                    <w:rPr>
                      <w:rFonts w:hint="default" w:ascii="Times New Roman" w:hAnsi="Times New Roman" w:cs="Times New Roman"/>
                      <w:color w:val="auto"/>
                      <w:sz w:val="18"/>
                      <w:szCs w:val="18"/>
                      <w:lang w:val="en-US" w:eastAsia="zh-CN"/>
                    </w:rPr>
                    <w:t>000（无量纲）</w:t>
                  </w:r>
                </w:p>
              </w:tc>
              <w:tc>
                <w:tcPr>
                  <w:tcW w:w="642" w:type="pct"/>
                  <w:tcBorders>
                    <w:top w:val="single" w:color="auto" w:sz="4" w:space="0"/>
                    <w:left w:val="single" w:color="auto" w:sz="4" w:space="0"/>
                    <w:bottom w:val="single" w:color="auto" w:sz="4" w:space="0"/>
                    <w:right w:val="single" w:color="auto" w:sz="6" w:space="0"/>
                  </w:tcBorders>
                  <w:shd w:val="clear" w:color="auto" w:fill="auto"/>
                  <w:noWrap w:val="0"/>
                  <w:vAlign w:val="center"/>
                </w:tcPr>
                <w:p w14:paraId="0D6FE03A">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15</w:t>
                  </w:r>
                </w:p>
              </w:tc>
              <w:tc>
                <w:tcPr>
                  <w:tcW w:w="684" w:type="pct"/>
                  <w:tcBorders>
                    <w:top w:val="single" w:color="auto" w:sz="4" w:space="0"/>
                    <w:left w:val="single" w:color="auto" w:sz="6" w:space="0"/>
                    <w:bottom w:val="single" w:color="auto" w:sz="4" w:space="0"/>
                    <w:right w:val="single" w:color="auto" w:sz="4" w:space="0"/>
                  </w:tcBorders>
                  <w:shd w:val="clear" w:color="auto" w:fill="auto"/>
                  <w:noWrap w:val="0"/>
                  <w:vAlign w:val="center"/>
                </w:tcPr>
                <w:p w14:paraId="1A50297A">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w:t>
                  </w:r>
                </w:p>
              </w:tc>
              <w:tc>
                <w:tcPr>
                  <w:tcW w:w="1625" w:type="pct"/>
                  <w:tcBorders>
                    <w:top w:val="single" w:color="auto" w:sz="6" w:space="0"/>
                    <w:left w:val="single" w:color="auto" w:sz="4" w:space="0"/>
                    <w:bottom w:val="single" w:color="auto" w:sz="6" w:space="0"/>
                    <w:right w:val="single" w:color="auto" w:sz="6" w:space="0"/>
                  </w:tcBorders>
                  <w:noWrap w:val="0"/>
                  <w:vAlign w:val="center"/>
                </w:tcPr>
                <w:p w14:paraId="066DEC5B">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503" w:type="pct"/>
                  <w:tcBorders>
                    <w:top w:val="single" w:color="auto" w:sz="6" w:space="0"/>
                    <w:left w:val="single" w:color="auto" w:sz="6" w:space="0"/>
                    <w:bottom w:val="single" w:color="auto" w:sz="6" w:space="0"/>
                    <w:right w:val="single" w:color="auto" w:sz="6" w:space="0"/>
                  </w:tcBorders>
                  <w:noWrap w:val="0"/>
                  <w:vAlign w:val="center"/>
                </w:tcPr>
                <w:p w14:paraId="4290B984">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bl>
          <w:p w14:paraId="43A03A81">
            <w:pPr>
              <w:spacing w:line="420" w:lineRule="exact"/>
              <w:ind w:firstLine="422" w:firstLineChars="200"/>
              <w:rPr>
                <w:b/>
                <w:color w:val="auto"/>
                <w:highlight w:val="none"/>
              </w:rPr>
            </w:pPr>
            <w:r>
              <w:rPr>
                <w:b/>
                <w:color w:val="auto"/>
                <w:highlight w:val="none"/>
              </w:rPr>
              <w:t>3、固废</w:t>
            </w:r>
          </w:p>
          <w:p w14:paraId="053292D2">
            <w:pPr>
              <w:adjustRightInd w:val="0"/>
              <w:snapToGrid w:val="0"/>
              <w:spacing w:line="420" w:lineRule="exact"/>
              <w:ind w:firstLine="420" w:firstLineChars="200"/>
              <w:rPr>
                <w:rFonts w:hint="eastAsia" w:eastAsia="宋体"/>
                <w:color w:val="auto"/>
                <w:lang w:eastAsia="zh-CN"/>
              </w:rPr>
            </w:pPr>
            <w:r>
              <w:rPr>
                <w:rFonts w:hint="eastAsia"/>
                <w:color w:val="auto"/>
                <w:lang w:eastAsia="zh-CN"/>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号）要求；危险废物执行《危险废物贮存污染控制标准》（GB18597-2023）及淄博市对固废处置的有关规定。</w:t>
            </w:r>
          </w:p>
          <w:p w14:paraId="0D7DC7D8">
            <w:pPr>
              <w:adjustRightInd w:val="0"/>
              <w:snapToGrid w:val="0"/>
              <w:spacing w:line="420" w:lineRule="exact"/>
              <w:rPr>
                <w:color w:val="auto"/>
              </w:rPr>
            </w:pPr>
          </w:p>
        </w:tc>
      </w:tr>
      <w:tr w14:paraId="04D9CE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49" w:hRule="atLeast"/>
          <w:jc w:val="center"/>
        </w:trPr>
        <w:tc>
          <w:tcPr>
            <w:tcW w:w="800" w:type="dxa"/>
            <w:vAlign w:val="center"/>
          </w:tcPr>
          <w:p w14:paraId="53E015F3">
            <w:pPr>
              <w:adjustRightInd w:val="0"/>
              <w:snapToGrid w:val="0"/>
              <w:spacing w:line="420" w:lineRule="exact"/>
              <w:jc w:val="center"/>
              <w:rPr>
                <w:color w:val="auto"/>
                <w:kern w:val="0"/>
              </w:rPr>
            </w:pPr>
            <w:r>
              <w:rPr>
                <w:color w:val="auto"/>
                <w:kern w:val="0"/>
              </w:rPr>
              <w:t>总量</w:t>
            </w:r>
          </w:p>
          <w:p w14:paraId="089D44A7">
            <w:pPr>
              <w:adjustRightInd w:val="0"/>
              <w:snapToGrid w:val="0"/>
              <w:spacing w:line="420" w:lineRule="exact"/>
              <w:jc w:val="center"/>
              <w:rPr>
                <w:color w:val="auto"/>
                <w:kern w:val="0"/>
              </w:rPr>
            </w:pPr>
            <w:r>
              <w:rPr>
                <w:color w:val="auto"/>
                <w:kern w:val="0"/>
              </w:rPr>
              <w:t>控制</w:t>
            </w:r>
          </w:p>
          <w:p w14:paraId="6549034D">
            <w:pPr>
              <w:adjustRightInd w:val="0"/>
              <w:snapToGrid w:val="0"/>
              <w:spacing w:line="420" w:lineRule="exact"/>
              <w:jc w:val="center"/>
              <w:rPr>
                <w:color w:val="auto"/>
                <w:kern w:val="0"/>
              </w:rPr>
            </w:pPr>
            <w:r>
              <w:rPr>
                <w:color w:val="auto"/>
                <w:kern w:val="0"/>
              </w:rPr>
              <w:t>指标</w:t>
            </w:r>
          </w:p>
        </w:tc>
        <w:tc>
          <w:tcPr>
            <w:tcW w:w="8190" w:type="dxa"/>
            <w:vAlign w:val="center"/>
          </w:tcPr>
          <w:p w14:paraId="31AE2529">
            <w:pPr>
              <w:spacing w:line="360" w:lineRule="auto"/>
              <w:ind w:firstLine="420" w:firstLineChars="200"/>
              <w:rPr>
                <w:color w:val="auto"/>
                <w:highlight w:val="none"/>
              </w:rPr>
            </w:pPr>
            <w:r>
              <w:rPr>
                <w:color w:val="auto"/>
              </w:rPr>
              <w:t>根据《山东省建设项目主要大气污染物排放总量替代指标核算及管理办法》（鲁环发[2019]132号），山东省二氧化硫、氮氧化物、烟粉尘、挥发性有机物四项大气污染物排放总量进行替代指标的核算。用于建设项目的“可替代总量指标”不得低于建设项目所需替代的主要大气污染物排放总量指标。上一年度环境空气质量年平均浓度达标的城市，相关污染物进行等量替代。上一年度环境空气质量年平均浓度不达标的城市，相关污染物应按照建设项目所需替代的污染物排放总量指标的2倍进行削减替代（燃煤发电机</w:t>
            </w:r>
            <w:r>
              <w:rPr>
                <w:color w:val="auto"/>
                <w:highlight w:val="none"/>
              </w:rPr>
              <w:t>组大气污染物排放浓度达到超低排放标准的进行等量替代）。上一年度细颗粒物年平均浓度超标的设区的市，实行二氧化硫、氮氧化物、烟粉尘、挥发性有机物四项污染物排放总量指标2倍削减替代。</w:t>
            </w:r>
          </w:p>
          <w:p w14:paraId="1DCE548B">
            <w:pPr>
              <w:pStyle w:val="3"/>
              <w:spacing w:after="0" w:line="360" w:lineRule="auto"/>
              <w:ind w:left="0" w:leftChars="0" w:firstLine="420" w:firstLineChars="200"/>
              <w:rPr>
                <w:rFonts w:hint="default"/>
                <w:color w:val="auto"/>
                <w:kern w:val="2"/>
                <w:sz w:val="21"/>
                <w:szCs w:val="21"/>
                <w:highlight w:val="none"/>
                <w:vertAlign w:val="subscript"/>
                <w:lang w:val="en-US" w:eastAsia="zh-CN"/>
              </w:rPr>
            </w:pPr>
            <w:r>
              <w:rPr>
                <w:rFonts w:hint="eastAsia" w:cs="Times New Roman"/>
                <w:snapToGrid w:val="0"/>
                <w:color w:val="auto"/>
                <w:sz w:val="21"/>
                <w:szCs w:val="21"/>
                <w:highlight w:val="none"/>
                <w:lang w:val="en-US" w:eastAsia="zh-CN"/>
              </w:rPr>
              <w:t>根据《淄博奢瓷装饰材料技术有限公司年加工20万平方米装饰画背景墙项目污染物总量确认书》，淄博奢瓷装饰材料技术有限公司现有总量指标为</w:t>
            </w:r>
            <w:r>
              <w:rPr>
                <w:rFonts w:hint="eastAsia" w:ascii="Times New Roman" w:hAnsi="Times New Roman" w:cs="Times New Roman"/>
                <w:color w:val="auto"/>
                <w:sz w:val="21"/>
                <w:szCs w:val="21"/>
                <w:highlight w:val="none"/>
                <w:lang w:val="en-US" w:eastAsia="zh-CN"/>
              </w:rPr>
              <w:t>颗粒物</w:t>
            </w:r>
            <w:r>
              <w:rPr>
                <w:rFonts w:hint="eastAsia" w:cs="Times New Roman"/>
                <w:color w:val="auto"/>
                <w:sz w:val="21"/>
                <w:szCs w:val="21"/>
                <w:highlight w:val="none"/>
                <w:lang w:val="en-US" w:eastAsia="zh-CN"/>
              </w:rPr>
              <w:t>0.042</w:t>
            </w:r>
            <w:r>
              <w:rPr>
                <w:rFonts w:hint="eastAsia" w:ascii="Times New Roman" w:hAnsi="Times New Roman" w:cs="Times New Roman"/>
                <w:color w:val="auto"/>
                <w:sz w:val="21"/>
                <w:szCs w:val="21"/>
                <w:highlight w:val="none"/>
                <w:lang w:val="en-US" w:eastAsia="zh-CN"/>
              </w:rPr>
              <w:t>t/a、SO</w:t>
            </w:r>
            <w:r>
              <w:rPr>
                <w:rFonts w:hint="eastAsia" w:ascii="Times New Roman" w:hAnsi="Times New Roman" w:cs="Times New Roman"/>
                <w:color w:val="auto"/>
                <w:sz w:val="21"/>
                <w:szCs w:val="21"/>
                <w:highlight w:val="none"/>
                <w:vertAlign w:val="subscript"/>
                <w:lang w:val="en-US" w:eastAsia="zh-CN"/>
              </w:rPr>
              <w:t>2</w:t>
            </w:r>
            <w:r>
              <w:rPr>
                <w:rFonts w:hint="eastAsia" w:cs="Times New Roman"/>
                <w:color w:val="auto"/>
                <w:sz w:val="21"/>
                <w:szCs w:val="21"/>
                <w:highlight w:val="none"/>
                <w:lang w:val="en-US" w:eastAsia="zh-CN"/>
              </w:rPr>
              <w:t>0.054</w:t>
            </w:r>
            <w:r>
              <w:rPr>
                <w:rFonts w:hint="eastAsia" w:ascii="Times New Roman" w:hAnsi="Times New Roman" w:cs="Times New Roman"/>
                <w:color w:val="auto"/>
                <w:sz w:val="21"/>
                <w:szCs w:val="21"/>
                <w:highlight w:val="none"/>
                <w:lang w:val="en-US" w:eastAsia="zh-CN"/>
              </w:rPr>
              <w:t>t/a、NOx</w:t>
            </w:r>
            <w:r>
              <w:rPr>
                <w:rFonts w:hint="eastAsia" w:cs="Times New Roman"/>
                <w:color w:val="auto"/>
                <w:sz w:val="21"/>
                <w:szCs w:val="21"/>
                <w:highlight w:val="none"/>
                <w:lang w:val="en-US" w:eastAsia="zh-CN"/>
              </w:rPr>
              <w:t>0.528</w:t>
            </w:r>
            <w:r>
              <w:rPr>
                <w:rFonts w:hint="eastAsia" w:ascii="Times New Roman" w:hAnsi="Times New Roman" w:cs="Times New Roman"/>
                <w:color w:val="auto"/>
                <w:sz w:val="21"/>
                <w:szCs w:val="21"/>
                <w:highlight w:val="none"/>
                <w:lang w:val="en-US" w:eastAsia="zh-CN"/>
              </w:rPr>
              <w:t>t/a</w:t>
            </w:r>
            <w:r>
              <w:rPr>
                <w:rFonts w:hint="eastAsia"/>
                <w:color w:val="auto"/>
                <w:kern w:val="2"/>
                <w:sz w:val="21"/>
                <w:szCs w:val="21"/>
                <w:highlight w:val="none"/>
                <w:vertAlign w:val="baseline"/>
                <w:lang w:val="en-US" w:eastAsia="zh-CN"/>
              </w:rPr>
              <w:t>。</w:t>
            </w:r>
          </w:p>
          <w:p w14:paraId="48DEFE24">
            <w:pPr>
              <w:pStyle w:val="3"/>
              <w:spacing w:after="0" w:line="360" w:lineRule="auto"/>
              <w:ind w:left="0" w:leftChars="0" w:firstLine="420" w:firstLineChars="200"/>
              <w:rPr>
                <w:rFonts w:hint="default"/>
                <w:color w:val="auto"/>
                <w:kern w:val="2"/>
                <w:sz w:val="21"/>
                <w:szCs w:val="21"/>
                <w:highlight w:val="none"/>
                <w:lang w:val="en-US" w:eastAsia="zh-CN"/>
              </w:rPr>
            </w:pPr>
            <w:r>
              <w:rPr>
                <w:rFonts w:hint="eastAsia"/>
                <w:color w:val="auto"/>
                <w:kern w:val="2"/>
                <w:sz w:val="21"/>
                <w:szCs w:val="21"/>
                <w:highlight w:val="none"/>
                <w:lang w:val="en-US" w:eastAsia="zh-CN"/>
              </w:rPr>
              <w:t>本项目建成后全厂颗粒物有组织排放量为0.079</w:t>
            </w:r>
            <w:r>
              <w:rPr>
                <w:rFonts w:hint="eastAsia" w:ascii="Times New Roman" w:hAnsi="Times New Roman" w:cs="Times New Roman"/>
                <w:color w:val="auto"/>
                <w:sz w:val="21"/>
                <w:szCs w:val="21"/>
                <w:highlight w:val="none"/>
                <w:lang w:val="en-US" w:eastAsia="zh-CN"/>
              </w:rPr>
              <w:t>t/a</w:t>
            </w:r>
            <w:r>
              <w:rPr>
                <w:rFonts w:hint="eastAsia"/>
                <w:color w:val="auto"/>
                <w:kern w:val="2"/>
                <w:sz w:val="21"/>
                <w:szCs w:val="21"/>
                <w:highlight w:val="none"/>
                <w:lang w:val="en-US" w:eastAsia="zh-CN"/>
              </w:rPr>
              <w:t>，</w:t>
            </w:r>
            <w:r>
              <w:rPr>
                <w:rFonts w:hint="eastAsia" w:ascii="Times New Roman" w:hAnsi="Times New Roman" w:cs="Times New Roman"/>
                <w:color w:val="auto"/>
                <w:sz w:val="21"/>
                <w:szCs w:val="21"/>
                <w:highlight w:val="none"/>
                <w:lang w:val="en-US" w:eastAsia="zh-CN"/>
              </w:rPr>
              <w:t>SO</w:t>
            </w:r>
            <w:r>
              <w:rPr>
                <w:rFonts w:hint="eastAsia" w:ascii="Times New Roman" w:hAnsi="Times New Roman" w:cs="Times New Roman"/>
                <w:color w:val="auto"/>
                <w:sz w:val="21"/>
                <w:szCs w:val="21"/>
                <w:highlight w:val="none"/>
                <w:vertAlign w:val="subscript"/>
                <w:lang w:val="en-US" w:eastAsia="zh-CN"/>
              </w:rPr>
              <w:t>2</w:t>
            </w:r>
            <w:r>
              <w:rPr>
                <w:rFonts w:hint="eastAsia"/>
                <w:color w:val="auto"/>
                <w:kern w:val="2"/>
                <w:sz w:val="21"/>
                <w:szCs w:val="21"/>
                <w:highlight w:val="none"/>
                <w:lang w:val="en-US" w:eastAsia="zh-CN"/>
              </w:rPr>
              <w:t>有组织排放量为0.044</w:t>
            </w:r>
            <w:r>
              <w:rPr>
                <w:rFonts w:hint="eastAsia" w:ascii="Times New Roman" w:hAnsi="Times New Roman" w:cs="Times New Roman"/>
                <w:color w:val="auto"/>
                <w:sz w:val="21"/>
                <w:szCs w:val="21"/>
                <w:highlight w:val="none"/>
                <w:lang w:val="en-US" w:eastAsia="zh-CN"/>
              </w:rPr>
              <w:t>t/a</w:t>
            </w:r>
            <w:r>
              <w:rPr>
                <w:rFonts w:hint="eastAsia"/>
                <w:color w:val="auto"/>
                <w:kern w:val="2"/>
                <w:sz w:val="21"/>
                <w:szCs w:val="21"/>
                <w:highlight w:val="none"/>
                <w:lang w:val="en-US" w:eastAsia="zh-CN"/>
              </w:rPr>
              <w:t>，</w:t>
            </w:r>
            <w:r>
              <w:rPr>
                <w:rFonts w:hint="eastAsia" w:ascii="Times New Roman" w:hAnsi="Times New Roman" w:cs="Times New Roman"/>
                <w:color w:val="auto"/>
                <w:sz w:val="21"/>
                <w:szCs w:val="21"/>
                <w:highlight w:val="none"/>
                <w:lang w:val="en-US" w:eastAsia="zh-CN"/>
              </w:rPr>
              <w:t>NOx</w:t>
            </w:r>
            <w:r>
              <w:rPr>
                <w:rFonts w:hint="eastAsia"/>
                <w:color w:val="auto"/>
                <w:kern w:val="2"/>
                <w:sz w:val="21"/>
                <w:szCs w:val="21"/>
                <w:highlight w:val="none"/>
                <w:lang w:val="en-US" w:eastAsia="zh-CN"/>
              </w:rPr>
              <w:t>有组织排放量为0.33</w:t>
            </w:r>
            <w:r>
              <w:rPr>
                <w:rFonts w:hint="eastAsia" w:ascii="Times New Roman" w:hAnsi="Times New Roman" w:cs="Times New Roman"/>
                <w:color w:val="auto"/>
                <w:sz w:val="21"/>
                <w:szCs w:val="21"/>
                <w:highlight w:val="none"/>
                <w:lang w:val="en-US" w:eastAsia="zh-CN"/>
              </w:rPr>
              <w:t>t/a，</w:t>
            </w:r>
          </w:p>
          <w:p w14:paraId="37B45351">
            <w:pPr>
              <w:pStyle w:val="3"/>
              <w:spacing w:after="0" w:line="360" w:lineRule="auto"/>
              <w:ind w:left="0" w:leftChars="0" w:firstLine="420" w:firstLineChars="200"/>
              <w:rPr>
                <w:rFonts w:hint="default"/>
                <w:color w:val="auto"/>
                <w:kern w:val="2"/>
                <w:sz w:val="21"/>
                <w:szCs w:val="21"/>
                <w:highlight w:val="none"/>
                <w:lang w:val="en-US" w:eastAsia="zh-CN"/>
              </w:rPr>
            </w:pPr>
            <w:r>
              <w:rPr>
                <w:rFonts w:hint="eastAsia"/>
                <w:color w:val="auto"/>
                <w:kern w:val="2"/>
                <w:sz w:val="21"/>
                <w:szCs w:val="21"/>
                <w:highlight w:val="none"/>
                <w:lang w:val="en-US" w:eastAsia="zh-CN"/>
              </w:rPr>
              <w:t>由于现有项目已拆除，不再生产，本项目建成后SO</w:t>
            </w:r>
            <w:r>
              <w:rPr>
                <w:rFonts w:hint="eastAsia"/>
                <w:color w:val="auto"/>
                <w:kern w:val="2"/>
                <w:sz w:val="21"/>
                <w:szCs w:val="21"/>
                <w:highlight w:val="none"/>
                <w:vertAlign w:val="subscript"/>
                <w:lang w:val="en-US" w:eastAsia="zh-CN"/>
              </w:rPr>
              <w:t>2</w:t>
            </w:r>
            <w:r>
              <w:rPr>
                <w:rFonts w:hint="eastAsia"/>
                <w:color w:val="auto"/>
                <w:kern w:val="2"/>
                <w:sz w:val="21"/>
                <w:szCs w:val="21"/>
                <w:highlight w:val="none"/>
                <w:lang w:val="en-US" w:eastAsia="zh-CN"/>
              </w:rPr>
              <w:t>和NOx排放量满足</w:t>
            </w:r>
            <w:r>
              <w:rPr>
                <w:rFonts w:hint="eastAsia" w:cs="Times New Roman"/>
                <w:snapToGrid w:val="0"/>
                <w:color w:val="auto"/>
                <w:sz w:val="21"/>
                <w:szCs w:val="21"/>
                <w:highlight w:val="none"/>
                <w:lang w:val="en-US" w:eastAsia="zh-CN"/>
              </w:rPr>
              <w:t>淄博奢瓷装饰材料技术有限公司现有总量指标</w:t>
            </w:r>
            <w:r>
              <w:rPr>
                <w:rFonts w:hint="eastAsia"/>
                <w:color w:val="auto"/>
                <w:kern w:val="2"/>
                <w:sz w:val="21"/>
                <w:szCs w:val="21"/>
                <w:highlight w:val="none"/>
                <w:lang w:val="en-US" w:eastAsia="zh-CN"/>
              </w:rPr>
              <w:t>，因此，还需申请污染物总量指标：颗粒物0.037t/a。</w:t>
            </w:r>
          </w:p>
          <w:p w14:paraId="71C0ABA6">
            <w:pPr>
              <w:pStyle w:val="3"/>
              <w:spacing w:after="0" w:line="360" w:lineRule="auto"/>
              <w:ind w:left="0" w:leftChars="0" w:firstLine="420" w:firstLineChars="200"/>
              <w:rPr>
                <w:rFonts w:hint="default"/>
                <w:color w:val="auto"/>
                <w:kern w:val="2"/>
                <w:sz w:val="21"/>
                <w:szCs w:val="21"/>
                <w:highlight w:val="none"/>
                <w:lang w:val="en-US" w:eastAsia="zh-CN"/>
              </w:rPr>
            </w:pPr>
            <w:r>
              <w:rPr>
                <w:rFonts w:hint="eastAsia"/>
                <w:color w:val="auto"/>
                <w:kern w:val="2"/>
                <w:sz w:val="21"/>
                <w:szCs w:val="21"/>
                <w:highlight w:val="none"/>
                <w:lang w:val="en-US" w:eastAsia="zh-CN"/>
              </w:rPr>
              <w:t>根据淄博市生态环境局《关于统筹使用“十四五”建设项目主要大气污染物总量指标的通知》（淄环函〔2021〕55号）规定，上一年度淄博市细颗粒物不达标，实行二氧化硫、氮氧化物、烟粉尘、挥发性有机物四项污染物排放总量指标2倍削减替代。该项目所需颗粒物按1：2比例替代，即需从现役污染源中调剂颗粒物0.074t/a，方可达到污染物倍量替代要求。</w:t>
            </w:r>
          </w:p>
          <w:p w14:paraId="4987C2DE">
            <w:pPr>
              <w:spacing w:line="360" w:lineRule="auto"/>
              <w:ind w:firstLine="420" w:firstLineChars="200"/>
              <w:rPr>
                <w:rFonts w:hint="eastAsia" w:ascii="Times New Roman" w:hAnsi="Times New Roman" w:eastAsia="宋体" w:cs="Times New Roman"/>
                <w:color w:val="auto"/>
                <w:kern w:val="2"/>
                <w:sz w:val="21"/>
                <w:szCs w:val="21"/>
                <w:highlight w:val="none"/>
                <w:lang w:val="en-US" w:eastAsia="zh-CN" w:bidi="ar-SA"/>
              </w:rPr>
            </w:pPr>
          </w:p>
          <w:p w14:paraId="436152D6">
            <w:pPr>
              <w:spacing w:line="360" w:lineRule="auto"/>
              <w:ind w:firstLine="420" w:firstLineChars="200"/>
              <w:rPr>
                <w:color w:val="auto"/>
              </w:rPr>
            </w:pPr>
          </w:p>
        </w:tc>
      </w:tr>
    </w:tbl>
    <w:p w14:paraId="5569964C">
      <w:pPr>
        <w:pStyle w:val="78"/>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6"/>
          <w:szCs w:val="36"/>
        </w:rPr>
        <w:br w:type="page"/>
      </w:r>
      <w:r>
        <w:rPr>
          <w:rFonts w:ascii="Times New Roman" w:hAnsi="Times New Roman" w:eastAsia="黑体"/>
          <w:snapToGrid w:val="0"/>
          <w:color w:val="auto"/>
          <w:sz w:val="30"/>
          <w:szCs w:val="30"/>
        </w:rPr>
        <w:t>四、主要环境影响和保护措施</w:t>
      </w:r>
    </w:p>
    <w:tbl>
      <w:tblPr>
        <w:tblStyle w:val="83"/>
        <w:tblpPr w:leftFromText="180" w:rightFromText="180" w:vertAnchor="text" w:tblpXSpec="right"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8178"/>
      </w:tblGrid>
      <w:tr w14:paraId="1486B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50" w:hRule="atLeast"/>
        </w:trPr>
        <w:tc>
          <w:tcPr>
            <w:tcW w:w="736" w:type="dxa"/>
            <w:vAlign w:val="center"/>
          </w:tcPr>
          <w:p w14:paraId="11B3E100">
            <w:pPr>
              <w:pStyle w:val="78"/>
              <w:adjustRightInd w:val="0"/>
              <w:snapToGrid w:val="0"/>
              <w:spacing w:before="0" w:beforeAutospacing="0" w:after="0" w:afterAutospacing="0" w:line="420" w:lineRule="exact"/>
              <w:jc w:val="center"/>
              <w:rPr>
                <w:rFonts w:ascii="Times New Roman" w:hAnsi="Times New Roman"/>
                <w:color w:val="auto"/>
                <w:kern w:val="2"/>
                <w:sz w:val="21"/>
                <w:szCs w:val="21"/>
              </w:rPr>
            </w:pPr>
            <w:r>
              <w:rPr>
                <w:rFonts w:ascii="Times New Roman" w:hAnsi="Times New Roman"/>
                <w:color w:val="auto"/>
                <w:kern w:val="2"/>
                <w:sz w:val="21"/>
                <w:szCs w:val="21"/>
              </w:rPr>
              <w:t>施工</w:t>
            </w:r>
          </w:p>
          <w:p w14:paraId="7C97458D">
            <w:pPr>
              <w:pStyle w:val="78"/>
              <w:adjustRightInd w:val="0"/>
              <w:snapToGrid w:val="0"/>
              <w:spacing w:before="0" w:beforeAutospacing="0" w:after="0" w:afterAutospacing="0" w:line="420" w:lineRule="exact"/>
              <w:jc w:val="center"/>
              <w:rPr>
                <w:rFonts w:ascii="Times New Roman" w:hAnsi="Times New Roman"/>
                <w:color w:val="auto"/>
                <w:kern w:val="2"/>
                <w:sz w:val="21"/>
                <w:szCs w:val="21"/>
              </w:rPr>
            </w:pPr>
            <w:r>
              <w:rPr>
                <w:rFonts w:ascii="Times New Roman" w:hAnsi="Times New Roman"/>
                <w:color w:val="auto"/>
                <w:kern w:val="2"/>
                <w:sz w:val="21"/>
                <w:szCs w:val="21"/>
              </w:rPr>
              <w:t>期环</w:t>
            </w:r>
          </w:p>
          <w:p w14:paraId="726447B1">
            <w:pPr>
              <w:pStyle w:val="78"/>
              <w:adjustRightInd w:val="0"/>
              <w:snapToGrid w:val="0"/>
              <w:spacing w:before="0" w:beforeAutospacing="0" w:after="0" w:afterAutospacing="0" w:line="420" w:lineRule="exact"/>
              <w:jc w:val="center"/>
              <w:rPr>
                <w:rFonts w:ascii="Times New Roman" w:hAnsi="Times New Roman"/>
                <w:color w:val="auto"/>
                <w:kern w:val="2"/>
                <w:sz w:val="21"/>
                <w:szCs w:val="21"/>
              </w:rPr>
            </w:pPr>
            <w:r>
              <w:rPr>
                <w:rFonts w:ascii="Times New Roman" w:hAnsi="Times New Roman"/>
                <w:color w:val="auto"/>
                <w:kern w:val="2"/>
                <w:sz w:val="21"/>
                <w:szCs w:val="21"/>
              </w:rPr>
              <w:t>境保</w:t>
            </w:r>
          </w:p>
          <w:p w14:paraId="2BC247F8">
            <w:pPr>
              <w:pStyle w:val="78"/>
              <w:adjustRightInd w:val="0"/>
              <w:snapToGrid w:val="0"/>
              <w:spacing w:before="0" w:beforeAutospacing="0" w:after="0" w:afterAutospacing="0" w:line="420" w:lineRule="exact"/>
              <w:jc w:val="center"/>
              <w:rPr>
                <w:rFonts w:ascii="Times New Roman" w:hAnsi="Times New Roman"/>
                <w:color w:val="auto"/>
                <w:kern w:val="2"/>
                <w:sz w:val="21"/>
                <w:szCs w:val="21"/>
              </w:rPr>
            </w:pPr>
            <w:r>
              <w:rPr>
                <w:rFonts w:ascii="Times New Roman" w:hAnsi="Times New Roman"/>
                <w:color w:val="auto"/>
                <w:kern w:val="2"/>
                <w:sz w:val="21"/>
                <w:szCs w:val="21"/>
              </w:rPr>
              <w:t>护措</w:t>
            </w:r>
          </w:p>
          <w:p w14:paraId="785F3B2C">
            <w:pPr>
              <w:pStyle w:val="78"/>
              <w:adjustRightInd w:val="0"/>
              <w:snapToGrid w:val="0"/>
              <w:spacing w:before="0" w:beforeAutospacing="0" w:after="0" w:afterAutospacing="0" w:line="420" w:lineRule="exact"/>
              <w:jc w:val="center"/>
              <w:rPr>
                <w:rFonts w:ascii="Times New Roman" w:hAnsi="Times New Roman"/>
                <w:color w:val="auto"/>
                <w:kern w:val="2"/>
                <w:sz w:val="21"/>
                <w:szCs w:val="21"/>
              </w:rPr>
            </w:pPr>
            <w:r>
              <w:rPr>
                <w:rFonts w:ascii="Times New Roman" w:hAnsi="Times New Roman"/>
                <w:color w:val="auto"/>
                <w:kern w:val="2"/>
                <w:sz w:val="21"/>
                <w:szCs w:val="21"/>
              </w:rPr>
              <w:t>施</w:t>
            </w:r>
          </w:p>
        </w:tc>
        <w:tc>
          <w:tcPr>
            <w:tcW w:w="8178" w:type="dxa"/>
            <w:vAlign w:val="center"/>
          </w:tcPr>
          <w:p w14:paraId="71E6C432">
            <w:pPr>
              <w:pStyle w:val="2"/>
              <w:adjustRightInd w:val="0"/>
              <w:snapToGrid w:val="0"/>
              <w:spacing w:line="360" w:lineRule="auto"/>
              <w:ind w:left="0" w:leftChars="0" w:firstLine="420" w:firstLineChars="200"/>
              <w:rPr>
                <w:color w:val="auto"/>
              </w:rPr>
            </w:pPr>
            <w:r>
              <w:rPr>
                <w:color w:val="auto"/>
                <w:sz w:val="21"/>
                <w:szCs w:val="21"/>
              </w:rPr>
              <w:t>本项目</w:t>
            </w:r>
            <w:r>
              <w:rPr>
                <w:rFonts w:hint="eastAsia"/>
                <w:color w:val="auto"/>
                <w:sz w:val="21"/>
                <w:szCs w:val="21"/>
                <w:lang w:val="en-US" w:eastAsia="zh-CN"/>
              </w:rPr>
              <w:t>利用现有厂房进行建设</w:t>
            </w:r>
            <w:r>
              <w:rPr>
                <w:color w:val="auto"/>
                <w:sz w:val="21"/>
                <w:szCs w:val="21"/>
              </w:rPr>
              <w:t>，施工期主要为设备安装及调试，故施工期的主要影响因素是设备调试运行时产生的机械噪声和设备安装时产生的少量固废，对周围环境影响较小，本环评不再对施工期进行环境影响分析。</w:t>
            </w:r>
          </w:p>
        </w:tc>
      </w:tr>
    </w:tbl>
    <w:p w14:paraId="79D0D438">
      <w:pPr>
        <w:adjustRightInd w:val="0"/>
        <w:snapToGrid w:val="0"/>
        <w:spacing w:line="420" w:lineRule="exact"/>
        <w:rPr>
          <w:b/>
          <w:color w:val="auto"/>
          <w:kern w:val="0"/>
          <w:sz w:val="28"/>
          <w:szCs w:val="28"/>
        </w:rPr>
        <w:sectPr>
          <w:footerReference r:id="rId5" w:type="default"/>
          <w:pgSz w:w="11907" w:h="16840"/>
          <w:pgMar w:top="1701" w:right="1531" w:bottom="2127" w:left="1531" w:header="851" w:footer="851" w:gutter="0"/>
          <w:pgNumType w:fmt="decimal"/>
          <w:cols w:space="720" w:num="1"/>
          <w:docGrid w:linePitch="312" w:charSpace="0"/>
        </w:sectPr>
      </w:pP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12807"/>
      </w:tblGrid>
      <w:tr w14:paraId="29EEC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3" w:hRule="atLeast"/>
          <w:jc w:val="center"/>
        </w:trPr>
        <w:tc>
          <w:tcPr>
            <w:tcW w:w="845" w:type="dxa"/>
            <w:vAlign w:val="center"/>
          </w:tcPr>
          <w:p w14:paraId="10D4EE6E">
            <w:pPr>
              <w:adjustRightInd w:val="0"/>
              <w:snapToGrid w:val="0"/>
              <w:spacing w:line="420" w:lineRule="exact"/>
              <w:jc w:val="center"/>
              <w:rPr>
                <w:bCs/>
                <w:color w:val="auto"/>
              </w:rPr>
            </w:pPr>
            <w:r>
              <w:rPr>
                <w:bCs/>
                <w:color w:val="auto"/>
              </w:rPr>
              <w:t>运营</w:t>
            </w:r>
          </w:p>
          <w:p w14:paraId="3049221E">
            <w:pPr>
              <w:adjustRightInd w:val="0"/>
              <w:snapToGrid w:val="0"/>
              <w:spacing w:line="420" w:lineRule="exact"/>
              <w:jc w:val="center"/>
              <w:rPr>
                <w:bCs/>
                <w:color w:val="auto"/>
              </w:rPr>
            </w:pPr>
            <w:r>
              <w:rPr>
                <w:bCs/>
                <w:color w:val="auto"/>
              </w:rPr>
              <w:t>期环</w:t>
            </w:r>
          </w:p>
          <w:p w14:paraId="7EDD118C">
            <w:pPr>
              <w:adjustRightInd w:val="0"/>
              <w:snapToGrid w:val="0"/>
              <w:spacing w:line="420" w:lineRule="exact"/>
              <w:jc w:val="center"/>
              <w:rPr>
                <w:bCs/>
                <w:color w:val="auto"/>
              </w:rPr>
            </w:pPr>
            <w:r>
              <w:rPr>
                <w:bCs/>
                <w:color w:val="auto"/>
              </w:rPr>
              <w:t>境影</w:t>
            </w:r>
          </w:p>
          <w:p w14:paraId="0E4C8C7B">
            <w:pPr>
              <w:adjustRightInd w:val="0"/>
              <w:snapToGrid w:val="0"/>
              <w:spacing w:line="420" w:lineRule="exact"/>
              <w:jc w:val="center"/>
              <w:rPr>
                <w:bCs/>
                <w:color w:val="auto"/>
              </w:rPr>
            </w:pPr>
            <w:r>
              <w:rPr>
                <w:bCs/>
                <w:color w:val="auto"/>
              </w:rPr>
              <w:t>响和</w:t>
            </w:r>
          </w:p>
          <w:p w14:paraId="15F34C6A">
            <w:pPr>
              <w:adjustRightInd w:val="0"/>
              <w:snapToGrid w:val="0"/>
              <w:spacing w:line="420" w:lineRule="exact"/>
              <w:jc w:val="center"/>
              <w:rPr>
                <w:bCs/>
                <w:color w:val="auto"/>
              </w:rPr>
            </w:pPr>
            <w:r>
              <w:rPr>
                <w:bCs/>
                <w:color w:val="auto"/>
              </w:rPr>
              <w:t>保护</w:t>
            </w:r>
          </w:p>
          <w:p w14:paraId="07CC149D">
            <w:pPr>
              <w:adjustRightInd w:val="0"/>
              <w:snapToGrid w:val="0"/>
              <w:spacing w:line="420" w:lineRule="exact"/>
              <w:jc w:val="center"/>
              <w:rPr>
                <w:color w:val="auto"/>
              </w:rPr>
            </w:pPr>
            <w:r>
              <w:rPr>
                <w:bCs/>
                <w:color w:val="auto"/>
              </w:rPr>
              <w:t>措施</w:t>
            </w:r>
          </w:p>
        </w:tc>
        <w:tc>
          <w:tcPr>
            <w:tcW w:w="12807" w:type="dxa"/>
          </w:tcPr>
          <w:p w14:paraId="126F48E6">
            <w:pPr>
              <w:pStyle w:val="381"/>
              <w:ind w:firstLine="422"/>
              <w:rPr>
                <w:b/>
                <w:bCs/>
                <w:color w:val="auto"/>
                <w:sz w:val="21"/>
              </w:rPr>
            </w:pPr>
            <w:r>
              <w:rPr>
                <w:b/>
                <w:bCs/>
                <w:color w:val="auto"/>
                <w:sz w:val="21"/>
              </w:rPr>
              <w:t>一、大气污染物</w:t>
            </w:r>
          </w:p>
          <w:p w14:paraId="1E2DCF86">
            <w:pPr>
              <w:pStyle w:val="2"/>
              <w:ind w:firstLine="422"/>
              <w:jc w:val="left"/>
              <w:rPr>
                <w:b/>
                <w:bCs/>
                <w:color w:val="auto"/>
                <w:szCs w:val="21"/>
                <w:highlight w:val="none"/>
              </w:rPr>
            </w:pPr>
            <w:r>
              <w:rPr>
                <w:b/>
                <w:bCs/>
                <w:color w:val="auto"/>
                <w:szCs w:val="21"/>
              </w:rPr>
              <w:t>（一）产排污环节、污染物及污</w:t>
            </w:r>
            <w:r>
              <w:rPr>
                <w:b/>
                <w:bCs/>
                <w:color w:val="auto"/>
                <w:szCs w:val="21"/>
                <w:highlight w:val="none"/>
              </w:rPr>
              <w:t>染治理设施</w:t>
            </w:r>
          </w:p>
          <w:p w14:paraId="332AC913">
            <w:pPr>
              <w:jc w:val="center"/>
              <w:rPr>
                <w:b/>
                <w:bCs/>
                <w:color w:val="auto"/>
                <w:highlight w:val="none"/>
              </w:rPr>
            </w:pPr>
            <w:r>
              <w:rPr>
                <w:b/>
                <w:bCs/>
                <w:color w:val="auto"/>
                <w:highlight w:val="none"/>
              </w:rPr>
              <w:t>表 4-1</w:t>
            </w:r>
            <w:r>
              <w:rPr>
                <w:rFonts w:hint="eastAsia"/>
                <w:b/>
                <w:bCs/>
                <w:color w:val="auto"/>
                <w:highlight w:val="none"/>
                <w:lang w:eastAsia="zh-CN"/>
              </w:rPr>
              <w:t>本项目建成后</w:t>
            </w:r>
            <w:r>
              <w:rPr>
                <w:b/>
                <w:bCs/>
                <w:color w:val="auto"/>
                <w:highlight w:val="none"/>
              </w:rPr>
              <w:t>废气产排污节点、污染物及污染治理设施信息表</w:t>
            </w:r>
          </w:p>
          <w:tbl>
            <w:tblPr>
              <w:tblStyle w:val="83"/>
              <w:tblW w:w="125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84"/>
              <w:gridCol w:w="312"/>
              <w:gridCol w:w="525"/>
              <w:gridCol w:w="645"/>
              <w:gridCol w:w="1029"/>
              <w:gridCol w:w="814"/>
              <w:gridCol w:w="855"/>
              <w:gridCol w:w="638"/>
              <w:gridCol w:w="787"/>
              <w:gridCol w:w="671"/>
              <w:gridCol w:w="584"/>
              <w:gridCol w:w="645"/>
              <w:gridCol w:w="1029"/>
              <w:gridCol w:w="814"/>
              <w:gridCol w:w="801"/>
              <w:gridCol w:w="1029"/>
              <w:gridCol w:w="814"/>
            </w:tblGrid>
            <w:tr w14:paraId="5E714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663" w:type="dxa"/>
                  <w:vMerge w:val="restart"/>
                  <w:vAlign w:val="center"/>
                </w:tcPr>
                <w:p w14:paraId="7553260A">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产污环节</w:t>
                  </w:r>
                </w:p>
              </w:tc>
              <w:tc>
                <w:tcPr>
                  <w:tcW w:w="356" w:type="dxa"/>
                  <w:vMerge w:val="restart"/>
                  <w:vAlign w:val="center"/>
                </w:tcPr>
                <w:p w14:paraId="3D6E417F">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排放形式</w:t>
                  </w:r>
                </w:p>
              </w:tc>
              <w:tc>
                <w:tcPr>
                  <w:tcW w:w="574" w:type="dxa"/>
                  <w:vMerge w:val="restart"/>
                  <w:vAlign w:val="center"/>
                </w:tcPr>
                <w:p w14:paraId="338C501B">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w:t>
                  </w:r>
                </w:p>
                <w:p w14:paraId="5DD78352">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种类</w:t>
                  </w:r>
                </w:p>
              </w:tc>
              <w:tc>
                <w:tcPr>
                  <w:tcW w:w="2284" w:type="dxa"/>
                  <w:gridSpan w:val="3"/>
                  <w:vAlign w:val="center"/>
                </w:tcPr>
                <w:p w14:paraId="2FDEE968">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污染物产生</w:t>
                  </w:r>
                </w:p>
              </w:tc>
              <w:tc>
                <w:tcPr>
                  <w:tcW w:w="3860" w:type="dxa"/>
                  <w:gridSpan w:val="5"/>
                  <w:vAlign w:val="center"/>
                </w:tcPr>
                <w:p w14:paraId="5D402C60">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治理设施</w:t>
                  </w:r>
                </w:p>
              </w:tc>
              <w:tc>
                <w:tcPr>
                  <w:tcW w:w="3256" w:type="dxa"/>
                  <w:gridSpan w:val="4"/>
                </w:tcPr>
                <w:p w14:paraId="32E9AB4E">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污染物排放</w:t>
                  </w:r>
                </w:p>
              </w:tc>
              <w:tc>
                <w:tcPr>
                  <w:tcW w:w="1583" w:type="dxa"/>
                  <w:gridSpan w:val="2"/>
                  <w:vAlign w:val="center"/>
                </w:tcPr>
                <w:p w14:paraId="66B105C5">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标准限值</w:t>
                  </w:r>
                </w:p>
              </w:tc>
            </w:tr>
            <w:tr w14:paraId="6B2FA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9" w:hRule="atLeast"/>
                <w:jc w:val="center"/>
              </w:trPr>
              <w:tc>
                <w:tcPr>
                  <w:tcW w:w="663" w:type="dxa"/>
                  <w:vMerge w:val="continue"/>
                  <w:vAlign w:val="center"/>
                </w:tcPr>
                <w:p w14:paraId="7B32CE34">
                  <w:pPr>
                    <w:spacing w:line="240" w:lineRule="exact"/>
                    <w:jc w:val="center"/>
                    <w:rPr>
                      <w:rFonts w:hint="default" w:ascii="Times New Roman" w:hAnsi="Times New Roman" w:cs="Times New Roman"/>
                      <w:b/>
                      <w:bCs/>
                      <w:color w:val="auto"/>
                      <w:sz w:val="18"/>
                      <w:szCs w:val="18"/>
                      <w:highlight w:val="none"/>
                    </w:rPr>
                  </w:pPr>
                </w:p>
              </w:tc>
              <w:tc>
                <w:tcPr>
                  <w:tcW w:w="356" w:type="dxa"/>
                  <w:vMerge w:val="continue"/>
                  <w:vAlign w:val="center"/>
                </w:tcPr>
                <w:p w14:paraId="2E10F0AD">
                  <w:pPr>
                    <w:spacing w:line="240" w:lineRule="exact"/>
                    <w:jc w:val="center"/>
                    <w:rPr>
                      <w:rFonts w:hint="default" w:ascii="Times New Roman" w:hAnsi="Times New Roman" w:cs="Times New Roman"/>
                      <w:b/>
                      <w:bCs/>
                      <w:color w:val="auto"/>
                      <w:sz w:val="18"/>
                      <w:szCs w:val="18"/>
                      <w:highlight w:val="none"/>
                    </w:rPr>
                  </w:pPr>
                </w:p>
              </w:tc>
              <w:tc>
                <w:tcPr>
                  <w:tcW w:w="574" w:type="dxa"/>
                  <w:vMerge w:val="continue"/>
                  <w:vAlign w:val="center"/>
                </w:tcPr>
                <w:p w14:paraId="6081B430">
                  <w:pPr>
                    <w:spacing w:line="240" w:lineRule="exact"/>
                    <w:jc w:val="center"/>
                    <w:rPr>
                      <w:rFonts w:hint="default" w:ascii="Times New Roman" w:hAnsi="Times New Roman" w:cs="Times New Roman"/>
                      <w:b/>
                      <w:bCs/>
                      <w:color w:val="auto"/>
                      <w:sz w:val="18"/>
                      <w:szCs w:val="18"/>
                      <w:highlight w:val="none"/>
                    </w:rPr>
                  </w:pPr>
                </w:p>
              </w:tc>
              <w:tc>
                <w:tcPr>
                  <w:tcW w:w="601" w:type="dxa"/>
                  <w:vAlign w:val="center"/>
                </w:tcPr>
                <w:p w14:paraId="232A32A9">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产生量（t/a）</w:t>
                  </w:r>
                </w:p>
              </w:tc>
              <w:tc>
                <w:tcPr>
                  <w:tcW w:w="870" w:type="dxa"/>
                  <w:vAlign w:val="center"/>
                </w:tcPr>
                <w:p w14:paraId="78A7A2CE">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产生浓度（mg/m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813" w:type="dxa"/>
                  <w:vAlign w:val="center"/>
                </w:tcPr>
                <w:p w14:paraId="220423AB">
                  <w:pPr>
                    <w:spacing w:line="240" w:lineRule="exact"/>
                    <w:jc w:val="center"/>
                    <w:rPr>
                      <w:rFonts w:hint="default" w:ascii="Times New Roman" w:hAnsi="Times New Roman" w:eastAsia="宋体" w:cs="Times New Roman"/>
                      <w:b/>
                      <w:bCs/>
                      <w:color w:val="auto"/>
                      <w:sz w:val="18"/>
                      <w:szCs w:val="18"/>
                      <w:highlight w:val="none"/>
                      <w:lang w:eastAsia="zh-CN"/>
                    </w:rPr>
                  </w:pPr>
                  <w:r>
                    <w:rPr>
                      <w:rFonts w:hint="default" w:ascii="Times New Roman" w:hAnsi="Times New Roman" w:cs="Times New Roman"/>
                      <w:b/>
                      <w:bCs/>
                      <w:color w:val="auto"/>
                      <w:sz w:val="18"/>
                      <w:szCs w:val="18"/>
                      <w:highlight w:val="none"/>
                      <w:lang w:eastAsia="zh-CN"/>
                    </w:rPr>
                    <w:t>产生速率（</w:t>
                  </w:r>
                  <w:r>
                    <w:rPr>
                      <w:rFonts w:hint="default" w:ascii="Times New Roman" w:hAnsi="Times New Roman" w:cs="Times New Roman"/>
                      <w:b/>
                      <w:bCs/>
                      <w:color w:val="auto"/>
                      <w:sz w:val="18"/>
                      <w:szCs w:val="18"/>
                      <w:highlight w:val="none"/>
                      <w:lang w:val="en-US" w:eastAsia="zh-CN"/>
                    </w:rPr>
                    <w:t>kg/h</w:t>
                  </w:r>
                  <w:r>
                    <w:rPr>
                      <w:rFonts w:hint="default" w:ascii="Times New Roman" w:hAnsi="Times New Roman" w:cs="Times New Roman"/>
                      <w:b/>
                      <w:bCs/>
                      <w:color w:val="auto"/>
                      <w:sz w:val="18"/>
                      <w:szCs w:val="18"/>
                      <w:highlight w:val="none"/>
                      <w:lang w:eastAsia="zh-CN"/>
                    </w:rPr>
                    <w:t>）</w:t>
                  </w:r>
                </w:p>
              </w:tc>
              <w:tc>
                <w:tcPr>
                  <w:tcW w:w="860" w:type="dxa"/>
                  <w:vAlign w:val="center"/>
                </w:tcPr>
                <w:p w14:paraId="52BEBB87">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处理能力（m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/h）</w:t>
                  </w:r>
                </w:p>
              </w:tc>
              <w:tc>
                <w:tcPr>
                  <w:tcW w:w="670" w:type="dxa"/>
                  <w:vAlign w:val="center"/>
                </w:tcPr>
                <w:p w14:paraId="72E27A76">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收集率（%）</w:t>
                  </w:r>
                </w:p>
              </w:tc>
              <w:tc>
                <w:tcPr>
                  <w:tcW w:w="888" w:type="dxa"/>
                  <w:vAlign w:val="center"/>
                </w:tcPr>
                <w:p w14:paraId="200DE28E">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治理工艺</w:t>
                  </w:r>
                </w:p>
              </w:tc>
              <w:tc>
                <w:tcPr>
                  <w:tcW w:w="714" w:type="dxa"/>
                  <w:vAlign w:val="center"/>
                </w:tcPr>
                <w:p w14:paraId="0973AFB4">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去除率（%）</w:t>
                  </w:r>
                </w:p>
              </w:tc>
              <w:tc>
                <w:tcPr>
                  <w:tcW w:w="728" w:type="dxa"/>
                  <w:vAlign w:val="center"/>
                </w:tcPr>
                <w:p w14:paraId="26B2CD9F">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是否为可行技术</w:t>
                  </w:r>
                </w:p>
              </w:tc>
              <w:tc>
                <w:tcPr>
                  <w:tcW w:w="640" w:type="dxa"/>
                  <w:vAlign w:val="center"/>
                </w:tcPr>
                <w:p w14:paraId="06B6F5DA">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排放量（t/a）</w:t>
                  </w:r>
                </w:p>
              </w:tc>
              <w:tc>
                <w:tcPr>
                  <w:tcW w:w="933" w:type="dxa"/>
                  <w:vAlign w:val="center"/>
                </w:tcPr>
                <w:p w14:paraId="1F35F36E">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排放浓度（mg/m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771" w:type="dxa"/>
                  <w:vAlign w:val="center"/>
                </w:tcPr>
                <w:p w14:paraId="0E3C58EE">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排放速率（kg/h）</w:t>
                  </w:r>
                </w:p>
              </w:tc>
              <w:tc>
                <w:tcPr>
                  <w:tcW w:w="912" w:type="dxa"/>
                  <w:vAlign w:val="center"/>
                </w:tcPr>
                <w:p w14:paraId="5895CF83">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排放时间（h）</w:t>
                  </w:r>
                </w:p>
              </w:tc>
              <w:tc>
                <w:tcPr>
                  <w:tcW w:w="870" w:type="dxa"/>
                  <w:vAlign w:val="center"/>
                </w:tcPr>
                <w:p w14:paraId="6A051188">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浓度限值（mg/m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713" w:type="dxa"/>
                  <w:vAlign w:val="center"/>
                </w:tcPr>
                <w:p w14:paraId="142F0D5A">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速率限值（kg/h）</w:t>
                  </w:r>
                </w:p>
              </w:tc>
            </w:tr>
            <w:tr w14:paraId="61F4B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663" w:type="dxa"/>
                  <w:vAlign w:val="center"/>
                </w:tcPr>
                <w:p w14:paraId="1BB09BA5">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筛分、上料、混料、装料、包装过程</w:t>
                  </w:r>
                </w:p>
              </w:tc>
              <w:tc>
                <w:tcPr>
                  <w:tcW w:w="356" w:type="dxa"/>
                  <w:vAlign w:val="center"/>
                </w:tcPr>
                <w:p w14:paraId="16804F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eastAsia="宋体" w:cs="Times New Roman"/>
                      <w:bCs/>
                      <w:color w:val="auto"/>
                      <w:kern w:val="2"/>
                      <w:sz w:val="18"/>
                      <w:szCs w:val="18"/>
                      <w:highlight w:val="none"/>
                      <w:vertAlign w:val="baseline"/>
                      <w:lang w:val="en-US" w:eastAsia="zh-CN" w:bidi="ar-SA"/>
                    </w:rPr>
                    <w:t>有组织</w:t>
                  </w:r>
                </w:p>
              </w:tc>
              <w:tc>
                <w:tcPr>
                  <w:tcW w:w="574" w:type="dxa"/>
                  <w:tcBorders>
                    <w:bottom w:val="single" w:color="auto" w:sz="2" w:space="0"/>
                  </w:tcBorders>
                  <w:shd w:val="clear" w:color="auto" w:fill="auto"/>
                  <w:vAlign w:val="center"/>
                </w:tcPr>
                <w:p w14:paraId="4747A9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eastAsia="宋体" w:cs="Times New Roman"/>
                      <w:bCs/>
                      <w:color w:val="auto"/>
                      <w:kern w:val="2"/>
                      <w:sz w:val="18"/>
                      <w:szCs w:val="18"/>
                      <w:highlight w:val="none"/>
                      <w:vertAlign w:val="baseline"/>
                      <w:lang w:val="en-US" w:eastAsia="zh-CN" w:bidi="ar-SA"/>
                    </w:rPr>
                    <w:t>颗粒物</w:t>
                  </w:r>
                </w:p>
              </w:tc>
              <w:tc>
                <w:tcPr>
                  <w:tcW w:w="601" w:type="dxa"/>
                  <w:tcBorders>
                    <w:bottom w:val="single" w:color="auto" w:sz="2" w:space="0"/>
                  </w:tcBorders>
                  <w:shd w:val="clear" w:color="auto" w:fill="auto"/>
                  <w:vAlign w:val="center"/>
                </w:tcPr>
                <w:p w14:paraId="791FA35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3.191</w:t>
                  </w:r>
                </w:p>
              </w:tc>
              <w:tc>
                <w:tcPr>
                  <w:tcW w:w="870" w:type="dxa"/>
                  <w:tcBorders>
                    <w:bottom w:val="single" w:color="auto" w:sz="2" w:space="0"/>
                  </w:tcBorders>
                  <w:shd w:val="clear" w:color="auto" w:fill="auto"/>
                  <w:vAlign w:val="center"/>
                </w:tcPr>
                <w:p w14:paraId="36558FE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73.9</w:t>
                  </w:r>
                </w:p>
              </w:tc>
              <w:tc>
                <w:tcPr>
                  <w:tcW w:w="813" w:type="dxa"/>
                  <w:tcBorders>
                    <w:bottom w:val="single" w:color="auto" w:sz="2" w:space="0"/>
                  </w:tcBorders>
                  <w:shd w:val="clear" w:color="auto" w:fill="auto"/>
                  <w:vAlign w:val="center"/>
                </w:tcPr>
                <w:p w14:paraId="165723A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w:t>
                  </w:r>
                  <w:r>
                    <w:rPr>
                      <w:rFonts w:hint="eastAsia" w:cs="Times New Roman"/>
                      <w:color w:val="auto"/>
                      <w:kern w:val="2"/>
                      <w:sz w:val="18"/>
                      <w:szCs w:val="18"/>
                      <w:highlight w:val="none"/>
                      <w:lang w:val="en-US" w:eastAsia="zh-CN" w:bidi="ar-SA"/>
                    </w:rPr>
                    <w:t>443</w:t>
                  </w:r>
                </w:p>
              </w:tc>
              <w:tc>
                <w:tcPr>
                  <w:tcW w:w="860" w:type="dxa"/>
                  <w:tcBorders>
                    <w:bottom w:val="single" w:color="auto" w:sz="2" w:space="0"/>
                  </w:tcBorders>
                  <w:shd w:val="clear" w:color="auto" w:fill="auto"/>
                  <w:vAlign w:val="center"/>
                </w:tcPr>
                <w:p w14:paraId="1C4116C4">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60</w:t>
                  </w:r>
                  <w:r>
                    <w:rPr>
                      <w:rFonts w:hint="default" w:ascii="Times New Roman" w:hAnsi="Times New Roman" w:eastAsia="宋体" w:cs="Times New Roman"/>
                      <w:color w:val="auto"/>
                      <w:sz w:val="18"/>
                      <w:szCs w:val="18"/>
                      <w:highlight w:val="none"/>
                      <w:lang w:val="en-US" w:eastAsia="zh-CN"/>
                    </w:rPr>
                    <w:t>00</w:t>
                  </w:r>
                </w:p>
              </w:tc>
              <w:tc>
                <w:tcPr>
                  <w:tcW w:w="670" w:type="dxa"/>
                  <w:tcBorders>
                    <w:bottom w:val="single" w:color="auto" w:sz="2" w:space="0"/>
                  </w:tcBorders>
                  <w:shd w:val="clear" w:color="auto" w:fill="auto"/>
                  <w:vAlign w:val="center"/>
                </w:tcPr>
                <w:p w14:paraId="7436795C">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95</w:t>
                  </w:r>
                </w:p>
              </w:tc>
              <w:tc>
                <w:tcPr>
                  <w:tcW w:w="888" w:type="dxa"/>
                  <w:shd w:val="clear" w:color="auto" w:fill="auto"/>
                  <w:vAlign w:val="center"/>
                </w:tcPr>
                <w:p w14:paraId="0C802AAB">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lang w:val="en-US" w:eastAsia="zh-CN"/>
                    </w:rPr>
                    <w:t>布袋除尘器</w:t>
                  </w:r>
                </w:p>
              </w:tc>
              <w:tc>
                <w:tcPr>
                  <w:tcW w:w="714" w:type="dxa"/>
                  <w:shd w:val="clear" w:color="auto" w:fill="auto"/>
                  <w:vAlign w:val="center"/>
                </w:tcPr>
                <w:p w14:paraId="7C79ED02">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9</w:t>
                  </w:r>
                  <w:r>
                    <w:rPr>
                      <w:rFonts w:hint="eastAsia" w:cs="Times New Roman"/>
                      <w:color w:val="auto"/>
                      <w:sz w:val="18"/>
                      <w:szCs w:val="18"/>
                      <w:highlight w:val="none"/>
                      <w:lang w:val="en-US" w:eastAsia="zh-CN"/>
                    </w:rPr>
                    <w:t>8</w:t>
                  </w:r>
                </w:p>
              </w:tc>
              <w:tc>
                <w:tcPr>
                  <w:tcW w:w="728" w:type="dxa"/>
                  <w:tcBorders>
                    <w:bottom w:val="single" w:color="auto" w:sz="2" w:space="0"/>
                  </w:tcBorders>
                  <w:shd w:val="clear" w:color="auto" w:fill="auto"/>
                  <w:vAlign w:val="center"/>
                </w:tcPr>
                <w:p w14:paraId="4F18EB75">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eastAsia="zh-CN"/>
                    </w:rPr>
                    <w:t>是</w:t>
                  </w:r>
                </w:p>
              </w:tc>
              <w:tc>
                <w:tcPr>
                  <w:tcW w:w="640" w:type="dxa"/>
                  <w:tcBorders>
                    <w:bottom w:val="single" w:color="auto" w:sz="2" w:space="0"/>
                  </w:tcBorders>
                  <w:shd w:val="clear" w:color="auto" w:fill="auto"/>
                  <w:vAlign w:val="center"/>
                </w:tcPr>
                <w:p w14:paraId="7C97450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0.06</w:t>
                  </w:r>
                  <w:r>
                    <w:rPr>
                      <w:rFonts w:hint="eastAsia" w:cs="Times New Roman"/>
                      <w:color w:val="auto"/>
                      <w:sz w:val="18"/>
                      <w:szCs w:val="18"/>
                      <w:highlight w:val="none"/>
                      <w:lang w:val="en-US" w:eastAsia="zh-CN"/>
                    </w:rPr>
                    <w:t>4</w:t>
                  </w:r>
                </w:p>
              </w:tc>
              <w:tc>
                <w:tcPr>
                  <w:tcW w:w="933" w:type="dxa"/>
                  <w:tcBorders>
                    <w:bottom w:val="single" w:color="auto" w:sz="2" w:space="0"/>
                  </w:tcBorders>
                  <w:shd w:val="clear" w:color="auto" w:fill="auto"/>
                  <w:vAlign w:val="center"/>
                </w:tcPr>
                <w:p w14:paraId="223B88B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1.4</w:t>
                  </w:r>
                  <w:r>
                    <w:rPr>
                      <w:rFonts w:hint="eastAsia" w:cs="Times New Roman"/>
                      <w:color w:val="auto"/>
                      <w:sz w:val="18"/>
                      <w:szCs w:val="18"/>
                      <w:highlight w:val="none"/>
                      <w:lang w:val="en-US" w:eastAsia="zh-CN"/>
                    </w:rPr>
                    <w:t>8</w:t>
                  </w:r>
                </w:p>
              </w:tc>
              <w:tc>
                <w:tcPr>
                  <w:tcW w:w="771" w:type="dxa"/>
                  <w:tcBorders>
                    <w:bottom w:val="single" w:color="auto" w:sz="2" w:space="0"/>
                  </w:tcBorders>
                  <w:shd w:val="clear" w:color="auto" w:fill="auto"/>
                  <w:vAlign w:val="center"/>
                </w:tcPr>
                <w:p w14:paraId="1F827A4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0.009</w:t>
                  </w:r>
                </w:p>
              </w:tc>
              <w:tc>
                <w:tcPr>
                  <w:tcW w:w="912" w:type="dxa"/>
                  <w:tcBorders>
                    <w:bottom w:val="single" w:color="auto" w:sz="2" w:space="0"/>
                  </w:tcBorders>
                  <w:shd w:val="clear" w:color="auto" w:fill="auto"/>
                  <w:vAlign w:val="center"/>
                </w:tcPr>
                <w:p w14:paraId="54B0B8BA">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72</w:t>
                  </w:r>
                  <w:r>
                    <w:rPr>
                      <w:rFonts w:hint="default" w:ascii="Times New Roman" w:hAnsi="Times New Roman" w:eastAsia="宋体" w:cs="Times New Roman"/>
                      <w:color w:val="auto"/>
                      <w:sz w:val="18"/>
                      <w:szCs w:val="18"/>
                      <w:highlight w:val="none"/>
                      <w:lang w:val="en-US" w:eastAsia="zh-CN"/>
                    </w:rPr>
                    <w:t>00</w:t>
                  </w:r>
                </w:p>
              </w:tc>
              <w:tc>
                <w:tcPr>
                  <w:tcW w:w="870" w:type="dxa"/>
                  <w:tcBorders>
                    <w:bottom w:val="single" w:color="auto" w:sz="2" w:space="0"/>
                  </w:tcBorders>
                  <w:vAlign w:val="center"/>
                </w:tcPr>
                <w:p w14:paraId="000C3B60">
                  <w:pPr>
                    <w:spacing w:line="240" w:lineRule="exact"/>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10</w:t>
                  </w:r>
                </w:p>
              </w:tc>
              <w:tc>
                <w:tcPr>
                  <w:tcW w:w="713" w:type="dxa"/>
                  <w:tcBorders>
                    <w:bottom w:val="single" w:color="auto" w:sz="2" w:space="0"/>
                  </w:tcBorders>
                  <w:vAlign w:val="center"/>
                </w:tcPr>
                <w:p w14:paraId="7EF0374F">
                  <w:pPr>
                    <w:spacing w:line="24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14:paraId="56F8A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6" w:hRule="atLeast"/>
                <w:jc w:val="center"/>
              </w:trPr>
              <w:tc>
                <w:tcPr>
                  <w:tcW w:w="663" w:type="dxa"/>
                  <w:vMerge w:val="restart"/>
                  <w:vAlign w:val="center"/>
                </w:tcPr>
                <w:p w14:paraId="0CC8D5F5">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烧制</w:t>
                  </w:r>
                  <w:r>
                    <w:rPr>
                      <w:rFonts w:hint="default" w:ascii="Times New Roman" w:hAnsi="Times New Roman" w:eastAsia="宋体" w:cs="Times New Roman"/>
                      <w:color w:val="auto"/>
                      <w:sz w:val="18"/>
                      <w:szCs w:val="18"/>
                      <w:highlight w:val="none"/>
                      <w:lang w:val="en-US" w:eastAsia="zh-CN"/>
                    </w:rPr>
                    <w:t>工序天然气燃烧</w:t>
                  </w:r>
                </w:p>
              </w:tc>
              <w:tc>
                <w:tcPr>
                  <w:tcW w:w="356" w:type="dxa"/>
                  <w:vMerge w:val="restart"/>
                  <w:vAlign w:val="center"/>
                </w:tcPr>
                <w:p w14:paraId="6FD04C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eastAsia="宋体" w:cs="Times New Roman"/>
                      <w:bCs/>
                      <w:color w:val="auto"/>
                      <w:kern w:val="2"/>
                      <w:sz w:val="18"/>
                      <w:szCs w:val="18"/>
                      <w:highlight w:val="none"/>
                      <w:vertAlign w:val="baseline"/>
                      <w:lang w:val="en-US" w:eastAsia="zh-CN" w:bidi="ar-SA"/>
                    </w:rPr>
                    <w:t>有组织</w:t>
                  </w:r>
                </w:p>
              </w:tc>
              <w:tc>
                <w:tcPr>
                  <w:tcW w:w="574" w:type="dxa"/>
                  <w:shd w:val="clear" w:color="auto" w:fill="auto"/>
                  <w:vAlign w:val="center"/>
                </w:tcPr>
                <w:p w14:paraId="7FDFB9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eastAsia="宋体"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141B74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0.764</w:t>
                  </w:r>
                </w:p>
              </w:tc>
              <w:tc>
                <w:tcPr>
                  <w:tcW w:w="870" w:type="dxa"/>
                  <w:shd w:val="clear" w:color="auto" w:fill="auto"/>
                  <w:vAlign w:val="center"/>
                </w:tcPr>
                <w:p w14:paraId="5435778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53.1</w:t>
                  </w:r>
                </w:p>
              </w:tc>
              <w:tc>
                <w:tcPr>
                  <w:tcW w:w="813" w:type="dxa"/>
                  <w:shd w:val="clear" w:color="auto" w:fill="auto"/>
                  <w:vAlign w:val="center"/>
                </w:tcPr>
                <w:p w14:paraId="6E72FDE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0.106</w:t>
                  </w:r>
                </w:p>
              </w:tc>
              <w:tc>
                <w:tcPr>
                  <w:tcW w:w="860" w:type="dxa"/>
                  <w:vMerge w:val="restart"/>
                  <w:vAlign w:val="center"/>
                </w:tcPr>
                <w:p w14:paraId="3F4C3832">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2000</w:t>
                  </w:r>
                </w:p>
              </w:tc>
              <w:tc>
                <w:tcPr>
                  <w:tcW w:w="670" w:type="dxa"/>
                  <w:shd w:val="clear" w:color="auto" w:fill="auto"/>
                  <w:vAlign w:val="center"/>
                </w:tcPr>
                <w:p w14:paraId="48AF1FD1">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100</w:t>
                  </w:r>
                </w:p>
              </w:tc>
              <w:tc>
                <w:tcPr>
                  <w:tcW w:w="888" w:type="dxa"/>
                  <w:shd w:val="clear" w:color="auto" w:fill="auto"/>
                  <w:vAlign w:val="center"/>
                </w:tcPr>
                <w:p w14:paraId="3A71D3B2">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lang w:val="en-US" w:eastAsia="zh-CN"/>
                    </w:rPr>
                    <w:t>布袋除尘器</w:t>
                  </w:r>
                </w:p>
              </w:tc>
              <w:tc>
                <w:tcPr>
                  <w:tcW w:w="714" w:type="dxa"/>
                  <w:shd w:val="clear" w:color="auto" w:fill="auto"/>
                  <w:vAlign w:val="center"/>
                </w:tcPr>
                <w:p w14:paraId="638A9EC8">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9</w:t>
                  </w:r>
                  <w:r>
                    <w:rPr>
                      <w:rFonts w:hint="eastAsia" w:cs="Times New Roman"/>
                      <w:color w:val="auto"/>
                      <w:sz w:val="18"/>
                      <w:szCs w:val="18"/>
                      <w:highlight w:val="none"/>
                      <w:lang w:val="en-US" w:eastAsia="zh-CN"/>
                    </w:rPr>
                    <w:t>8</w:t>
                  </w:r>
                </w:p>
              </w:tc>
              <w:tc>
                <w:tcPr>
                  <w:tcW w:w="728" w:type="dxa"/>
                  <w:shd w:val="clear" w:color="auto" w:fill="auto"/>
                  <w:vAlign w:val="center"/>
                </w:tcPr>
                <w:p w14:paraId="3F9D3E5B">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eastAsia="zh-CN"/>
                    </w:rPr>
                    <w:t>是</w:t>
                  </w:r>
                </w:p>
              </w:tc>
              <w:tc>
                <w:tcPr>
                  <w:tcW w:w="640" w:type="dxa"/>
                  <w:shd w:val="clear" w:color="auto" w:fill="auto"/>
                  <w:vAlign w:val="center"/>
                </w:tcPr>
                <w:p w14:paraId="6DDE67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0.015</w:t>
                  </w:r>
                </w:p>
              </w:tc>
              <w:tc>
                <w:tcPr>
                  <w:tcW w:w="933" w:type="dxa"/>
                  <w:shd w:val="clear" w:color="auto" w:fill="auto"/>
                  <w:vAlign w:val="center"/>
                </w:tcPr>
                <w:p w14:paraId="4E5D8C3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1.04</w:t>
                  </w:r>
                </w:p>
              </w:tc>
              <w:tc>
                <w:tcPr>
                  <w:tcW w:w="771" w:type="dxa"/>
                  <w:shd w:val="clear" w:color="auto" w:fill="auto"/>
                  <w:vAlign w:val="center"/>
                </w:tcPr>
                <w:p w14:paraId="1F6EE6F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0.002</w:t>
                  </w:r>
                </w:p>
              </w:tc>
              <w:tc>
                <w:tcPr>
                  <w:tcW w:w="912" w:type="dxa"/>
                  <w:vMerge w:val="restart"/>
                  <w:vAlign w:val="center"/>
                </w:tcPr>
                <w:p w14:paraId="04E10010">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7200</w:t>
                  </w:r>
                </w:p>
              </w:tc>
              <w:tc>
                <w:tcPr>
                  <w:tcW w:w="870" w:type="dxa"/>
                  <w:vAlign w:val="center"/>
                </w:tcPr>
                <w:p w14:paraId="265FD986">
                  <w:pPr>
                    <w:spacing w:line="24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w:t>
                  </w:r>
                </w:p>
              </w:tc>
              <w:tc>
                <w:tcPr>
                  <w:tcW w:w="713" w:type="dxa"/>
                  <w:vAlign w:val="center"/>
                </w:tcPr>
                <w:p w14:paraId="0BF64DA2">
                  <w:pPr>
                    <w:spacing w:line="24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14:paraId="6BE44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6" w:hRule="atLeast"/>
                <w:jc w:val="center"/>
              </w:trPr>
              <w:tc>
                <w:tcPr>
                  <w:tcW w:w="663" w:type="dxa"/>
                  <w:vMerge w:val="continue"/>
                  <w:vAlign w:val="center"/>
                </w:tcPr>
                <w:p w14:paraId="35AC3914">
                  <w:pPr>
                    <w:keepNext w:val="0"/>
                    <w:keepLines w:val="0"/>
                    <w:widowControl/>
                    <w:suppressLineNumbers w:val="0"/>
                    <w:jc w:val="center"/>
                    <w:textAlignment w:val="center"/>
                    <w:rPr>
                      <w:color w:val="auto"/>
                      <w:highlight w:val="none"/>
                    </w:rPr>
                  </w:pPr>
                </w:p>
              </w:tc>
              <w:tc>
                <w:tcPr>
                  <w:tcW w:w="356" w:type="dxa"/>
                  <w:vMerge w:val="continue"/>
                  <w:vAlign w:val="center"/>
                </w:tcPr>
                <w:p w14:paraId="5CBBBF81">
                  <w:pPr>
                    <w:keepNext w:val="0"/>
                    <w:keepLines w:val="0"/>
                    <w:widowControl/>
                    <w:suppressLineNumbers w:val="0"/>
                    <w:jc w:val="center"/>
                    <w:textAlignment w:val="center"/>
                    <w:rPr>
                      <w:color w:val="auto"/>
                      <w:highlight w:val="none"/>
                    </w:rPr>
                  </w:pPr>
                </w:p>
              </w:tc>
              <w:tc>
                <w:tcPr>
                  <w:tcW w:w="574" w:type="dxa"/>
                  <w:shd w:val="clear" w:color="auto" w:fill="auto"/>
                  <w:vAlign w:val="center"/>
                </w:tcPr>
                <w:p w14:paraId="5AFDFD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SO</w:t>
                  </w:r>
                  <w:r>
                    <w:rPr>
                      <w:rFonts w:hint="eastAsia" w:cs="Times New Roman"/>
                      <w:bCs/>
                      <w:color w:val="auto"/>
                      <w:kern w:val="2"/>
                      <w:sz w:val="18"/>
                      <w:szCs w:val="18"/>
                      <w:highlight w:val="none"/>
                      <w:vertAlign w:val="subscript"/>
                      <w:lang w:val="en-US" w:eastAsia="zh-CN" w:bidi="ar-SA"/>
                    </w:rPr>
                    <w:t>2</w:t>
                  </w:r>
                </w:p>
              </w:tc>
              <w:tc>
                <w:tcPr>
                  <w:tcW w:w="601" w:type="dxa"/>
                  <w:shd w:val="clear" w:color="auto" w:fill="auto"/>
                  <w:vAlign w:val="center"/>
                </w:tcPr>
                <w:p w14:paraId="7D1CBD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0.044</w:t>
                  </w:r>
                </w:p>
              </w:tc>
              <w:tc>
                <w:tcPr>
                  <w:tcW w:w="870" w:type="dxa"/>
                  <w:shd w:val="clear" w:color="auto" w:fill="auto"/>
                  <w:vAlign w:val="center"/>
                </w:tcPr>
                <w:p w14:paraId="2DD75F5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3.06</w:t>
                  </w:r>
                </w:p>
              </w:tc>
              <w:tc>
                <w:tcPr>
                  <w:tcW w:w="813" w:type="dxa"/>
                  <w:shd w:val="clear" w:color="auto" w:fill="auto"/>
                  <w:vAlign w:val="center"/>
                </w:tcPr>
                <w:p w14:paraId="6F746CE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0.006</w:t>
                  </w:r>
                </w:p>
              </w:tc>
              <w:tc>
                <w:tcPr>
                  <w:tcW w:w="860" w:type="dxa"/>
                  <w:vMerge w:val="continue"/>
                  <w:vAlign w:val="center"/>
                </w:tcPr>
                <w:p w14:paraId="0DFCF7D2">
                  <w:pPr>
                    <w:spacing w:line="240" w:lineRule="auto"/>
                    <w:jc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670" w:type="dxa"/>
                  <w:shd w:val="clear" w:color="auto" w:fill="auto"/>
                  <w:vAlign w:val="center"/>
                </w:tcPr>
                <w:p w14:paraId="53E07ECF">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100</w:t>
                  </w:r>
                </w:p>
              </w:tc>
              <w:tc>
                <w:tcPr>
                  <w:tcW w:w="888" w:type="dxa"/>
                  <w:shd w:val="clear" w:color="auto" w:fill="auto"/>
                  <w:vAlign w:val="center"/>
                </w:tcPr>
                <w:p w14:paraId="0E79A198">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714" w:type="dxa"/>
                  <w:shd w:val="clear" w:color="auto" w:fill="auto"/>
                  <w:vAlign w:val="center"/>
                </w:tcPr>
                <w:p w14:paraId="055FFBA8">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728" w:type="dxa"/>
                  <w:shd w:val="clear" w:color="auto" w:fill="auto"/>
                  <w:vAlign w:val="center"/>
                </w:tcPr>
                <w:p w14:paraId="65761281">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640" w:type="dxa"/>
                  <w:shd w:val="clear" w:color="auto" w:fill="auto"/>
                  <w:vAlign w:val="center"/>
                </w:tcPr>
                <w:p w14:paraId="5597A4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0.044</w:t>
                  </w:r>
                </w:p>
              </w:tc>
              <w:tc>
                <w:tcPr>
                  <w:tcW w:w="933" w:type="dxa"/>
                  <w:shd w:val="clear" w:color="auto" w:fill="auto"/>
                  <w:vAlign w:val="center"/>
                </w:tcPr>
                <w:p w14:paraId="74344A4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3.06</w:t>
                  </w:r>
                </w:p>
              </w:tc>
              <w:tc>
                <w:tcPr>
                  <w:tcW w:w="771" w:type="dxa"/>
                  <w:shd w:val="clear" w:color="auto" w:fill="auto"/>
                  <w:vAlign w:val="center"/>
                </w:tcPr>
                <w:p w14:paraId="788619A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0.006</w:t>
                  </w:r>
                </w:p>
              </w:tc>
              <w:tc>
                <w:tcPr>
                  <w:tcW w:w="912" w:type="dxa"/>
                  <w:vMerge w:val="continue"/>
                  <w:vAlign w:val="center"/>
                </w:tcPr>
                <w:p w14:paraId="5E747C21">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870" w:type="dxa"/>
                  <w:vAlign w:val="center"/>
                </w:tcPr>
                <w:p w14:paraId="494B5FC5">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50</w:t>
                  </w:r>
                </w:p>
              </w:tc>
              <w:tc>
                <w:tcPr>
                  <w:tcW w:w="713" w:type="dxa"/>
                  <w:vAlign w:val="center"/>
                </w:tcPr>
                <w:p w14:paraId="05E879FA">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cs="Times New Roman"/>
                      <w:color w:val="auto"/>
                      <w:sz w:val="18"/>
                      <w:szCs w:val="18"/>
                      <w:highlight w:val="none"/>
                      <w:lang w:val="en-US" w:eastAsia="zh-CN"/>
                    </w:rPr>
                    <w:t>/</w:t>
                  </w:r>
                </w:p>
              </w:tc>
            </w:tr>
            <w:tr w14:paraId="2CAAC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6" w:hRule="atLeast"/>
                <w:jc w:val="center"/>
              </w:trPr>
              <w:tc>
                <w:tcPr>
                  <w:tcW w:w="663" w:type="dxa"/>
                  <w:vMerge w:val="continue"/>
                  <w:vAlign w:val="center"/>
                </w:tcPr>
                <w:p w14:paraId="09A03397">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356" w:type="dxa"/>
                  <w:vMerge w:val="continue"/>
                  <w:vAlign w:val="center"/>
                </w:tcPr>
                <w:p w14:paraId="6AE0C25E">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574" w:type="dxa"/>
                  <w:shd w:val="clear" w:color="auto" w:fill="auto"/>
                  <w:vAlign w:val="center"/>
                </w:tcPr>
                <w:p w14:paraId="333C4F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NOx</w:t>
                  </w:r>
                </w:p>
              </w:tc>
              <w:tc>
                <w:tcPr>
                  <w:tcW w:w="601" w:type="dxa"/>
                  <w:shd w:val="clear" w:color="auto" w:fill="auto"/>
                  <w:vAlign w:val="center"/>
                </w:tcPr>
                <w:p w14:paraId="1E7B49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0.66</w:t>
                  </w:r>
                </w:p>
              </w:tc>
              <w:tc>
                <w:tcPr>
                  <w:tcW w:w="870" w:type="dxa"/>
                  <w:shd w:val="clear" w:color="auto" w:fill="auto"/>
                  <w:vAlign w:val="center"/>
                </w:tcPr>
                <w:p w14:paraId="3CF552E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45.8</w:t>
                  </w:r>
                </w:p>
              </w:tc>
              <w:tc>
                <w:tcPr>
                  <w:tcW w:w="813" w:type="dxa"/>
                  <w:shd w:val="clear" w:color="auto" w:fill="auto"/>
                  <w:vAlign w:val="center"/>
                </w:tcPr>
                <w:p w14:paraId="7470EEF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0.09</w:t>
                  </w:r>
                </w:p>
              </w:tc>
              <w:tc>
                <w:tcPr>
                  <w:tcW w:w="860" w:type="dxa"/>
                  <w:vMerge w:val="continue"/>
                  <w:vAlign w:val="center"/>
                </w:tcPr>
                <w:p w14:paraId="599CDC4F">
                  <w:pPr>
                    <w:spacing w:line="240" w:lineRule="auto"/>
                    <w:jc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670" w:type="dxa"/>
                  <w:shd w:val="clear" w:color="auto" w:fill="auto"/>
                  <w:vAlign w:val="center"/>
                </w:tcPr>
                <w:p w14:paraId="4144E280">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100</w:t>
                  </w:r>
                </w:p>
              </w:tc>
              <w:tc>
                <w:tcPr>
                  <w:tcW w:w="888" w:type="dxa"/>
                  <w:shd w:val="clear" w:color="auto" w:fill="auto"/>
                  <w:vAlign w:val="center"/>
                </w:tcPr>
                <w:p w14:paraId="0F19BAEA">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SNCR脱硝</w:t>
                  </w:r>
                </w:p>
              </w:tc>
              <w:tc>
                <w:tcPr>
                  <w:tcW w:w="714" w:type="dxa"/>
                  <w:shd w:val="clear" w:color="auto" w:fill="auto"/>
                  <w:vAlign w:val="center"/>
                </w:tcPr>
                <w:p w14:paraId="4D5A1CB5">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50</w:t>
                  </w:r>
                </w:p>
              </w:tc>
              <w:tc>
                <w:tcPr>
                  <w:tcW w:w="728" w:type="dxa"/>
                  <w:shd w:val="clear" w:color="auto" w:fill="auto"/>
                  <w:vAlign w:val="center"/>
                </w:tcPr>
                <w:p w14:paraId="4F79F32A">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eastAsia="zh-CN"/>
                    </w:rPr>
                    <w:t>是</w:t>
                  </w:r>
                </w:p>
              </w:tc>
              <w:tc>
                <w:tcPr>
                  <w:tcW w:w="640" w:type="dxa"/>
                  <w:shd w:val="clear" w:color="auto" w:fill="auto"/>
                  <w:vAlign w:val="center"/>
                </w:tcPr>
                <w:p w14:paraId="44F31AE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0.33</w:t>
                  </w:r>
                </w:p>
              </w:tc>
              <w:tc>
                <w:tcPr>
                  <w:tcW w:w="933" w:type="dxa"/>
                  <w:shd w:val="clear" w:color="auto" w:fill="auto"/>
                  <w:vAlign w:val="center"/>
                </w:tcPr>
                <w:p w14:paraId="308EA96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22.9</w:t>
                  </w:r>
                </w:p>
              </w:tc>
              <w:tc>
                <w:tcPr>
                  <w:tcW w:w="771" w:type="dxa"/>
                  <w:shd w:val="clear" w:color="auto" w:fill="auto"/>
                  <w:vAlign w:val="center"/>
                </w:tcPr>
                <w:p w14:paraId="14B503D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0.046</w:t>
                  </w:r>
                </w:p>
              </w:tc>
              <w:tc>
                <w:tcPr>
                  <w:tcW w:w="912" w:type="dxa"/>
                  <w:vMerge w:val="continue"/>
                  <w:vAlign w:val="center"/>
                </w:tcPr>
                <w:p w14:paraId="68142537">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870" w:type="dxa"/>
                  <w:vAlign w:val="center"/>
                </w:tcPr>
                <w:p w14:paraId="3E64FD8D">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100</w:t>
                  </w:r>
                </w:p>
              </w:tc>
              <w:tc>
                <w:tcPr>
                  <w:tcW w:w="713" w:type="dxa"/>
                  <w:vAlign w:val="center"/>
                </w:tcPr>
                <w:p w14:paraId="7A38A28D">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cs="Times New Roman"/>
                      <w:color w:val="auto"/>
                      <w:sz w:val="18"/>
                      <w:szCs w:val="18"/>
                      <w:highlight w:val="none"/>
                      <w:lang w:val="en-US" w:eastAsia="zh-CN"/>
                    </w:rPr>
                    <w:t>/</w:t>
                  </w:r>
                </w:p>
              </w:tc>
            </w:tr>
            <w:tr w14:paraId="705AB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6" w:hRule="atLeast"/>
                <w:jc w:val="center"/>
              </w:trPr>
              <w:tc>
                <w:tcPr>
                  <w:tcW w:w="663" w:type="dxa"/>
                  <w:vMerge w:val="continue"/>
                  <w:vAlign w:val="center"/>
                </w:tcPr>
                <w:p w14:paraId="4C45A580">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356" w:type="dxa"/>
                  <w:vMerge w:val="continue"/>
                  <w:vAlign w:val="center"/>
                </w:tcPr>
                <w:p w14:paraId="11E36771">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574" w:type="dxa"/>
                  <w:shd w:val="clear" w:color="auto" w:fill="auto"/>
                  <w:vAlign w:val="center"/>
                </w:tcPr>
                <w:p w14:paraId="07AF82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氨</w:t>
                  </w:r>
                </w:p>
              </w:tc>
              <w:tc>
                <w:tcPr>
                  <w:tcW w:w="601" w:type="dxa"/>
                  <w:shd w:val="clear" w:color="auto" w:fill="auto"/>
                  <w:vAlign w:val="center"/>
                </w:tcPr>
                <w:p w14:paraId="299C1D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0.115</w:t>
                  </w:r>
                </w:p>
              </w:tc>
              <w:tc>
                <w:tcPr>
                  <w:tcW w:w="870" w:type="dxa"/>
                  <w:shd w:val="clear" w:color="auto" w:fill="auto"/>
                  <w:vAlign w:val="center"/>
                </w:tcPr>
                <w:p w14:paraId="43FAC33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8</w:t>
                  </w:r>
                </w:p>
              </w:tc>
              <w:tc>
                <w:tcPr>
                  <w:tcW w:w="813" w:type="dxa"/>
                  <w:shd w:val="clear" w:color="auto" w:fill="auto"/>
                  <w:vAlign w:val="center"/>
                </w:tcPr>
                <w:p w14:paraId="6CB8ED1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0.048</w:t>
                  </w:r>
                </w:p>
              </w:tc>
              <w:tc>
                <w:tcPr>
                  <w:tcW w:w="860" w:type="dxa"/>
                  <w:vMerge w:val="continue"/>
                  <w:vAlign w:val="center"/>
                </w:tcPr>
                <w:p w14:paraId="298A74BB">
                  <w:pPr>
                    <w:spacing w:line="240" w:lineRule="auto"/>
                    <w:jc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670" w:type="dxa"/>
                  <w:shd w:val="clear" w:color="auto" w:fill="auto"/>
                  <w:vAlign w:val="center"/>
                </w:tcPr>
                <w:p w14:paraId="67D3A5D7">
                  <w:pPr>
                    <w:spacing w:line="240" w:lineRule="auto"/>
                    <w:jc w:val="center"/>
                    <w:rPr>
                      <w:rFonts w:hint="eastAsia" w:ascii="Times New Roman" w:hAnsi="Times New Roman" w:eastAsia="宋体" w:cs="Times New Roman"/>
                      <w:bCs w:val="0"/>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w:t>
                  </w:r>
                </w:p>
              </w:tc>
              <w:tc>
                <w:tcPr>
                  <w:tcW w:w="888" w:type="dxa"/>
                  <w:shd w:val="clear" w:color="auto" w:fill="auto"/>
                  <w:vAlign w:val="center"/>
                </w:tcPr>
                <w:p w14:paraId="7F068FB6">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714" w:type="dxa"/>
                  <w:shd w:val="clear" w:color="auto" w:fill="auto"/>
                  <w:vAlign w:val="center"/>
                </w:tcPr>
                <w:p w14:paraId="3025C5FC">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728" w:type="dxa"/>
                  <w:shd w:val="clear" w:color="auto" w:fill="auto"/>
                  <w:vAlign w:val="center"/>
                </w:tcPr>
                <w:p w14:paraId="6663E2FB">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640" w:type="dxa"/>
                  <w:shd w:val="clear" w:color="auto" w:fill="auto"/>
                  <w:vAlign w:val="center"/>
                </w:tcPr>
                <w:p w14:paraId="6131E72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w:t>
                  </w:r>
                  <w:r>
                    <w:rPr>
                      <w:rFonts w:hint="eastAsia" w:cs="Times New Roman"/>
                      <w:color w:val="auto"/>
                      <w:kern w:val="2"/>
                      <w:sz w:val="18"/>
                      <w:szCs w:val="18"/>
                      <w:highlight w:val="none"/>
                      <w:lang w:val="en-US" w:eastAsia="zh-CN" w:bidi="ar-SA"/>
                    </w:rPr>
                    <w:t>115</w:t>
                  </w:r>
                </w:p>
              </w:tc>
              <w:tc>
                <w:tcPr>
                  <w:tcW w:w="933" w:type="dxa"/>
                  <w:shd w:val="clear" w:color="auto" w:fill="auto"/>
                  <w:vAlign w:val="center"/>
                </w:tcPr>
                <w:p w14:paraId="50AC833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8</w:t>
                  </w:r>
                </w:p>
              </w:tc>
              <w:tc>
                <w:tcPr>
                  <w:tcW w:w="771" w:type="dxa"/>
                  <w:shd w:val="clear" w:color="auto" w:fill="auto"/>
                  <w:vAlign w:val="center"/>
                </w:tcPr>
                <w:p w14:paraId="370F980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w:t>
                  </w:r>
                  <w:r>
                    <w:rPr>
                      <w:rFonts w:hint="eastAsia" w:cs="Times New Roman"/>
                      <w:color w:val="auto"/>
                      <w:kern w:val="2"/>
                      <w:sz w:val="18"/>
                      <w:szCs w:val="18"/>
                      <w:highlight w:val="none"/>
                      <w:lang w:val="en-US" w:eastAsia="zh-CN" w:bidi="ar-SA"/>
                    </w:rPr>
                    <w:t>048</w:t>
                  </w:r>
                  <w:r>
                    <w:rPr>
                      <w:rFonts w:hint="eastAsia" w:ascii="Times New Roman" w:hAnsi="Times New Roman" w:eastAsia="宋体" w:cs="Times New Roman"/>
                      <w:color w:val="auto"/>
                      <w:kern w:val="2"/>
                      <w:sz w:val="18"/>
                      <w:szCs w:val="18"/>
                      <w:highlight w:val="none"/>
                      <w:lang w:val="en-US" w:eastAsia="zh-CN" w:bidi="ar-SA"/>
                    </w:rPr>
                    <w:t>4</w:t>
                  </w:r>
                </w:p>
              </w:tc>
              <w:tc>
                <w:tcPr>
                  <w:tcW w:w="912" w:type="dxa"/>
                  <w:vMerge w:val="continue"/>
                  <w:vAlign w:val="center"/>
                </w:tcPr>
                <w:p w14:paraId="49F2340B">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870" w:type="dxa"/>
                  <w:vAlign w:val="center"/>
                </w:tcPr>
                <w:p w14:paraId="6E4ED0DA">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cs="Times New Roman"/>
                      <w:color w:val="auto"/>
                      <w:sz w:val="18"/>
                      <w:szCs w:val="18"/>
                      <w:highlight w:val="none"/>
                      <w:lang w:val="en-US" w:eastAsia="zh-CN"/>
                    </w:rPr>
                    <w:t>/</w:t>
                  </w:r>
                </w:p>
              </w:tc>
              <w:tc>
                <w:tcPr>
                  <w:tcW w:w="713" w:type="dxa"/>
                  <w:vAlign w:val="center"/>
                </w:tcPr>
                <w:p w14:paraId="12F281B9">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4.9</w:t>
                  </w:r>
                </w:p>
              </w:tc>
            </w:tr>
            <w:tr w14:paraId="641F6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6" w:hRule="atLeast"/>
                <w:jc w:val="center"/>
              </w:trPr>
              <w:tc>
                <w:tcPr>
                  <w:tcW w:w="663" w:type="dxa"/>
                  <w:vMerge w:val="continue"/>
                  <w:vAlign w:val="center"/>
                </w:tcPr>
                <w:p w14:paraId="78A01429">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356" w:type="dxa"/>
                  <w:vMerge w:val="continue"/>
                  <w:vAlign w:val="center"/>
                </w:tcPr>
                <w:p w14:paraId="2CEF4C47">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574" w:type="dxa"/>
                  <w:shd w:val="clear" w:color="auto" w:fill="auto"/>
                  <w:vAlign w:val="center"/>
                </w:tcPr>
                <w:p w14:paraId="63BFFE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臭气浓度</w:t>
                  </w:r>
                </w:p>
              </w:tc>
              <w:tc>
                <w:tcPr>
                  <w:tcW w:w="601" w:type="dxa"/>
                  <w:shd w:val="clear" w:color="auto" w:fill="auto"/>
                  <w:vAlign w:val="center"/>
                </w:tcPr>
                <w:p w14:paraId="756D7D6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2000（无量纲）</w:t>
                  </w:r>
                </w:p>
              </w:tc>
              <w:tc>
                <w:tcPr>
                  <w:tcW w:w="870" w:type="dxa"/>
                  <w:shd w:val="clear" w:color="auto" w:fill="auto"/>
                  <w:vAlign w:val="center"/>
                </w:tcPr>
                <w:p w14:paraId="774F033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813" w:type="dxa"/>
                  <w:shd w:val="clear" w:color="auto" w:fill="auto"/>
                  <w:vAlign w:val="center"/>
                </w:tcPr>
                <w:p w14:paraId="2CCDDA9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860" w:type="dxa"/>
                  <w:vMerge w:val="continue"/>
                  <w:vAlign w:val="center"/>
                </w:tcPr>
                <w:p w14:paraId="276FA8E8">
                  <w:pPr>
                    <w:spacing w:line="240" w:lineRule="auto"/>
                    <w:jc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670" w:type="dxa"/>
                  <w:vAlign w:val="center"/>
                </w:tcPr>
                <w:p w14:paraId="33FFF73E">
                  <w:pPr>
                    <w:spacing w:line="240" w:lineRule="auto"/>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w:t>
                  </w:r>
                </w:p>
              </w:tc>
              <w:tc>
                <w:tcPr>
                  <w:tcW w:w="888" w:type="dxa"/>
                  <w:vAlign w:val="center"/>
                </w:tcPr>
                <w:p w14:paraId="5A2649B2">
                  <w:pPr>
                    <w:spacing w:line="240" w:lineRule="auto"/>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w:t>
                  </w:r>
                </w:p>
              </w:tc>
              <w:tc>
                <w:tcPr>
                  <w:tcW w:w="714" w:type="dxa"/>
                  <w:vAlign w:val="center"/>
                </w:tcPr>
                <w:p w14:paraId="53537093">
                  <w:pPr>
                    <w:spacing w:line="240" w:lineRule="auto"/>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w:t>
                  </w:r>
                </w:p>
              </w:tc>
              <w:tc>
                <w:tcPr>
                  <w:tcW w:w="728" w:type="dxa"/>
                  <w:vAlign w:val="center"/>
                </w:tcPr>
                <w:p w14:paraId="4173B047">
                  <w:pPr>
                    <w:spacing w:line="240" w:lineRule="auto"/>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w:t>
                  </w:r>
                </w:p>
              </w:tc>
              <w:tc>
                <w:tcPr>
                  <w:tcW w:w="640" w:type="dxa"/>
                  <w:vAlign w:val="center"/>
                </w:tcPr>
                <w:p w14:paraId="2C53C597">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2000（无量纲）</w:t>
                  </w:r>
                </w:p>
              </w:tc>
              <w:tc>
                <w:tcPr>
                  <w:tcW w:w="933" w:type="dxa"/>
                  <w:vAlign w:val="center"/>
                </w:tcPr>
                <w:p w14:paraId="5C6CA7E9">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w:t>
                  </w:r>
                </w:p>
              </w:tc>
              <w:tc>
                <w:tcPr>
                  <w:tcW w:w="771" w:type="dxa"/>
                  <w:vAlign w:val="center"/>
                </w:tcPr>
                <w:p w14:paraId="2FCAD773">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w:t>
                  </w:r>
                </w:p>
              </w:tc>
              <w:tc>
                <w:tcPr>
                  <w:tcW w:w="912" w:type="dxa"/>
                  <w:vMerge w:val="continue"/>
                  <w:vAlign w:val="center"/>
                </w:tcPr>
                <w:p w14:paraId="242D2B5C">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870" w:type="dxa"/>
                  <w:vAlign w:val="center"/>
                </w:tcPr>
                <w:p w14:paraId="6D3E0959">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2000（无量纲）</w:t>
                  </w:r>
                </w:p>
              </w:tc>
              <w:tc>
                <w:tcPr>
                  <w:tcW w:w="713" w:type="dxa"/>
                  <w:vAlign w:val="center"/>
                </w:tcPr>
                <w:p w14:paraId="2DB66619">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cs="Times New Roman"/>
                      <w:color w:val="auto"/>
                      <w:sz w:val="18"/>
                      <w:szCs w:val="18"/>
                      <w:highlight w:val="none"/>
                      <w:lang w:val="en-US" w:eastAsia="zh-CN"/>
                    </w:rPr>
                    <w:t>/</w:t>
                  </w:r>
                </w:p>
              </w:tc>
            </w:tr>
            <w:tr w14:paraId="1775D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6" w:hRule="atLeast"/>
                <w:jc w:val="center"/>
              </w:trPr>
              <w:tc>
                <w:tcPr>
                  <w:tcW w:w="663" w:type="dxa"/>
                  <w:vAlign w:val="center"/>
                </w:tcPr>
                <w:p w14:paraId="770FADF5">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集气罩未收集</w:t>
                  </w:r>
                </w:p>
              </w:tc>
              <w:tc>
                <w:tcPr>
                  <w:tcW w:w="356" w:type="dxa"/>
                  <w:vAlign w:val="center"/>
                </w:tcPr>
                <w:p w14:paraId="77CA95F6">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无组织</w:t>
                  </w:r>
                </w:p>
              </w:tc>
              <w:tc>
                <w:tcPr>
                  <w:tcW w:w="574" w:type="dxa"/>
                  <w:shd w:val="clear" w:color="auto" w:fill="auto"/>
                  <w:vAlign w:val="center"/>
                </w:tcPr>
                <w:p w14:paraId="42678A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3ABA2AC4">
                  <w:pPr>
                    <w:keepNext w:val="0"/>
                    <w:keepLines w:val="0"/>
                    <w:widowControl/>
                    <w:suppressLineNumbers w:val="0"/>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0.168</w:t>
                  </w:r>
                </w:p>
              </w:tc>
              <w:tc>
                <w:tcPr>
                  <w:tcW w:w="870" w:type="dxa"/>
                  <w:shd w:val="clear" w:color="auto" w:fill="auto"/>
                  <w:vAlign w:val="center"/>
                </w:tcPr>
                <w:p w14:paraId="40066984">
                  <w:pPr>
                    <w:keepNext w:val="0"/>
                    <w:keepLines w:val="0"/>
                    <w:widowControl/>
                    <w:suppressLineNumbers w:val="0"/>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13" w:type="dxa"/>
                  <w:shd w:val="clear" w:color="auto" w:fill="auto"/>
                  <w:vAlign w:val="center"/>
                </w:tcPr>
                <w:p w14:paraId="50E9AF8E">
                  <w:pPr>
                    <w:keepNext w:val="0"/>
                    <w:keepLines w:val="0"/>
                    <w:widowControl/>
                    <w:suppressLineNumbers w:val="0"/>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60" w:type="dxa"/>
                  <w:vAlign w:val="center"/>
                </w:tcPr>
                <w:p w14:paraId="6274C65A">
                  <w:pPr>
                    <w:spacing w:line="240" w:lineRule="auto"/>
                    <w:jc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w:t>
                  </w:r>
                </w:p>
              </w:tc>
              <w:tc>
                <w:tcPr>
                  <w:tcW w:w="670" w:type="dxa"/>
                  <w:vAlign w:val="center"/>
                </w:tcPr>
                <w:p w14:paraId="31FF66E7">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88" w:type="dxa"/>
                  <w:vAlign w:val="center"/>
                </w:tcPr>
                <w:p w14:paraId="3727E885">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714" w:type="dxa"/>
                  <w:vAlign w:val="center"/>
                </w:tcPr>
                <w:p w14:paraId="7278C708">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728" w:type="dxa"/>
                  <w:vAlign w:val="center"/>
                </w:tcPr>
                <w:p w14:paraId="3549365E">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40" w:type="dxa"/>
                  <w:vAlign w:val="center"/>
                </w:tcPr>
                <w:p w14:paraId="1B9FE315">
                  <w:pPr>
                    <w:keepNext w:val="0"/>
                    <w:keepLines w:val="0"/>
                    <w:widowControl/>
                    <w:suppressLineNumbers w:val="0"/>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0.168</w:t>
                  </w:r>
                </w:p>
              </w:tc>
              <w:tc>
                <w:tcPr>
                  <w:tcW w:w="933" w:type="dxa"/>
                  <w:vAlign w:val="center"/>
                </w:tcPr>
                <w:p w14:paraId="5641555B">
                  <w:pPr>
                    <w:keepNext w:val="0"/>
                    <w:keepLines w:val="0"/>
                    <w:widowControl/>
                    <w:suppressLineNumbers w:val="0"/>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771" w:type="dxa"/>
                  <w:vAlign w:val="center"/>
                </w:tcPr>
                <w:p w14:paraId="215370C2">
                  <w:pPr>
                    <w:keepNext w:val="0"/>
                    <w:keepLines w:val="0"/>
                    <w:widowControl/>
                    <w:suppressLineNumbers w:val="0"/>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0.023</w:t>
                  </w:r>
                </w:p>
              </w:tc>
              <w:tc>
                <w:tcPr>
                  <w:tcW w:w="912" w:type="dxa"/>
                  <w:vAlign w:val="center"/>
                </w:tcPr>
                <w:p w14:paraId="0FD11DB1">
                  <w:pPr>
                    <w:keepNext w:val="0"/>
                    <w:keepLines w:val="0"/>
                    <w:widowControl/>
                    <w:suppressLineNumbers w:val="0"/>
                    <w:jc w:val="center"/>
                    <w:textAlignment w:val="center"/>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color w:val="auto"/>
                      <w:kern w:val="2"/>
                      <w:sz w:val="18"/>
                      <w:szCs w:val="18"/>
                      <w:highlight w:val="none"/>
                      <w:lang w:val="en-US" w:eastAsia="zh-CN" w:bidi="ar-SA"/>
                    </w:rPr>
                    <w:t>7200</w:t>
                  </w:r>
                </w:p>
              </w:tc>
              <w:tc>
                <w:tcPr>
                  <w:tcW w:w="870" w:type="dxa"/>
                  <w:vAlign w:val="center"/>
                </w:tcPr>
                <w:p w14:paraId="5C727FB1">
                  <w:pPr>
                    <w:keepNext w:val="0"/>
                    <w:keepLines w:val="0"/>
                    <w:widowControl/>
                    <w:suppressLineNumbers w:val="0"/>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713" w:type="dxa"/>
                  <w:vAlign w:val="center"/>
                </w:tcPr>
                <w:p w14:paraId="281093A1">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bl>
          <w:p w14:paraId="66869642">
            <w:pPr>
              <w:jc w:val="center"/>
              <w:rPr>
                <w:b/>
                <w:bCs/>
                <w:color w:val="FF0000"/>
                <w:highlight w:val="none"/>
              </w:rPr>
            </w:pPr>
            <w:r>
              <w:rPr>
                <w:b/>
                <w:bCs/>
                <w:color w:val="FF0000"/>
                <w:highlight w:val="none"/>
              </w:rPr>
              <w:t>表4-</w:t>
            </w:r>
            <w:r>
              <w:rPr>
                <w:rFonts w:hint="eastAsia"/>
                <w:b/>
                <w:bCs/>
                <w:color w:val="FF0000"/>
                <w:highlight w:val="none"/>
                <w:lang w:val="en-US" w:eastAsia="zh-CN"/>
              </w:rPr>
              <w:t>2</w:t>
            </w:r>
            <w:r>
              <w:rPr>
                <w:b/>
                <w:bCs/>
                <w:color w:val="FF0000"/>
                <w:highlight w:val="none"/>
              </w:rPr>
              <w:t>大气污染物排放口基本情况表</w:t>
            </w:r>
          </w:p>
          <w:p w14:paraId="69F64ADA">
            <w:pPr>
              <w:jc w:val="center"/>
              <w:rPr>
                <w:b/>
                <w:bCs/>
                <w:color w:val="FF0000"/>
                <w:highlight w:val="none"/>
              </w:rPr>
            </w:pPr>
          </w:p>
          <w:tbl>
            <w:tblPr>
              <w:tblStyle w:val="83"/>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00"/>
              <w:gridCol w:w="637"/>
              <w:gridCol w:w="577"/>
              <w:gridCol w:w="592"/>
              <w:gridCol w:w="840"/>
              <w:gridCol w:w="1519"/>
              <w:gridCol w:w="768"/>
              <w:gridCol w:w="678"/>
              <w:gridCol w:w="718"/>
              <w:gridCol w:w="935"/>
              <w:gridCol w:w="857"/>
              <w:gridCol w:w="976"/>
              <w:gridCol w:w="877"/>
              <w:gridCol w:w="819"/>
              <w:gridCol w:w="632"/>
              <w:gridCol w:w="628"/>
            </w:tblGrid>
            <w:tr w14:paraId="52660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01" w:type="dxa"/>
                  <w:vMerge w:val="restart"/>
                  <w:tcBorders>
                    <w:top w:val="single" w:color="auto" w:sz="4" w:space="0"/>
                    <w:left w:val="single" w:color="auto" w:sz="4" w:space="0"/>
                    <w:bottom w:val="single" w:color="auto" w:sz="4" w:space="0"/>
                    <w:right w:val="single" w:color="auto" w:sz="4" w:space="0"/>
                  </w:tcBorders>
                  <w:vAlign w:val="center"/>
                </w:tcPr>
                <w:p w14:paraId="0D7B27E8">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序号</w:t>
                  </w:r>
                </w:p>
              </w:tc>
              <w:tc>
                <w:tcPr>
                  <w:tcW w:w="638" w:type="dxa"/>
                  <w:vMerge w:val="restart"/>
                  <w:tcBorders>
                    <w:top w:val="single" w:color="auto" w:sz="4" w:space="0"/>
                    <w:left w:val="single" w:color="auto" w:sz="4" w:space="0"/>
                    <w:bottom w:val="single" w:color="auto" w:sz="4" w:space="0"/>
                    <w:right w:val="single" w:color="auto" w:sz="4" w:space="0"/>
                  </w:tcBorders>
                  <w:vAlign w:val="center"/>
                </w:tcPr>
                <w:p w14:paraId="772DE24E">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排放口</w:t>
                  </w:r>
                </w:p>
                <w:p w14:paraId="27F77371">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编号</w:t>
                  </w:r>
                </w:p>
              </w:tc>
              <w:tc>
                <w:tcPr>
                  <w:tcW w:w="578" w:type="dxa"/>
                  <w:vMerge w:val="restart"/>
                  <w:tcBorders>
                    <w:top w:val="single" w:color="auto" w:sz="4" w:space="0"/>
                    <w:left w:val="single" w:color="auto" w:sz="4" w:space="0"/>
                    <w:bottom w:val="single" w:color="auto" w:sz="4" w:space="0"/>
                    <w:right w:val="single" w:color="auto" w:sz="4" w:space="0"/>
                  </w:tcBorders>
                  <w:vAlign w:val="center"/>
                </w:tcPr>
                <w:p w14:paraId="6CF4FA3E">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排放口</w:t>
                  </w:r>
                </w:p>
                <w:p w14:paraId="11A7C3CD">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名称</w:t>
                  </w:r>
                </w:p>
              </w:tc>
              <w:tc>
                <w:tcPr>
                  <w:tcW w:w="593" w:type="dxa"/>
                  <w:vMerge w:val="restart"/>
                  <w:tcBorders>
                    <w:top w:val="single" w:color="auto" w:sz="4" w:space="0"/>
                    <w:left w:val="single" w:color="auto" w:sz="4" w:space="0"/>
                    <w:bottom w:val="single" w:color="auto" w:sz="4" w:space="0"/>
                    <w:right w:val="single" w:color="auto" w:sz="4" w:space="0"/>
                  </w:tcBorders>
                  <w:vAlign w:val="center"/>
                </w:tcPr>
                <w:p w14:paraId="073C57AA">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排放口</w:t>
                  </w:r>
                </w:p>
                <w:p w14:paraId="7CDC8512">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类型</w:t>
                  </w:r>
                </w:p>
              </w:tc>
              <w:tc>
                <w:tcPr>
                  <w:tcW w:w="841" w:type="dxa"/>
                  <w:vMerge w:val="restart"/>
                  <w:tcBorders>
                    <w:top w:val="single" w:color="auto" w:sz="4" w:space="0"/>
                    <w:left w:val="single" w:color="auto" w:sz="4" w:space="0"/>
                    <w:bottom w:val="single" w:color="auto" w:sz="4" w:space="0"/>
                    <w:right w:val="single" w:color="auto" w:sz="4" w:space="0"/>
                  </w:tcBorders>
                  <w:vAlign w:val="center"/>
                </w:tcPr>
                <w:p w14:paraId="0C560BAE">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污染物种类</w:t>
                  </w:r>
                </w:p>
              </w:tc>
              <w:tc>
                <w:tcPr>
                  <w:tcW w:w="1520" w:type="dxa"/>
                  <w:vMerge w:val="restart"/>
                  <w:tcBorders>
                    <w:top w:val="single" w:color="auto" w:sz="4" w:space="0"/>
                    <w:left w:val="single" w:color="auto" w:sz="4" w:space="0"/>
                    <w:right w:val="single" w:color="auto" w:sz="4" w:space="0"/>
                  </w:tcBorders>
                  <w:vAlign w:val="center"/>
                </w:tcPr>
                <w:p w14:paraId="7E96FAEA">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排放口地理坐标</w:t>
                  </w:r>
                </w:p>
              </w:tc>
              <w:tc>
                <w:tcPr>
                  <w:tcW w:w="768" w:type="dxa"/>
                  <w:vMerge w:val="restart"/>
                  <w:tcBorders>
                    <w:top w:val="single" w:color="auto" w:sz="4" w:space="0"/>
                    <w:left w:val="single" w:color="auto" w:sz="4" w:space="0"/>
                    <w:bottom w:val="single" w:color="auto" w:sz="4" w:space="0"/>
                    <w:right w:val="single" w:color="auto" w:sz="4" w:space="0"/>
                  </w:tcBorders>
                  <w:vAlign w:val="center"/>
                </w:tcPr>
                <w:p w14:paraId="50E867F6">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排气筒高度（m）</w:t>
                  </w:r>
                </w:p>
              </w:tc>
              <w:tc>
                <w:tcPr>
                  <w:tcW w:w="678" w:type="dxa"/>
                  <w:vMerge w:val="restart"/>
                  <w:tcBorders>
                    <w:top w:val="single" w:color="auto" w:sz="4" w:space="0"/>
                    <w:left w:val="single" w:color="auto" w:sz="4" w:space="0"/>
                    <w:bottom w:val="single" w:color="auto" w:sz="4" w:space="0"/>
                    <w:right w:val="single" w:color="auto" w:sz="4" w:space="0"/>
                  </w:tcBorders>
                  <w:vAlign w:val="center"/>
                </w:tcPr>
                <w:p w14:paraId="7AA2A71B">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排气筒出口内径（m）</w:t>
                  </w:r>
                </w:p>
              </w:tc>
              <w:tc>
                <w:tcPr>
                  <w:tcW w:w="718" w:type="dxa"/>
                  <w:vMerge w:val="restart"/>
                  <w:tcBorders>
                    <w:top w:val="single" w:color="auto" w:sz="4" w:space="0"/>
                    <w:left w:val="single" w:color="auto" w:sz="4" w:space="0"/>
                    <w:bottom w:val="single" w:color="auto" w:sz="4" w:space="0"/>
                    <w:right w:val="single" w:color="auto" w:sz="4" w:space="0"/>
                  </w:tcBorders>
                  <w:vAlign w:val="center"/>
                </w:tcPr>
                <w:p w14:paraId="23341755">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排气</w:t>
                  </w:r>
                </w:p>
                <w:p w14:paraId="0FD491B8">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温度（℃）</w:t>
                  </w:r>
                </w:p>
              </w:tc>
              <w:tc>
                <w:tcPr>
                  <w:tcW w:w="935" w:type="dxa"/>
                  <w:vMerge w:val="restart"/>
                  <w:tcBorders>
                    <w:top w:val="single" w:color="auto" w:sz="4" w:space="0"/>
                    <w:left w:val="single" w:color="auto" w:sz="4" w:space="0"/>
                    <w:bottom w:val="single" w:color="auto" w:sz="4" w:space="0"/>
                    <w:right w:val="single" w:color="auto" w:sz="4" w:space="0"/>
                  </w:tcBorders>
                  <w:vAlign w:val="center"/>
                </w:tcPr>
                <w:p w14:paraId="7203AFD8">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废气排放量（m</w:t>
                  </w:r>
                  <w:r>
                    <w:rPr>
                      <w:rFonts w:hint="default" w:ascii="Times New Roman" w:hAnsi="Times New Roman" w:cs="Times New Roman"/>
                      <w:color w:val="FF0000"/>
                      <w:sz w:val="18"/>
                      <w:szCs w:val="18"/>
                      <w:highlight w:val="none"/>
                      <w:vertAlign w:val="superscript"/>
                    </w:rPr>
                    <w:t>3</w:t>
                  </w:r>
                  <w:r>
                    <w:rPr>
                      <w:rFonts w:hint="default" w:ascii="Times New Roman" w:hAnsi="Times New Roman" w:cs="Times New Roman"/>
                      <w:color w:val="FF0000"/>
                      <w:sz w:val="18"/>
                      <w:szCs w:val="18"/>
                      <w:highlight w:val="none"/>
                    </w:rPr>
                    <w:t>/h）</w:t>
                  </w:r>
                </w:p>
              </w:tc>
              <w:tc>
                <w:tcPr>
                  <w:tcW w:w="857" w:type="dxa"/>
                  <w:vMerge w:val="restart"/>
                  <w:tcBorders>
                    <w:top w:val="single" w:color="auto" w:sz="4" w:space="0"/>
                    <w:left w:val="single" w:color="auto" w:sz="4" w:space="0"/>
                    <w:bottom w:val="single" w:color="auto" w:sz="4" w:space="0"/>
                    <w:right w:val="single" w:color="auto" w:sz="4" w:space="0"/>
                  </w:tcBorders>
                  <w:vAlign w:val="center"/>
                </w:tcPr>
                <w:p w14:paraId="18F45F46">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污染物排放量（t/a）</w:t>
                  </w:r>
                </w:p>
              </w:tc>
              <w:tc>
                <w:tcPr>
                  <w:tcW w:w="970" w:type="dxa"/>
                  <w:vMerge w:val="restart"/>
                  <w:tcBorders>
                    <w:top w:val="single" w:color="auto" w:sz="4" w:space="0"/>
                    <w:left w:val="single" w:color="auto" w:sz="4" w:space="0"/>
                    <w:bottom w:val="single" w:color="auto" w:sz="4" w:space="0"/>
                    <w:right w:val="single" w:color="auto" w:sz="4" w:space="0"/>
                  </w:tcBorders>
                  <w:vAlign w:val="center"/>
                </w:tcPr>
                <w:p w14:paraId="2E1F2A2F">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污染物排放</w:t>
                  </w:r>
                </w:p>
                <w:p w14:paraId="2D1B5F85">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浓度（mg/m</w:t>
                  </w:r>
                  <w:r>
                    <w:rPr>
                      <w:rFonts w:hint="default" w:ascii="Times New Roman" w:hAnsi="Times New Roman" w:cs="Times New Roman"/>
                      <w:color w:val="FF0000"/>
                      <w:sz w:val="18"/>
                      <w:szCs w:val="18"/>
                      <w:highlight w:val="none"/>
                      <w:vertAlign w:val="superscript"/>
                    </w:rPr>
                    <w:t>3</w:t>
                  </w:r>
                  <w:r>
                    <w:rPr>
                      <w:rFonts w:hint="default" w:ascii="Times New Roman" w:hAnsi="Times New Roman" w:cs="Times New Roman"/>
                      <w:color w:val="FF0000"/>
                      <w:sz w:val="18"/>
                      <w:szCs w:val="18"/>
                      <w:highlight w:val="none"/>
                    </w:rPr>
                    <w:t>）</w:t>
                  </w:r>
                </w:p>
              </w:tc>
              <w:tc>
                <w:tcPr>
                  <w:tcW w:w="877" w:type="dxa"/>
                  <w:vMerge w:val="restart"/>
                  <w:tcBorders>
                    <w:top w:val="single" w:color="auto" w:sz="4" w:space="0"/>
                    <w:left w:val="single" w:color="auto" w:sz="4" w:space="0"/>
                    <w:bottom w:val="single" w:color="auto" w:sz="4" w:space="0"/>
                    <w:right w:val="single" w:color="auto" w:sz="4" w:space="0"/>
                  </w:tcBorders>
                  <w:vAlign w:val="center"/>
                </w:tcPr>
                <w:p w14:paraId="104E2C16">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排放速率（kg/h）</w:t>
                  </w:r>
                </w:p>
              </w:tc>
              <w:tc>
                <w:tcPr>
                  <w:tcW w:w="819" w:type="dxa"/>
                  <w:vMerge w:val="restart"/>
                  <w:tcBorders>
                    <w:top w:val="single" w:color="auto" w:sz="4" w:space="0"/>
                    <w:left w:val="single" w:color="auto" w:sz="4" w:space="0"/>
                    <w:right w:val="single" w:color="auto" w:sz="4" w:space="0"/>
                  </w:tcBorders>
                  <w:vAlign w:val="center"/>
                </w:tcPr>
                <w:p w14:paraId="73EAFE34">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持续时间</w:t>
                  </w:r>
                </w:p>
                <w:p w14:paraId="5D47E871">
                  <w:pPr>
                    <w:jc w:val="center"/>
                    <w:rPr>
                      <w:rFonts w:hint="default" w:ascii="Times New Roman" w:hAnsi="Times New Roman" w:cs="Times New Roman"/>
                      <w:color w:val="FF0000"/>
                      <w:highlight w:val="none"/>
                    </w:rPr>
                  </w:pPr>
                  <w:r>
                    <w:rPr>
                      <w:rFonts w:hint="default" w:ascii="Times New Roman" w:hAnsi="Times New Roman" w:cs="Times New Roman"/>
                      <w:color w:val="FF0000"/>
                      <w:sz w:val="18"/>
                      <w:szCs w:val="18"/>
                      <w:highlight w:val="none"/>
                    </w:rPr>
                    <w:t>（h/a）</w:t>
                  </w:r>
                </w:p>
              </w:tc>
              <w:tc>
                <w:tcPr>
                  <w:tcW w:w="1260" w:type="dxa"/>
                  <w:gridSpan w:val="2"/>
                  <w:tcBorders>
                    <w:top w:val="single" w:color="auto" w:sz="4" w:space="0"/>
                    <w:left w:val="single" w:color="auto" w:sz="4" w:space="0"/>
                    <w:bottom w:val="single" w:color="auto" w:sz="2" w:space="0"/>
                    <w:right w:val="single" w:color="auto" w:sz="4" w:space="0"/>
                  </w:tcBorders>
                  <w:vAlign w:val="center"/>
                </w:tcPr>
                <w:p w14:paraId="5D5ACDAC">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排放标准限值</w:t>
                  </w:r>
                </w:p>
              </w:tc>
            </w:tr>
            <w:tr w14:paraId="79DCE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48" w:hRule="atLeast"/>
                <w:jc w:val="center"/>
              </w:trPr>
              <w:tc>
                <w:tcPr>
                  <w:tcW w:w="401" w:type="dxa"/>
                  <w:vMerge w:val="continue"/>
                  <w:tcBorders>
                    <w:top w:val="single" w:color="auto" w:sz="4" w:space="0"/>
                    <w:left w:val="single" w:color="auto" w:sz="4" w:space="0"/>
                    <w:bottom w:val="single" w:color="auto" w:sz="4" w:space="0"/>
                    <w:right w:val="single" w:color="auto" w:sz="4" w:space="0"/>
                  </w:tcBorders>
                  <w:vAlign w:val="center"/>
                </w:tcPr>
                <w:p w14:paraId="68BE45BD">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38" w:type="dxa"/>
                  <w:vMerge w:val="continue"/>
                  <w:tcBorders>
                    <w:top w:val="single" w:color="auto" w:sz="4" w:space="0"/>
                    <w:left w:val="single" w:color="auto" w:sz="4" w:space="0"/>
                    <w:bottom w:val="single" w:color="auto" w:sz="4" w:space="0"/>
                    <w:right w:val="single" w:color="auto" w:sz="4" w:space="0"/>
                  </w:tcBorders>
                  <w:vAlign w:val="center"/>
                </w:tcPr>
                <w:p w14:paraId="37CE3A2E">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578" w:type="dxa"/>
                  <w:vMerge w:val="continue"/>
                  <w:tcBorders>
                    <w:top w:val="single" w:color="auto" w:sz="4" w:space="0"/>
                    <w:left w:val="single" w:color="auto" w:sz="4" w:space="0"/>
                    <w:bottom w:val="single" w:color="auto" w:sz="4" w:space="0"/>
                    <w:right w:val="single" w:color="auto" w:sz="4" w:space="0"/>
                  </w:tcBorders>
                  <w:vAlign w:val="center"/>
                </w:tcPr>
                <w:p w14:paraId="072FC998">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593" w:type="dxa"/>
                  <w:vMerge w:val="continue"/>
                  <w:tcBorders>
                    <w:top w:val="single" w:color="auto" w:sz="4" w:space="0"/>
                    <w:left w:val="single" w:color="auto" w:sz="4" w:space="0"/>
                    <w:bottom w:val="single" w:color="auto" w:sz="4" w:space="0"/>
                    <w:right w:val="single" w:color="auto" w:sz="4" w:space="0"/>
                  </w:tcBorders>
                  <w:vAlign w:val="center"/>
                </w:tcPr>
                <w:p w14:paraId="2CABC4B4">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841" w:type="dxa"/>
                  <w:vMerge w:val="continue"/>
                  <w:tcBorders>
                    <w:top w:val="single" w:color="auto" w:sz="4" w:space="0"/>
                    <w:left w:val="single" w:color="auto" w:sz="4" w:space="0"/>
                    <w:bottom w:val="single" w:color="auto" w:sz="4" w:space="0"/>
                    <w:right w:val="single" w:color="auto" w:sz="4" w:space="0"/>
                  </w:tcBorders>
                  <w:vAlign w:val="center"/>
                </w:tcPr>
                <w:p w14:paraId="14C163CC">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1520" w:type="dxa"/>
                  <w:vMerge w:val="continue"/>
                  <w:tcBorders>
                    <w:left w:val="single" w:color="auto" w:sz="4" w:space="0"/>
                    <w:bottom w:val="single" w:color="auto" w:sz="4" w:space="0"/>
                    <w:right w:val="single" w:color="auto" w:sz="4" w:space="0"/>
                  </w:tcBorders>
                  <w:vAlign w:val="center"/>
                </w:tcPr>
                <w:p w14:paraId="549DE5B7">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768" w:type="dxa"/>
                  <w:vMerge w:val="continue"/>
                  <w:tcBorders>
                    <w:top w:val="single" w:color="auto" w:sz="4" w:space="0"/>
                    <w:left w:val="single" w:color="auto" w:sz="4" w:space="0"/>
                    <w:bottom w:val="single" w:color="auto" w:sz="4" w:space="0"/>
                    <w:right w:val="single" w:color="auto" w:sz="4" w:space="0"/>
                  </w:tcBorders>
                  <w:vAlign w:val="center"/>
                </w:tcPr>
                <w:p w14:paraId="06CA2202">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78" w:type="dxa"/>
                  <w:vMerge w:val="continue"/>
                  <w:tcBorders>
                    <w:top w:val="single" w:color="auto" w:sz="4" w:space="0"/>
                    <w:left w:val="single" w:color="auto" w:sz="4" w:space="0"/>
                    <w:bottom w:val="single" w:color="auto" w:sz="4" w:space="0"/>
                    <w:right w:val="single" w:color="auto" w:sz="4" w:space="0"/>
                  </w:tcBorders>
                  <w:vAlign w:val="center"/>
                </w:tcPr>
                <w:p w14:paraId="456AC59C">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718" w:type="dxa"/>
                  <w:vMerge w:val="continue"/>
                  <w:tcBorders>
                    <w:top w:val="single" w:color="auto" w:sz="4" w:space="0"/>
                    <w:left w:val="single" w:color="auto" w:sz="4" w:space="0"/>
                    <w:bottom w:val="single" w:color="auto" w:sz="4" w:space="0"/>
                    <w:right w:val="single" w:color="auto" w:sz="4" w:space="0"/>
                  </w:tcBorders>
                  <w:vAlign w:val="center"/>
                </w:tcPr>
                <w:p w14:paraId="1DFD4F4F">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935" w:type="dxa"/>
                  <w:vMerge w:val="continue"/>
                  <w:tcBorders>
                    <w:top w:val="single" w:color="auto" w:sz="4" w:space="0"/>
                    <w:left w:val="single" w:color="auto" w:sz="4" w:space="0"/>
                    <w:bottom w:val="single" w:color="auto" w:sz="4" w:space="0"/>
                    <w:right w:val="single" w:color="auto" w:sz="4" w:space="0"/>
                  </w:tcBorders>
                  <w:vAlign w:val="center"/>
                </w:tcPr>
                <w:p w14:paraId="09BE05CA">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857" w:type="dxa"/>
                  <w:vMerge w:val="continue"/>
                  <w:tcBorders>
                    <w:top w:val="single" w:color="auto" w:sz="4" w:space="0"/>
                    <w:left w:val="single" w:color="auto" w:sz="4" w:space="0"/>
                    <w:bottom w:val="single" w:color="auto" w:sz="4" w:space="0"/>
                    <w:right w:val="single" w:color="auto" w:sz="4" w:space="0"/>
                  </w:tcBorders>
                  <w:vAlign w:val="center"/>
                </w:tcPr>
                <w:p w14:paraId="656D1F02">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970" w:type="dxa"/>
                  <w:vMerge w:val="continue"/>
                  <w:tcBorders>
                    <w:top w:val="single" w:color="auto" w:sz="4" w:space="0"/>
                    <w:left w:val="single" w:color="auto" w:sz="4" w:space="0"/>
                    <w:bottom w:val="single" w:color="auto" w:sz="4" w:space="0"/>
                    <w:right w:val="single" w:color="auto" w:sz="4" w:space="0"/>
                  </w:tcBorders>
                  <w:vAlign w:val="center"/>
                </w:tcPr>
                <w:p w14:paraId="0BEF6AAB">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877" w:type="dxa"/>
                  <w:vMerge w:val="continue"/>
                  <w:tcBorders>
                    <w:top w:val="single" w:color="auto" w:sz="4" w:space="0"/>
                    <w:left w:val="single" w:color="auto" w:sz="4" w:space="0"/>
                    <w:bottom w:val="single" w:color="auto" w:sz="4" w:space="0"/>
                    <w:right w:val="single" w:color="auto" w:sz="4" w:space="0"/>
                  </w:tcBorders>
                  <w:vAlign w:val="center"/>
                </w:tcPr>
                <w:p w14:paraId="2BB47555">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819" w:type="dxa"/>
                  <w:vMerge w:val="continue"/>
                  <w:tcBorders>
                    <w:left w:val="single" w:color="auto" w:sz="4" w:space="0"/>
                    <w:bottom w:val="single" w:color="auto" w:sz="4" w:space="0"/>
                    <w:right w:val="single" w:color="auto" w:sz="4" w:space="0"/>
                  </w:tcBorders>
                  <w:vAlign w:val="center"/>
                </w:tcPr>
                <w:p w14:paraId="1AA1F0AE">
                  <w:pPr>
                    <w:jc w:val="center"/>
                    <w:rPr>
                      <w:rFonts w:hint="default" w:ascii="Times New Roman" w:hAnsi="Times New Roman" w:cs="Times New Roman"/>
                      <w:color w:val="FF0000"/>
                      <w:sz w:val="18"/>
                      <w:szCs w:val="18"/>
                      <w:highlight w:val="none"/>
                    </w:rPr>
                  </w:pPr>
                </w:p>
              </w:tc>
              <w:tc>
                <w:tcPr>
                  <w:tcW w:w="632" w:type="dxa"/>
                  <w:tcBorders>
                    <w:top w:val="single" w:color="auto" w:sz="2" w:space="0"/>
                    <w:left w:val="single" w:color="auto" w:sz="4" w:space="0"/>
                    <w:bottom w:val="single" w:color="auto" w:sz="4" w:space="0"/>
                    <w:right w:val="single" w:color="auto" w:sz="2" w:space="0"/>
                  </w:tcBorders>
                  <w:vAlign w:val="center"/>
                </w:tcPr>
                <w:p w14:paraId="4EF3EBC5">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浓度</w:t>
                  </w:r>
                </w:p>
                <w:p w14:paraId="434004BF">
                  <w:pPr>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mg/m</w:t>
                  </w:r>
                  <w:r>
                    <w:rPr>
                      <w:rFonts w:hint="default" w:ascii="Times New Roman" w:hAnsi="Times New Roman" w:cs="Times New Roman"/>
                      <w:color w:val="FF0000"/>
                      <w:sz w:val="18"/>
                      <w:szCs w:val="18"/>
                      <w:highlight w:val="none"/>
                      <w:vertAlign w:val="superscript"/>
                    </w:rPr>
                    <w:t>3</w:t>
                  </w:r>
                </w:p>
              </w:tc>
              <w:tc>
                <w:tcPr>
                  <w:tcW w:w="628" w:type="dxa"/>
                  <w:tcBorders>
                    <w:top w:val="single" w:color="auto" w:sz="2" w:space="0"/>
                    <w:left w:val="single" w:color="auto" w:sz="2" w:space="0"/>
                    <w:bottom w:val="single" w:color="auto" w:sz="4" w:space="0"/>
                    <w:right w:val="single" w:color="auto" w:sz="4" w:space="0"/>
                  </w:tcBorders>
                  <w:vAlign w:val="center"/>
                </w:tcPr>
                <w:p w14:paraId="6AD6A419">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速率</w:t>
                  </w:r>
                </w:p>
                <w:p w14:paraId="5EF7E247">
                  <w:pPr>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kg/h</w:t>
                  </w:r>
                </w:p>
              </w:tc>
            </w:tr>
            <w:tr w14:paraId="22A8C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0" w:hRule="atLeast"/>
                <w:jc w:val="center"/>
              </w:trPr>
              <w:tc>
                <w:tcPr>
                  <w:tcW w:w="401" w:type="dxa"/>
                  <w:vMerge w:val="restart"/>
                  <w:tcBorders>
                    <w:top w:val="single" w:color="auto" w:sz="4" w:space="0"/>
                    <w:left w:val="single" w:color="auto" w:sz="4" w:space="0"/>
                    <w:right w:val="single" w:color="auto" w:sz="4" w:space="0"/>
                  </w:tcBorders>
                  <w:vAlign w:val="center"/>
                </w:tcPr>
                <w:p w14:paraId="4D0C4D5C">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1</w:t>
                  </w:r>
                </w:p>
              </w:tc>
              <w:tc>
                <w:tcPr>
                  <w:tcW w:w="638" w:type="dxa"/>
                  <w:vMerge w:val="restart"/>
                  <w:tcBorders>
                    <w:top w:val="single" w:color="auto" w:sz="4" w:space="0"/>
                    <w:left w:val="single" w:color="auto" w:sz="4" w:space="0"/>
                    <w:right w:val="single" w:color="auto" w:sz="4" w:space="0"/>
                  </w:tcBorders>
                  <w:vAlign w:val="center"/>
                </w:tcPr>
                <w:p w14:paraId="250FFE35">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DA001</w:t>
                  </w:r>
                </w:p>
              </w:tc>
              <w:tc>
                <w:tcPr>
                  <w:tcW w:w="578" w:type="dxa"/>
                  <w:vMerge w:val="restart"/>
                  <w:tcBorders>
                    <w:top w:val="single" w:color="auto" w:sz="4" w:space="0"/>
                    <w:left w:val="single" w:color="auto" w:sz="4" w:space="0"/>
                    <w:right w:val="single" w:color="auto" w:sz="4" w:space="0"/>
                  </w:tcBorders>
                  <w:vAlign w:val="center"/>
                </w:tcPr>
                <w:p w14:paraId="25FE8E98">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eastAsia" w:ascii="Times New Roman" w:hAnsi="Times New Roman" w:eastAsia="宋体" w:cs="Times New Roman"/>
                      <w:color w:val="FF0000"/>
                      <w:sz w:val="18"/>
                      <w:szCs w:val="18"/>
                      <w:highlight w:val="none"/>
                      <w:lang w:val="en-US" w:eastAsia="zh-CN"/>
                    </w:rPr>
                    <w:t>烧制</w:t>
                  </w:r>
                  <w:r>
                    <w:rPr>
                      <w:rFonts w:hint="default" w:ascii="Times New Roman" w:hAnsi="Times New Roman" w:cs="Times New Roman"/>
                      <w:color w:val="FF0000"/>
                      <w:sz w:val="18"/>
                      <w:szCs w:val="18"/>
                      <w:highlight w:val="none"/>
                    </w:rPr>
                    <w:t>排气筒</w:t>
                  </w:r>
                </w:p>
              </w:tc>
              <w:tc>
                <w:tcPr>
                  <w:tcW w:w="593" w:type="dxa"/>
                  <w:vMerge w:val="restart"/>
                  <w:tcBorders>
                    <w:top w:val="single" w:color="auto" w:sz="4" w:space="0"/>
                    <w:left w:val="single" w:color="auto" w:sz="4" w:space="0"/>
                    <w:right w:val="single" w:color="auto" w:sz="4" w:space="0"/>
                  </w:tcBorders>
                  <w:vAlign w:val="center"/>
                </w:tcPr>
                <w:p w14:paraId="5F907CB5">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一般排放口</w:t>
                  </w:r>
                </w:p>
              </w:tc>
              <w:tc>
                <w:tcPr>
                  <w:tcW w:w="841" w:type="dxa"/>
                  <w:tcBorders>
                    <w:top w:val="single" w:color="auto" w:sz="4" w:space="0"/>
                    <w:left w:val="single" w:color="auto" w:sz="4" w:space="0"/>
                    <w:bottom w:val="single" w:color="auto" w:sz="4" w:space="0"/>
                    <w:right w:val="single" w:color="auto" w:sz="4" w:space="0"/>
                  </w:tcBorders>
                  <w:vAlign w:val="center"/>
                </w:tcPr>
                <w:p w14:paraId="19865D6F">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颗粒物</w:t>
                  </w:r>
                </w:p>
              </w:tc>
              <w:tc>
                <w:tcPr>
                  <w:tcW w:w="1520" w:type="dxa"/>
                  <w:vMerge w:val="restart"/>
                  <w:tcBorders>
                    <w:top w:val="single" w:color="auto" w:sz="4" w:space="0"/>
                    <w:left w:val="single" w:color="auto" w:sz="4" w:space="0"/>
                    <w:right w:val="single" w:color="auto" w:sz="4" w:space="0"/>
                  </w:tcBorders>
                  <w:vAlign w:val="center"/>
                </w:tcPr>
                <w:p w14:paraId="381B7E5E">
                  <w:pPr>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东经117.962534°</w:t>
                  </w:r>
                </w:p>
                <w:p w14:paraId="5516860A">
                  <w:pPr>
                    <w:jc w:val="center"/>
                    <w:rPr>
                      <w:rFonts w:hint="default" w:ascii="Times New Roman" w:hAnsi="Times New Roman" w:cs="Times New Roman"/>
                      <w:color w:val="FF0000"/>
                      <w:highlight w:val="none"/>
                    </w:rPr>
                  </w:pPr>
                  <w:r>
                    <w:rPr>
                      <w:rFonts w:hint="default" w:ascii="Times New Roman" w:hAnsi="Times New Roman" w:cs="Times New Roman"/>
                      <w:color w:val="FF0000"/>
                      <w:sz w:val="18"/>
                      <w:szCs w:val="18"/>
                      <w:highlight w:val="none"/>
                    </w:rPr>
                    <w:t>北纬36.772683°</w:t>
                  </w:r>
                </w:p>
              </w:tc>
              <w:tc>
                <w:tcPr>
                  <w:tcW w:w="768" w:type="dxa"/>
                  <w:vMerge w:val="restart"/>
                  <w:tcBorders>
                    <w:top w:val="single" w:color="auto" w:sz="4" w:space="0"/>
                    <w:left w:val="single" w:color="auto" w:sz="4" w:space="0"/>
                    <w:right w:val="single" w:color="auto" w:sz="4" w:space="0"/>
                  </w:tcBorders>
                  <w:vAlign w:val="center"/>
                </w:tcPr>
                <w:p w14:paraId="7475FF52">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15</w:t>
                  </w:r>
                </w:p>
              </w:tc>
              <w:tc>
                <w:tcPr>
                  <w:tcW w:w="678" w:type="dxa"/>
                  <w:vMerge w:val="restart"/>
                  <w:tcBorders>
                    <w:top w:val="single" w:color="auto" w:sz="4" w:space="0"/>
                    <w:left w:val="single" w:color="auto" w:sz="4" w:space="0"/>
                    <w:right w:val="single" w:color="auto" w:sz="4" w:space="0"/>
                  </w:tcBorders>
                  <w:vAlign w:val="center"/>
                </w:tcPr>
                <w:p w14:paraId="5E4CA1D7">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0.3</w:t>
                  </w:r>
                </w:p>
              </w:tc>
              <w:tc>
                <w:tcPr>
                  <w:tcW w:w="718" w:type="dxa"/>
                  <w:vMerge w:val="restart"/>
                  <w:tcBorders>
                    <w:top w:val="single" w:color="auto" w:sz="4" w:space="0"/>
                    <w:left w:val="single" w:color="auto" w:sz="4" w:space="0"/>
                    <w:right w:val="single" w:color="auto" w:sz="4" w:space="0"/>
                  </w:tcBorders>
                  <w:vAlign w:val="center"/>
                </w:tcPr>
                <w:p w14:paraId="1308818F">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80</w:t>
                  </w:r>
                </w:p>
              </w:tc>
              <w:tc>
                <w:tcPr>
                  <w:tcW w:w="935" w:type="dxa"/>
                  <w:vMerge w:val="restart"/>
                  <w:tcBorders>
                    <w:top w:val="single" w:color="auto" w:sz="4" w:space="0"/>
                    <w:left w:val="single" w:color="auto" w:sz="4" w:space="0"/>
                    <w:right w:val="single" w:color="auto" w:sz="4" w:space="0"/>
                  </w:tcBorders>
                  <w:vAlign w:val="center"/>
                </w:tcPr>
                <w:p w14:paraId="376B62F9">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2000</w:t>
                  </w:r>
                </w:p>
              </w:tc>
              <w:tc>
                <w:tcPr>
                  <w:tcW w:w="857" w:type="dxa"/>
                  <w:tcBorders>
                    <w:top w:val="single" w:color="auto" w:sz="4" w:space="0"/>
                    <w:left w:val="single" w:color="auto" w:sz="4" w:space="0"/>
                    <w:right w:val="single" w:color="auto" w:sz="4" w:space="0"/>
                  </w:tcBorders>
                  <w:shd w:val="clear" w:color="auto" w:fill="auto"/>
                  <w:vAlign w:val="center"/>
                </w:tcPr>
                <w:p w14:paraId="155B27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0.015</w:t>
                  </w:r>
                </w:p>
              </w:tc>
              <w:tc>
                <w:tcPr>
                  <w:tcW w:w="970" w:type="dxa"/>
                  <w:tcBorders>
                    <w:top w:val="single" w:color="auto" w:sz="4" w:space="0"/>
                    <w:left w:val="single" w:color="auto" w:sz="4" w:space="0"/>
                    <w:right w:val="single" w:color="auto" w:sz="4" w:space="0"/>
                  </w:tcBorders>
                  <w:shd w:val="clear" w:color="auto" w:fill="auto"/>
                  <w:vAlign w:val="center"/>
                </w:tcPr>
                <w:p w14:paraId="372FDFF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1.04</w:t>
                  </w:r>
                </w:p>
              </w:tc>
              <w:tc>
                <w:tcPr>
                  <w:tcW w:w="877" w:type="dxa"/>
                  <w:tcBorders>
                    <w:top w:val="single" w:color="auto" w:sz="4" w:space="0"/>
                    <w:left w:val="single" w:color="auto" w:sz="4" w:space="0"/>
                    <w:right w:val="single" w:color="auto" w:sz="4" w:space="0"/>
                  </w:tcBorders>
                  <w:shd w:val="clear" w:color="auto" w:fill="auto"/>
                  <w:vAlign w:val="center"/>
                </w:tcPr>
                <w:p w14:paraId="59902C3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0.002</w:t>
                  </w:r>
                </w:p>
              </w:tc>
              <w:tc>
                <w:tcPr>
                  <w:tcW w:w="819" w:type="dxa"/>
                  <w:vMerge w:val="restart"/>
                  <w:tcBorders>
                    <w:top w:val="single" w:color="auto" w:sz="4" w:space="0"/>
                    <w:left w:val="single" w:color="auto" w:sz="4" w:space="0"/>
                    <w:right w:val="single" w:color="auto" w:sz="2" w:space="0"/>
                  </w:tcBorders>
                  <w:vAlign w:val="center"/>
                </w:tcPr>
                <w:p w14:paraId="7E9078D3">
                  <w:pPr>
                    <w:jc w:val="center"/>
                    <w:rPr>
                      <w:rFonts w:hint="default" w:ascii="Times New Roman" w:hAnsi="Times New Roman" w:cs="Times New Roman"/>
                      <w:color w:val="FF0000"/>
                      <w:sz w:val="18"/>
                      <w:szCs w:val="18"/>
                      <w:highlight w:val="none"/>
                      <w:lang w:val="en-US"/>
                    </w:rPr>
                  </w:pPr>
                  <w:r>
                    <w:rPr>
                      <w:rFonts w:hint="default" w:ascii="Times New Roman" w:hAnsi="Times New Roman" w:cs="Times New Roman"/>
                      <w:color w:val="FF0000"/>
                      <w:sz w:val="18"/>
                      <w:szCs w:val="18"/>
                      <w:highlight w:val="none"/>
                      <w:lang w:val="en-US" w:eastAsia="zh-CN"/>
                    </w:rPr>
                    <w:t>7200</w:t>
                  </w:r>
                </w:p>
              </w:tc>
              <w:tc>
                <w:tcPr>
                  <w:tcW w:w="632" w:type="dxa"/>
                  <w:tcBorders>
                    <w:top w:val="single" w:color="auto" w:sz="4" w:space="0"/>
                    <w:left w:val="single" w:color="auto" w:sz="4" w:space="0"/>
                    <w:right w:val="single" w:color="auto" w:sz="2" w:space="0"/>
                  </w:tcBorders>
                  <w:vAlign w:val="center"/>
                </w:tcPr>
                <w:p w14:paraId="0AEE3997">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10</w:t>
                  </w:r>
                </w:p>
              </w:tc>
              <w:tc>
                <w:tcPr>
                  <w:tcW w:w="628" w:type="dxa"/>
                  <w:tcBorders>
                    <w:top w:val="single" w:color="auto" w:sz="4" w:space="0"/>
                    <w:left w:val="single" w:color="auto" w:sz="2" w:space="0"/>
                    <w:right w:val="single" w:color="auto" w:sz="4" w:space="0"/>
                  </w:tcBorders>
                  <w:vAlign w:val="center"/>
                </w:tcPr>
                <w:p w14:paraId="7F09820C">
                  <w:pPr>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lang w:val="en-US" w:eastAsia="zh-CN"/>
                    </w:rPr>
                    <w:t>--</w:t>
                  </w:r>
                </w:p>
              </w:tc>
            </w:tr>
            <w:tr w14:paraId="107F7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60" w:hRule="atLeast"/>
                <w:jc w:val="center"/>
              </w:trPr>
              <w:tc>
                <w:tcPr>
                  <w:tcW w:w="401" w:type="dxa"/>
                  <w:vMerge w:val="continue"/>
                  <w:tcBorders>
                    <w:left w:val="single" w:color="auto" w:sz="4" w:space="0"/>
                    <w:right w:val="single" w:color="auto" w:sz="4" w:space="0"/>
                  </w:tcBorders>
                  <w:vAlign w:val="center"/>
                </w:tcPr>
                <w:p w14:paraId="240290A9">
                  <w:pPr>
                    <w:pStyle w:val="2"/>
                    <w:spacing w:after="0" w:line="240" w:lineRule="exact"/>
                    <w:ind w:left="0" w:leftChars="0" w:firstLine="0" w:firstLineChars="0"/>
                    <w:jc w:val="center"/>
                    <w:rPr>
                      <w:rFonts w:hint="default" w:ascii="Times New Roman" w:hAnsi="Times New Roman" w:cs="Times New Roman"/>
                      <w:color w:val="FF0000"/>
                      <w:highlight w:val="none"/>
                    </w:rPr>
                  </w:pPr>
                </w:p>
              </w:tc>
              <w:tc>
                <w:tcPr>
                  <w:tcW w:w="638" w:type="dxa"/>
                  <w:vMerge w:val="continue"/>
                  <w:tcBorders>
                    <w:left w:val="single" w:color="auto" w:sz="4" w:space="0"/>
                    <w:right w:val="single" w:color="auto" w:sz="4" w:space="0"/>
                  </w:tcBorders>
                  <w:vAlign w:val="center"/>
                </w:tcPr>
                <w:p w14:paraId="36052BB8">
                  <w:pPr>
                    <w:pStyle w:val="2"/>
                    <w:spacing w:after="0" w:line="240" w:lineRule="exact"/>
                    <w:ind w:left="0" w:leftChars="0" w:firstLine="0" w:firstLineChars="0"/>
                    <w:jc w:val="center"/>
                    <w:rPr>
                      <w:rFonts w:hint="default" w:ascii="Times New Roman" w:hAnsi="Times New Roman" w:cs="Times New Roman"/>
                      <w:color w:val="FF0000"/>
                      <w:highlight w:val="none"/>
                    </w:rPr>
                  </w:pPr>
                </w:p>
              </w:tc>
              <w:tc>
                <w:tcPr>
                  <w:tcW w:w="578" w:type="dxa"/>
                  <w:vMerge w:val="continue"/>
                  <w:tcBorders>
                    <w:left w:val="single" w:color="auto" w:sz="4" w:space="0"/>
                    <w:right w:val="single" w:color="auto" w:sz="4" w:space="0"/>
                  </w:tcBorders>
                  <w:vAlign w:val="center"/>
                </w:tcPr>
                <w:p w14:paraId="6C297187">
                  <w:pPr>
                    <w:pStyle w:val="2"/>
                    <w:spacing w:after="0" w:line="240" w:lineRule="exact"/>
                    <w:ind w:left="0" w:leftChars="0" w:firstLine="0" w:firstLineChars="0"/>
                    <w:jc w:val="center"/>
                    <w:rPr>
                      <w:rFonts w:hint="default" w:ascii="Times New Roman" w:hAnsi="Times New Roman" w:cs="Times New Roman"/>
                      <w:color w:val="FF0000"/>
                      <w:highlight w:val="none"/>
                    </w:rPr>
                  </w:pPr>
                </w:p>
              </w:tc>
              <w:tc>
                <w:tcPr>
                  <w:tcW w:w="593" w:type="dxa"/>
                  <w:vMerge w:val="continue"/>
                  <w:tcBorders>
                    <w:left w:val="single" w:color="auto" w:sz="4" w:space="0"/>
                    <w:right w:val="single" w:color="auto" w:sz="4" w:space="0"/>
                  </w:tcBorders>
                  <w:vAlign w:val="center"/>
                </w:tcPr>
                <w:p w14:paraId="151A6E8C">
                  <w:pPr>
                    <w:pStyle w:val="2"/>
                    <w:spacing w:after="0" w:line="240" w:lineRule="exact"/>
                    <w:ind w:left="0" w:leftChars="0" w:firstLine="0" w:firstLineChars="0"/>
                    <w:jc w:val="center"/>
                    <w:rPr>
                      <w:rFonts w:hint="default" w:ascii="Times New Roman" w:hAnsi="Times New Roman" w:cs="Times New Roman"/>
                      <w:color w:val="FF0000"/>
                      <w:highlight w:val="none"/>
                    </w:rPr>
                  </w:pPr>
                </w:p>
              </w:tc>
              <w:tc>
                <w:tcPr>
                  <w:tcW w:w="841" w:type="dxa"/>
                  <w:tcBorders>
                    <w:top w:val="single" w:color="auto" w:sz="4" w:space="0"/>
                    <w:left w:val="single" w:color="auto" w:sz="4" w:space="0"/>
                    <w:bottom w:val="single" w:color="auto" w:sz="4" w:space="0"/>
                    <w:right w:val="single" w:color="auto" w:sz="4" w:space="0"/>
                  </w:tcBorders>
                  <w:vAlign w:val="center"/>
                </w:tcPr>
                <w:p w14:paraId="23683582">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SO</w:t>
                  </w:r>
                  <w:r>
                    <w:rPr>
                      <w:rFonts w:hint="default" w:ascii="Times New Roman" w:hAnsi="Times New Roman" w:cs="Times New Roman"/>
                      <w:color w:val="FF0000"/>
                      <w:sz w:val="18"/>
                      <w:szCs w:val="18"/>
                      <w:highlight w:val="none"/>
                      <w:vertAlign w:val="subscript"/>
                      <w:lang w:val="en-US" w:eastAsia="zh-CN"/>
                    </w:rPr>
                    <w:t>2</w:t>
                  </w:r>
                </w:p>
              </w:tc>
              <w:tc>
                <w:tcPr>
                  <w:tcW w:w="1520" w:type="dxa"/>
                  <w:vMerge w:val="continue"/>
                  <w:tcBorders>
                    <w:left w:val="single" w:color="auto" w:sz="4" w:space="0"/>
                    <w:right w:val="single" w:color="auto" w:sz="4" w:space="0"/>
                  </w:tcBorders>
                  <w:vAlign w:val="center"/>
                </w:tcPr>
                <w:p w14:paraId="0481B13C">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768" w:type="dxa"/>
                  <w:vMerge w:val="continue"/>
                  <w:tcBorders>
                    <w:left w:val="single" w:color="auto" w:sz="4" w:space="0"/>
                    <w:right w:val="single" w:color="auto" w:sz="4" w:space="0"/>
                  </w:tcBorders>
                  <w:vAlign w:val="center"/>
                </w:tcPr>
                <w:p w14:paraId="5FEC2B71">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78" w:type="dxa"/>
                  <w:vMerge w:val="continue"/>
                  <w:tcBorders>
                    <w:left w:val="single" w:color="auto" w:sz="4" w:space="0"/>
                    <w:right w:val="single" w:color="auto" w:sz="4" w:space="0"/>
                  </w:tcBorders>
                  <w:vAlign w:val="center"/>
                </w:tcPr>
                <w:p w14:paraId="7A860BBE">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718" w:type="dxa"/>
                  <w:vMerge w:val="continue"/>
                  <w:tcBorders>
                    <w:left w:val="single" w:color="auto" w:sz="4" w:space="0"/>
                    <w:right w:val="single" w:color="auto" w:sz="4" w:space="0"/>
                  </w:tcBorders>
                  <w:vAlign w:val="center"/>
                </w:tcPr>
                <w:p w14:paraId="13B208B3">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935" w:type="dxa"/>
                  <w:vMerge w:val="continue"/>
                  <w:tcBorders>
                    <w:left w:val="single" w:color="auto" w:sz="4" w:space="0"/>
                    <w:right w:val="single" w:color="auto" w:sz="4" w:space="0"/>
                  </w:tcBorders>
                  <w:vAlign w:val="center"/>
                </w:tcPr>
                <w:p w14:paraId="51D33F92">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857" w:type="dxa"/>
                  <w:tcBorders>
                    <w:left w:val="single" w:color="auto" w:sz="4" w:space="0"/>
                    <w:right w:val="single" w:color="auto" w:sz="4" w:space="0"/>
                  </w:tcBorders>
                  <w:shd w:val="clear" w:color="auto" w:fill="auto"/>
                  <w:vAlign w:val="center"/>
                </w:tcPr>
                <w:p w14:paraId="1F478F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0.044</w:t>
                  </w:r>
                </w:p>
              </w:tc>
              <w:tc>
                <w:tcPr>
                  <w:tcW w:w="970" w:type="dxa"/>
                  <w:tcBorders>
                    <w:left w:val="single" w:color="auto" w:sz="4" w:space="0"/>
                    <w:right w:val="single" w:color="auto" w:sz="4" w:space="0"/>
                  </w:tcBorders>
                  <w:shd w:val="clear" w:color="auto" w:fill="auto"/>
                  <w:vAlign w:val="center"/>
                </w:tcPr>
                <w:p w14:paraId="14BE6D4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3.06</w:t>
                  </w:r>
                </w:p>
              </w:tc>
              <w:tc>
                <w:tcPr>
                  <w:tcW w:w="877" w:type="dxa"/>
                  <w:tcBorders>
                    <w:left w:val="single" w:color="auto" w:sz="4" w:space="0"/>
                    <w:right w:val="single" w:color="auto" w:sz="4" w:space="0"/>
                  </w:tcBorders>
                  <w:shd w:val="clear" w:color="auto" w:fill="auto"/>
                  <w:vAlign w:val="center"/>
                </w:tcPr>
                <w:p w14:paraId="785609B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0.006</w:t>
                  </w:r>
                </w:p>
              </w:tc>
              <w:tc>
                <w:tcPr>
                  <w:tcW w:w="819" w:type="dxa"/>
                  <w:vMerge w:val="continue"/>
                  <w:tcBorders>
                    <w:left w:val="single" w:color="auto" w:sz="4" w:space="0"/>
                    <w:right w:val="single" w:color="auto" w:sz="2" w:space="0"/>
                  </w:tcBorders>
                  <w:vAlign w:val="center"/>
                </w:tcPr>
                <w:p w14:paraId="012E647E">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32" w:type="dxa"/>
                  <w:tcBorders>
                    <w:left w:val="single" w:color="auto" w:sz="4" w:space="0"/>
                    <w:right w:val="single" w:color="auto" w:sz="2" w:space="0"/>
                  </w:tcBorders>
                  <w:vAlign w:val="center"/>
                </w:tcPr>
                <w:p w14:paraId="41FB658A">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50</w:t>
                  </w:r>
                </w:p>
              </w:tc>
              <w:tc>
                <w:tcPr>
                  <w:tcW w:w="628" w:type="dxa"/>
                  <w:tcBorders>
                    <w:left w:val="single" w:color="auto" w:sz="2" w:space="0"/>
                    <w:right w:val="single" w:color="auto" w:sz="4" w:space="0"/>
                  </w:tcBorders>
                  <w:vAlign w:val="center"/>
                </w:tcPr>
                <w:p w14:paraId="6C8E571C">
                  <w:pPr>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lang w:val="en-US" w:eastAsia="zh-CN"/>
                    </w:rPr>
                    <w:t>--</w:t>
                  </w:r>
                </w:p>
              </w:tc>
            </w:tr>
            <w:tr w14:paraId="572F5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4" w:hRule="atLeast"/>
                <w:jc w:val="center"/>
              </w:trPr>
              <w:tc>
                <w:tcPr>
                  <w:tcW w:w="401" w:type="dxa"/>
                  <w:vMerge w:val="continue"/>
                  <w:tcBorders>
                    <w:left w:val="single" w:color="auto" w:sz="4" w:space="0"/>
                    <w:right w:val="single" w:color="auto" w:sz="4" w:space="0"/>
                  </w:tcBorders>
                  <w:vAlign w:val="center"/>
                </w:tcPr>
                <w:p w14:paraId="533C8669">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38" w:type="dxa"/>
                  <w:vMerge w:val="continue"/>
                  <w:tcBorders>
                    <w:left w:val="single" w:color="auto" w:sz="4" w:space="0"/>
                    <w:right w:val="single" w:color="auto" w:sz="4" w:space="0"/>
                  </w:tcBorders>
                  <w:vAlign w:val="center"/>
                </w:tcPr>
                <w:p w14:paraId="7D8CB8AE">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578" w:type="dxa"/>
                  <w:vMerge w:val="continue"/>
                  <w:tcBorders>
                    <w:left w:val="single" w:color="auto" w:sz="4" w:space="0"/>
                    <w:right w:val="single" w:color="auto" w:sz="4" w:space="0"/>
                  </w:tcBorders>
                  <w:vAlign w:val="center"/>
                </w:tcPr>
                <w:p w14:paraId="03D600C2">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593" w:type="dxa"/>
                  <w:vMerge w:val="continue"/>
                  <w:tcBorders>
                    <w:left w:val="single" w:color="auto" w:sz="4" w:space="0"/>
                    <w:right w:val="single" w:color="auto" w:sz="4" w:space="0"/>
                  </w:tcBorders>
                  <w:vAlign w:val="center"/>
                </w:tcPr>
                <w:p w14:paraId="6890E694">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841" w:type="dxa"/>
                  <w:tcBorders>
                    <w:top w:val="single" w:color="auto" w:sz="4" w:space="0"/>
                    <w:left w:val="single" w:color="auto" w:sz="4" w:space="0"/>
                    <w:bottom w:val="single" w:color="auto" w:sz="4" w:space="0"/>
                    <w:right w:val="single" w:color="auto" w:sz="4" w:space="0"/>
                  </w:tcBorders>
                  <w:vAlign w:val="center"/>
                </w:tcPr>
                <w:p w14:paraId="24EAD5E4">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NOx</w:t>
                  </w:r>
                </w:p>
              </w:tc>
              <w:tc>
                <w:tcPr>
                  <w:tcW w:w="1520" w:type="dxa"/>
                  <w:vMerge w:val="continue"/>
                  <w:tcBorders>
                    <w:left w:val="single" w:color="auto" w:sz="4" w:space="0"/>
                    <w:right w:val="single" w:color="auto" w:sz="4" w:space="0"/>
                  </w:tcBorders>
                  <w:vAlign w:val="center"/>
                </w:tcPr>
                <w:p w14:paraId="198A9817">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768" w:type="dxa"/>
                  <w:vMerge w:val="continue"/>
                  <w:tcBorders>
                    <w:left w:val="single" w:color="auto" w:sz="4" w:space="0"/>
                    <w:right w:val="single" w:color="auto" w:sz="4" w:space="0"/>
                  </w:tcBorders>
                  <w:vAlign w:val="center"/>
                </w:tcPr>
                <w:p w14:paraId="78511B1A">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78" w:type="dxa"/>
                  <w:vMerge w:val="continue"/>
                  <w:tcBorders>
                    <w:left w:val="single" w:color="auto" w:sz="4" w:space="0"/>
                    <w:right w:val="single" w:color="auto" w:sz="4" w:space="0"/>
                  </w:tcBorders>
                  <w:vAlign w:val="center"/>
                </w:tcPr>
                <w:p w14:paraId="7D8DAEF1">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718" w:type="dxa"/>
                  <w:vMerge w:val="continue"/>
                  <w:tcBorders>
                    <w:left w:val="single" w:color="auto" w:sz="4" w:space="0"/>
                    <w:right w:val="single" w:color="auto" w:sz="4" w:space="0"/>
                  </w:tcBorders>
                  <w:vAlign w:val="center"/>
                </w:tcPr>
                <w:p w14:paraId="3C1EED3D">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935" w:type="dxa"/>
                  <w:vMerge w:val="continue"/>
                  <w:tcBorders>
                    <w:left w:val="single" w:color="auto" w:sz="4" w:space="0"/>
                    <w:right w:val="single" w:color="auto" w:sz="4" w:space="0"/>
                  </w:tcBorders>
                  <w:vAlign w:val="center"/>
                </w:tcPr>
                <w:p w14:paraId="00202B8F">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857" w:type="dxa"/>
                  <w:tcBorders>
                    <w:left w:val="single" w:color="auto" w:sz="4" w:space="0"/>
                    <w:bottom w:val="single" w:color="auto" w:sz="4" w:space="0"/>
                    <w:right w:val="single" w:color="auto" w:sz="4" w:space="0"/>
                  </w:tcBorders>
                  <w:shd w:val="clear" w:color="auto" w:fill="auto"/>
                  <w:vAlign w:val="center"/>
                </w:tcPr>
                <w:p w14:paraId="0A9271A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0.33</w:t>
                  </w:r>
                </w:p>
              </w:tc>
              <w:tc>
                <w:tcPr>
                  <w:tcW w:w="970" w:type="dxa"/>
                  <w:tcBorders>
                    <w:left w:val="single" w:color="auto" w:sz="4" w:space="0"/>
                    <w:bottom w:val="single" w:color="auto" w:sz="4" w:space="0"/>
                    <w:right w:val="single" w:color="auto" w:sz="4" w:space="0"/>
                  </w:tcBorders>
                  <w:shd w:val="clear" w:color="auto" w:fill="auto"/>
                  <w:vAlign w:val="center"/>
                </w:tcPr>
                <w:p w14:paraId="1A7363B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22.9</w:t>
                  </w:r>
                </w:p>
              </w:tc>
              <w:tc>
                <w:tcPr>
                  <w:tcW w:w="877" w:type="dxa"/>
                  <w:tcBorders>
                    <w:left w:val="single" w:color="auto" w:sz="4" w:space="0"/>
                    <w:bottom w:val="single" w:color="auto" w:sz="4" w:space="0"/>
                    <w:right w:val="single" w:color="auto" w:sz="4" w:space="0"/>
                  </w:tcBorders>
                  <w:shd w:val="clear" w:color="auto" w:fill="auto"/>
                  <w:vAlign w:val="center"/>
                </w:tcPr>
                <w:p w14:paraId="4123B94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0.046</w:t>
                  </w:r>
                </w:p>
              </w:tc>
              <w:tc>
                <w:tcPr>
                  <w:tcW w:w="819" w:type="dxa"/>
                  <w:vMerge w:val="continue"/>
                  <w:tcBorders>
                    <w:left w:val="single" w:color="auto" w:sz="4" w:space="0"/>
                    <w:right w:val="single" w:color="auto" w:sz="2" w:space="0"/>
                  </w:tcBorders>
                  <w:vAlign w:val="center"/>
                </w:tcPr>
                <w:p w14:paraId="16AC715A">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32" w:type="dxa"/>
                  <w:tcBorders>
                    <w:left w:val="single" w:color="auto" w:sz="4" w:space="0"/>
                    <w:bottom w:val="single" w:color="auto" w:sz="4" w:space="0"/>
                    <w:right w:val="single" w:color="auto" w:sz="2" w:space="0"/>
                  </w:tcBorders>
                  <w:shd w:val="clear" w:color="auto" w:fill="auto"/>
                  <w:vAlign w:val="center"/>
                </w:tcPr>
                <w:p w14:paraId="5B0D68E9">
                  <w:pPr>
                    <w:pStyle w:val="2"/>
                    <w:spacing w:after="0" w:line="240" w:lineRule="exact"/>
                    <w:ind w:left="0" w:leftChars="0" w:firstLine="0" w:firstLineChars="0"/>
                    <w:jc w:val="center"/>
                    <w:rPr>
                      <w:rFonts w:hint="default" w:ascii="Times New Roman" w:hAnsi="Times New Roman" w:eastAsia="宋体" w:cs="Times New Roman"/>
                      <w:color w:val="FF0000"/>
                      <w:kern w:val="2"/>
                      <w:sz w:val="18"/>
                      <w:szCs w:val="18"/>
                      <w:highlight w:val="none"/>
                      <w:lang w:val="en-US" w:eastAsia="zh-CN" w:bidi="ar-SA"/>
                    </w:rPr>
                  </w:pPr>
                  <w:r>
                    <w:rPr>
                      <w:rFonts w:hint="default" w:ascii="Times New Roman" w:hAnsi="Times New Roman" w:cs="Times New Roman"/>
                      <w:color w:val="FF0000"/>
                      <w:sz w:val="18"/>
                      <w:szCs w:val="18"/>
                      <w:highlight w:val="none"/>
                      <w:lang w:val="en-US" w:eastAsia="zh-CN"/>
                    </w:rPr>
                    <w:t>100</w:t>
                  </w:r>
                </w:p>
              </w:tc>
              <w:tc>
                <w:tcPr>
                  <w:tcW w:w="628" w:type="dxa"/>
                  <w:tcBorders>
                    <w:left w:val="single" w:color="auto" w:sz="2" w:space="0"/>
                    <w:bottom w:val="single" w:color="auto" w:sz="4" w:space="0"/>
                    <w:right w:val="single" w:color="auto" w:sz="4" w:space="0"/>
                  </w:tcBorders>
                  <w:shd w:val="clear" w:color="auto" w:fill="auto"/>
                  <w:vAlign w:val="center"/>
                </w:tcPr>
                <w:p w14:paraId="6C65EDA5">
                  <w:pPr>
                    <w:spacing w:after="0" w:line="240" w:lineRule="exact"/>
                    <w:ind w:left="0" w:leftChars="0" w:firstLine="0" w:firstLineChars="0"/>
                    <w:jc w:val="center"/>
                    <w:rPr>
                      <w:rFonts w:hint="default" w:ascii="Times New Roman" w:hAnsi="Times New Roman" w:eastAsia="宋体" w:cs="Times New Roman"/>
                      <w:color w:val="FF0000"/>
                      <w:kern w:val="2"/>
                      <w:sz w:val="18"/>
                      <w:szCs w:val="18"/>
                      <w:highlight w:val="none"/>
                      <w:lang w:val="en-US" w:eastAsia="zh-CN" w:bidi="ar-SA"/>
                    </w:rPr>
                  </w:pPr>
                  <w:r>
                    <w:rPr>
                      <w:rFonts w:hint="default" w:ascii="Times New Roman" w:hAnsi="Times New Roman" w:cs="Times New Roman"/>
                      <w:color w:val="FF0000"/>
                      <w:sz w:val="18"/>
                      <w:szCs w:val="18"/>
                      <w:highlight w:val="none"/>
                      <w:lang w:val="en-US" w:eastAsia="zh-CN"/>
                    </w:rPr>
                    <w:t>--</w:t>
                  </w:r>
                </w:p>
              </w:tc>
            </w:tr>
            <w:tr w14:paraId="698C4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60" w:hRule="atLeast"/>
                <w:jc w:val="center"/>
              </w:trPr>
              <w:tc>
                <w:tcPr>
                  <w:tcW w:w="401" w:type="dxa"/>
                  <w:vMerge w:val="continue"/>
                  <w:tcBorders>
                    <w:left w:val="single" w:color="auto" w:sz="4" w:space="0"/>
                    <w:right w:val="single" w:color="auto" w:sz="4" w:space="0"/>
                  </w:tcBorders>
                  <w:vAlign w:val="center"/>
                </w:tcPr>
                <w:p w14:paraId="10BF4766">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38" w:type="dxa"/>
                  <w:vMerge w:val="continue"/>
                  <w:tcBorders>
                    <w:left w:val="single" w:color="auto" w:sz="4" w:space="0"/>
                    <w:right w:val="single" w:color="auto" w:sz="4" w:space="0"/>
                  </w:tcBorders>
                  <w:vAlign w:val="center"/>
                </w:tcPr>
                <w:p w14:paraId="1AABB8E0">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578" w:type="dxa"/>
                  <w:vMerge w:val="continue"/>
                  <w:tcBorders>
                    <w:left w:val="single" w:color="auto" w:sz="4" w:space="0"/>
                    <w:right w:val="single" w:color="auto" w:sz="4" w:space="0"/>
                  </w:tcBorders>
                  <w:vAlign w:val="center"/>
                </w:tcPr>
                <w:p w14:paraId="50F2F99F">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593" w:type="dxa"/>
                  <w:vMerge w:val="continue"/>
                  <w:tcBorders>
                    <w:left w:val="single" w:color="auto" w:sz="4" w:space="0"/>
                    <w:right w:val="single" w:color="auto" w:sz="4" w:space="0"/>
                  </w:tcBorders>
                  <w:vAlign w:val="center"/>
                </w:tcPr>
                <w:p w14:paraId="5882C37E">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841" w:type="dxa"/>
                  <w:tcBorders>
                    <w:top w:val="single" w:color="auto" w:sz="4" w:space="0"/>
                    <w:left w:val="single" w:color="auto" w:sz="4" w:space="0"/>
                    <w:bottom w:val="single" w:color="auto" w:sz="4" w:space="0"/>
                    <w:right w:val="single" w:color="auto" w:sz="4" w:space="0"/>
                  </w:tcBorders>
                  <w:vAlign w:val="center"/>
                </w:tcPr>
                <w:p w14:paraId="1731F637">
                  <w:pPr>
                    <w:pStyle w:val="2"/>
                    <w:spacing w:after="0" w:line="240" w:lineRule="exact"/>
                    <w:ind w:left="0" w:leftChars="0" w:firstLine="0" w:firstLineChars="0"/>
                    <w:jc w:val="center"/>
                    <w:rPr>
                      <w:rFonts w:hint="default" w:cs="Times New Roman"/>
                      <w:color w:val="FF0000"/>
                      <w:sz w:val="18"/>
                      <w:szCs w:val="18"/>
                      <w:highlight w:val="none"/>
                      <w:lang w:val="en-US" w:eastAsia="zh-CN"/>
                    </w:rPr>
                  </w:pPr>
                  <w:r>
                    <w:rPr>
                      <w:rFonts w:hint="eastAsia" w:cs="Times New Roman"/>
                      <w:color w:val="FF0000"/>
                      <w:sz w:val="18"/>
                      <w:szCs w:val="18"/>
                      <w:highlight w:val="none"/>
                      <w:lang w:val="en-US" w:eastAsia="zh-CN"/>
                    </w:rPr>
                    <w:t>氨</w:t>
                  </w:r>
                </w:p>
              </w:tc>
              <w:tc>
                <w:tcPr>
                  <w:tcW w:w="1520" w:type="dxa"/>
                  <w:vMerge w:val="continue"/>
                  <w:tcBorders>
                    <w:left w:val="single" w:color="auto" w:sz="4" w:space="0"/>
                    <w:right w:val="single" w:color="auto" w:sz="4" w:space="0"/>
                  </w:tcBorders>
                  <w:vAlign w:val="center"/>
                </w:tcPr>
                <w:p w14:paraId="74EAC589">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768" w:type="dxa"/>
                  <w:vMerge w:val="continue"/>
                  <w:tcBorders>
                    <w:left w:val="single" w:color="auto" w:sz="4" w:space="0"/>
                    <w:right w:val="single" w:color="auto" w:sz="4" w:space="0"/>
                  </w:tcBorders>
                  <w:vAlign w:val="center"/>
                </w:tcPr>
                <w:p w14:paraId="4737DE1C">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78" w:type="dxa"/>
                  <w:vMerge w:val="continue"/>
                  <w:tcBorders>
                    <w:left w:val="single" w:color="auto" w:sz="4" w:space="0"/>
                    <w:right w:val="single" w:color="auto" w:sz="4" w:space="0"/>
                  </w:tcBorders>
                  <w:vAlign w:val="center"/>
                </w:tcPr>
                <w:p w14:paraId="035D9290">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718" w:type="dxa"/>
                  <w:vMerge w:val="continue"/>
                  <w:tcBorders>
                    <w:left w:val="single" w:color="auto" w:sz="4" w:space="0"/>
                    <w:right w:val="single" w:color="auto" w:sz="4" w:space="0"/>
                  </w:tcBorders>
                  <w:vAlign w:val="center"/>
                </w:tcPr>
                <w:p w14:paraId="7DF13E37">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935" w:type="dxa"/>
                  <w:vMerge w:val="continue"/>
                  <w:tcBorders>
                    <w:left w:val="single" w:color="auto" w:sz="4" w:space="0"/>
                    <w:right w:val="single" w:color="auto" w:sz="4" w:space="0"/>
                  </w:tcBorders>
                  <w:vAlign w:val="center"/>
                </w:tcPr>
                <w:p w14:paraId="4F954704">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857" w:type="dxa"/>
                  <w:tcBorders>
                    <w:left w:val="single" w:color="auto" w:sz="4" w:space="0"/>
                    <w:bottom w:val="single" w:color="auto" w:sz="4" w:space="0"/>
                    <w:right w:val="single" w:color="auto" w:sz="4" w:space="0"/>
                  </w:tcBorders>
                  <w:shd w:val="clear" w:color="auto" w:fill="auto"/>
                  <w:vAlign w:val="center"/>
                </w:tcPr>
                <w:p w14:paraId="28BBB20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w:t>
                  </w:r>
                  <w:r>
                    <w:rPr>
                      <w:rFonts w:hint="eastAsia" w:cs="Times New Roman"/>
                      <w:color w:val="auto"/>
                      <w:kern w:val="2"/>
                      <w:sz w:val="18"/>
                      <w:szCs w:val="18"/>
                      <w:highlight w:val="none"/>
                      <w:lang w:val="en-US" w:eastAsia="zh-CN" w:bidi="ar-SA"/>
                    </w:rPr>
                    <w:t>115</w:t>
                  </w:r>
                </w:p>
              </w:tc>
              <w:tc>
                <w:tcPr>
                  <w:tcW w:w="970" w:type="dxa"/>
                  <w:tcBorders>
                    <w:left w:val="single" w:color="auto" w:sz="4" w:space="0"/>
                    <w:bottom w:val="single" w:color="auto" w:sz="4" w:space="0"/>
                    <w:right w:val="single" w:color="auto" w:sz="4" w:space="0"/>
                  </w:tcBorders>
                  <w:shd w:val="clear" w:color="auto" w:fill="auto"/>
                  <w:vAlign w:val="center"/>
                </w:tcPr>
                <w:p w14:paraId="1A1A9D8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8</w:t>
                  </w:r>
                </w:p>
              </w:tc>
              <w:tc>
                <w:tcPr>
                  <w:tcW w:w="877" w:type="dxa"/>
                  <w:tcBorders>
                    <w:left w:val="single" w:color="auto" w:sz="4" w:space="0"/>
                    <w:bottom w:val="single" w:color="auto" w:sz="4" w:space="0"/>
                    <w:right w:val="single" w:color="auto" w:sz="4" w:space="0"/>
                  </w:tcBorders>
                  <w:shd w:val="clear" w:color="auto" w:fill="auto"/>
                  <w:vAlign w:val="center"/>
                </w:tcPr>
                <w:p w14:paraId="5EDC9BF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w:t>
                  </w:r>
                  <w:r>
                    <w:rPr>
                      <w:rFonts w:hint="eastAsia" w:cs="Times New Roman"/>
                      <w:color w:val="auto"/>
                      <w:kern w:val="2"/>
                      <w:sz w:val="18"/>
                      <w:szCs w:val="18"/>
                      <w:highlight w:val="none"/>
                      <w:lang w:val="en-US" w:eastAsia="zh-CN" w:bidi="ar-SA"/>
                    </w:rPr>
                    <w:t>048</w:t>
                  </w:r>
                  <w:r>
                    <w:rPr>
                      <w:rFonts w:hint="eastAsia" w:ascii="Times New Roman" w:hAnsi="Times New Roman" w:eastAsia="宋体" w:cs="Times New Roman"/>
                      <w:color w:val="auto"/>
                      <w:kern w:val="2"/>
                      <w:sz w:val="18"/>
                      <w:szCs w:val="18"/>
                      <w:highlight w:val="none"/>
                      <w:lang w:val="en-US" w:eastAsia="zh-CN" w:bidi="ar-SA"/>
                    </w:rPr>
                    <w:t>4</w:t>
                  </w:r>
                </w:p>
              </w:tc>
              <w:tc>
                <w:tcPr>
                  <w:tcW w:w="819" w:type="dxa"/>
                  <w:vMerge w:val="continue"/>
                  <w:tcBorders>
                    <w:left w:val="single" w:color="auto" w:sz="4" w:space="0"/>
                    <w:right w:val="single" w:color="auto" w:sz="2" w:space="0"/>
                  </w:tcBorders>
                  <w:vAlign w:val="center"/>
                </w:tcPr>
                <w:p w14:paraId="28CC960C">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32" w:type="dxa"/>
                  <w:tcBorders>
                    <w:left w:val="single" w:color="auto" w:sz="4" w:space="0"/>
                    <w:bottom w:val="single" w:color="auto" w:sz="4" w:space="0"/>
                    <w:right w:val="single" w:color="auto" w:sz="2" w:space="0"/>
                  </w:tcBorders>
                  <w:vAlign w:val="center"/>
                </w:tcPr>
                <w:p w14:paraId="3B583D0D">
                  <w:pPr>
                    <w:spacing w:line="240" w:lineRule="exact"/>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w:t>
                  </w:r>
                </w:p>
              </w:tc>
              <w:tc>
                <w:tcPr>
                  <w:tcW w:w="628" w:type="dxa"/>
                  <w:tcBorders>
                    <w:left w:val="single" w:color="auto" w:sz="2" w:space="0"/>
                    <w:bottom w:val="single" w:color="auto" w:sz="4" w:space="0"/>
                    <w:right w:val="single" w:color="auto" w:sz="4" w:space="0"/>
                  </w:tcBorders>
                  <w:vAlign w:val="center"/>
                </w:tcPr>
                <w:p w14:paraId="7CAC3493">
                  <w:pPr>
                    <w:spacing w:line="240" w:lineRule="exact"/>
                    <w:jc w:val="center"/>
                    <w:rPr>
                      <w:rFonts w:hint="default" w:ascii="Times New Roman" w:hAnsi="Times New Roman" w:cs="Times New Roman"/>
                      <w:color w:val="FF0000"/>
                      <w:sz w:val="18"/>
                      <w:szCs w:val="18"/>
                      <w:highlight w:val="none"/>
                      <w:lang w:val="en-US"/>
                    </w:rPr>
                  </w:pPr>
                  <w:r>
                    <w:rPr>
                      <w:rFonts w:hint="eastAsia" w:cs="Times New Roman"/>
                      <w:color w:val="FF0000"/>
                      <w:sz w:val="18"/>
                      <w:szCs w:val="18"/>
                      <w:highlight w:val="none"/>
                      <w:lang w:val="en-US" w:eastAsia="zh-CN"/>
                    </w:rPr>
                    <w:t>4.9</w:t>
                  </w:r>
                </w:p>
              </w:tc>
            </w:tr>
            <w:tr w14:paraId="74175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0" w:hRule="atLeast"/>
                <w:jc w:val="center"/>
              </w:trPr>
              <w:tc>
                <w:tcPr>
                  <w:tcW w:w="401" w:type="dxa"/>
                  <w:vMerge w:val="continue"/>
                  <w:tcBorders>
                    <w:left w:val="single" w:color="auto" w:sz="4" w:space="0"/>
                    <w:right w:val="single" w:color="auto" w:sz="4" w:space="0"/>
                  </w:tcBorders>
                  <w:vAlign w:val="center"/>
                </w:tcPr>
                <w:p w14:paraId="576C5E3A">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38" w:type="dxa"/>
                  <w:vMerge w:val="continue"/>
                  <w:tcBorders>
                    <w:left w:val="single" w:color="auto" w:sz="4" w:space="0"/>
                    <w:right w:val="single" w:color="auto" w:sz="4" w:space="0"/>
                  </w:tcBorders>
                  <w:vAlign w:val="center"/>
                </w:tcPr>
                <w:p w14:paraId="0CD3F069">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578" w:type="dxa"/>
                  <w:vMerge w:val="continue"/>
                  <w:tcBorders>
                    <w:left w:val="single" w:color="auto" w:sz="4" w:space="0"/>
                    <w:right w:val="single" w:color="auto" w:sz="4" w:space="0"/>
                  </w:tcBorders>
                  <w:vAlign w:val="center"/>
                </w:tcPr>
                <w:p w14:paraId="3AFD4A0C">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593" w:type="dxa"/>
                  <w:vMerge w:val="continue"/>
                  <w:tcBorders>
                    <w:left w:val="single" w:color="auto" w:sz="4" w:space="0"/>
                    <w:right w:val="single" w:color="auto" w:sz="4" w:space="0"/>
                  </w:tcBorders>
                  <w:vAlign w:val="center"/>
                </w:tcPr>
                <w:p w14:paraId="661DBD63">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841" w:type="dxa"/>
                  <w:tcBorders>
                    <w:top w:val="single" w:color="auto" w:sz="4" w:space="0"/>
                    <w:left w:val="single" w:color="auto" w:sz="4" w:space="0"/>
                    <w:bottom w:val="single" w:color="auto" w:sz="4" w:space="0"/>
                    <w:right w:val="single" w:color="auto" w:sz="4" w:space="0"/>
                  </w:tcBorders>
                  <w:vAlign w:val="center"/>
                </w:tcPr>
                <w:p w14:paraId="7C372008">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臭气浓度</w:t>
                  </w:r>
                </w:p>
              </w:tc>
              <w:tc>
                <w:tcPr>
                  <w:tcW w:w="1520" w:type="dxa"/>
                  <w:vMerge w:val="continue"/>
                  <w:tcBorders>
                    <w:left w:val="single" w:color="auto" w:sz="4" w:space="0"/>
                    <w:right w:val="single" w:color="auto" w:sz="4" w:space="0"/>
                  </w:tcBorders>
                  <w:vAlign w:val="center"/>
                </w:tcPr>
                <w:p w14:paraId="02F887E1">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768" w:type="dxa"/>
                  <w:vMerge w:val="continue"/>
                  <w:tcBorders>
                    <w:left w:val="single" w:color="auto" w:sz="4" w:space="0"/>
                    <w:right w:val="single" w:color="auto" w:sz="4" w:space="0"/>
                  </w:tcBorders>
                  <w:vAlign w:val="center"/>
                </w:tcPr>
                <w:p w14:paraId="39BF0BCE">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78" w:type="dxa"/>
                  <w:vMerge w:val="continue"/>
                  <w:tcBorders>
                    <w:left w:val="single" w:color="auto" w:sz="4" w:space="0"/>
                    <w:right w:val="single" w:color="auto" w:sz="4" w:space="0"/>
                  </w:tcBorders>
                  <w:vAlign w:val="center"/>
                </w:tcPr>
                <w:p w14:paraId="5C215B23">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718" w:type="dxa"/>
                  <w:vMerge w:val="continue"/>
                  <w:tcBorders>
                    <w:left w:val="single" w:color="auto" w:sz="4" w:space="0"/>
                    <w:right w:val="single" w:color="auto" w:sz="4" w:space="0"/>
                  </w:tcBorders>
                  <w:vAlign w:val="center"/>
                </w:tcPr>
                <w:p w14:paraId="4824972B">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935" w:type="dxa"/>
                  <w:vMerge w:val="continue"/>
                  <w:tcBorders>
                    <w:left w:val="single" w:color="auto" w:sz="4" w:space="0"/>
                    <w:right w:val="single" w:color="auto" w:sz="4" w:space="0"/>
                  </w:tcBorders>
                  <w:vAlign w:val="center"/>
                </w:tcPr>
                <w:p w14:paraId="473CC20B">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857" w:type="dxa"/>
                  <w:tcBorders>
                    <w:left w:val="single" w:color="auto" w:sz="4" w:space="0"/>
                    <w:right w:val="single" w:color="auto" w:sz="4" w:space="0"/>
                  </w:tcBorders>
                  <w:vAlign w:val="center"/>
                </w:tcPr>
                <w:p w14:paraId="5005B798">
                  <w:pPr>
                    <w:widowControl/>
                    <w:jc w:val="center"/>
                    <w:textAlignment w:val="center"/>
                    <w:rPr>
                      <w:rFonts w:hint="default" w:ascii="Times New Roman" w:hAnsi="Times New Roman" w:cs="Times New Roman"/>
                      <w:color w:val="FF0000"/>
                      <w:sz w:val="18"/>
                      <w:szCs w:val="18"/>
                      <w:highlight w:val="none"/>
                    </w:rPr>
                  </w:pPr>
                  <w:r>
                    <w:rPr>
                      <w:rFonts w:hint="eastAsia" w:cs="Times New Roman"/>
                      <w:color w:val="FF0000"/>
                      <w:sz w:val="18"/>
                      <w:szCs w:val="18"/>
                      <w:highlight w:val="none"/>
                      <w:lang w:val="en-US" w:eastAsia="zh-CN"/>
                    </w:rPr>
                    <w:t>2000（无量纲）</w:t>
                  </w:r>
                </w:p>
              </w:tc>
              <w:tc>
                <w:tcPr>
                  <w:tcW w:w="970" w:type="dxa"/>
                  <w:tcBorders>
                    <w:left w:val="single" w:color="auto" w:sz="4" w:space="0"/>
                    <w:right w:val="single" w:color="auto" w:sz="4" w:space="0"/>
                  </w:tcBorders>
                  <w:vAlign w:val="center"/>
                </w:tcPr>
                <w:p w14:paraId="5BFD83A0">
                  <w:pPr>
                    <w:widowControl/>
                    <w:jc w:val="center"/>
                    <w:textAlignment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lang w:val="en-US" w:eastAsia="zh-CN"/>
                    </w:rPr>
                    <w:t>--</w:t>
                  </w:r>
                </w:p>
              </w:tc>
              <w:tc>
                <w:tcPr>
                  <w:tcW w:w="877" w:type="dxa"/>
                  <w:tcBorders>
                    <w:left w:val="single" w:color="auto" w:sz="4" w:space="0"/>
                    <w:right w:val="single" w:color="auto" w:sz="4" w:space="0"/>
                  </w:tcBorders>
                  <w:vAlign w:val="center"/>
                </w:tcPr>
                <w:p w14:paraId="2A63D019">
                  <w:pPr>
                    <w:widowControl/>
                    <w:jc w:val="center"/>
                    <w:textAlignment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lang w:val="en-US" w:eastAsia="zh-CN"/>
                    </w:rPr>
                    <w:t>--</w:t>
                  </w:r>
                </w:p>
              </w:tc>
              <w:tc>
                <w:tcPr>
                  <w:tcW w:w="819" w:type="dxa"/>
                  <w:vMerge w:val="continue"/>
                  <w:tcBorders>
                    <w:left w:val="single" w:color="auto" w:sz="4" w:space="0"/>
                    <w:right w:val="single" w:color="auto" w:sz="2" w:space="0"/>
                  </w:tcBorders>
                  <w:vAlign w:val="center"/>
                </w:tcPr>
                <w:p w14:paraId="5B4CB1EB">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p>
              </w:tc>
              <w:tc>
                <w:tcPr>
                  <w:tcW w:w="632" w:type="dxa"/>
                  <w:tcBorders>
                    <w:left w:val="single" w:color="auto" w:sz="4" w:space="0"/>
                    <w:right w:val="single" w:color="auto" w:sz="2" w:space="0"/>
                  </w:tcBorders>
                  <w:vAlign w:val="center"/>
                </w:tcPr>
                <w:p w14:paraId="6281C6C4">
                  <w:pPr>
                    <w:spacing w:line="240" w:lineRule="exact"/>
                    <w:jc w:val="center"/>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2</w:t>
                  </w:r>
                  <w:r>
                    <w:rPr>
                      <w:rFonts w:hint="default" w:ascii="Times New Roman" w:hAnsi="Times New Roman" w:eastAsia="宋体" w:cs="Times New Roman"/>
                      <w:color w:val="FF0000"/>
                      <w:sz w:val="18"/>
                      <w:szCs w:val="18"/>
                      <w:highlight w:val="none"/>
                      <w:lang w:val="en-US" w:eastAsia="zh-CN"/>
                    </w:rPr>
                    <w:t>000无量纲</w:t>
                  </w:r>
                </w:p>
              </w:tc>
              <w:tc>
                <w:tcPr>
                  <w:tcW w:w="628" w:type="dxa"/>
                  <w:tcBorders>
                    <w:left w:val="single" w:color="auto" w:sz="2" w:space="0"/>
                    <w:right w:val="single" w:color="auto" w:sz="4" w:space="0"/>
                  </w:tcBorders>
                  <w:vAlign w:val="center"/>
                </w:tcPr>
                <w:p w14:paraId="6A32E581">
                  <w:pPr>
                    <w:spacing w:line="240" w:lineRule="exact"/>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lang w:val="en-US" w:eastAsia="zh-CN"/>
                    </w:rPr>
                    <w:t>--</w:t>
                  </w:r>
                </w:p>
              </w:tc>
            </w:tr>
            <w:tr w14:paraId="2C83D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60" w:hRule="atLeast"/>
                <w:jc w:val="center"/>
              </w:trPr>
              <w:tc>
                <w:tcPr>
                  <w:tcW w:w="401" w:type="dxa"/>
                  <w:tcBorders>
                    <w:left w:val="single" w:color="auto" w:sz="4" w:space="0"/>
                    <w:right w:val="single" w:color="auto" w:sz="4" w:space="0"/>
                  </w:tcBorders>
                  <w:vAlign w:val="center"/>
                </w:tcPr>
                <w:p w14:paraId="66D7918D">
                  <w:pPr>
                    <w:pStyle w:val="2"/>
                    <w:spacing w:after="0" w:line="240" w:lineRule="exact"/>
                    <w:ind w:left="0" w:leftChars="0" w:firstLine="0" w:firstLineChars="0"/>
                    <w:jc w:val="center"/>
                    <w:rPr>
                      <w:rFonts w:hint="eastAsia" w:ascii="Times New Roman" w:hAnsi="Times New Roman" w:eastAsia="宋体"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2</w:t>
                  </w:r>
                </w:p>
              </w:tc>
              <w:tc>
                <w:tcPr>
                  <w:tcW w:w="638" w:type="dxa"/>
                  <w:tcBorders>
                    <w:left w:val="single" w:color="auto" w:sz="4" w:space="0"/>
                    <w:right w:val="single" w:color="auto" w:sz="4" w:space="0"/>
                  </w:tcBorders>
                  <w:vAlign w:val="center"/>
                </w:tcPr>
                <w:p w14:paraId="108CF022">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eastAsia"/>
                      <w:color w:val="FF0000"/>
                      <w:sz w:val="18"/>
                      <w:szCs w:val="18"/>
                      <w:highlight w:val="none"/>
                      <w:lang w:val="en-US" w:eastAsia="zh-CN"/>
                    </w:rPr>
                    <w:t>DA002</w:t>
                  </w:r>
                </w:p>
              </w:tc>
              <w:tc>
                <w:tcPr>
                  <w:tcW w:w="578" w:type="dxa"/>
                  <w:tcBorders>
                    <w:left w:val="single" w:color="auto" w:sz="4" w:space="0"/>
                    <w:right w:val="single" w:color="auto" w:sz="4" w:space="0"/>
                  </w:tcBorders>
                  <w:vAlign w:val="center"/>
                </w:tcPr>
                <w:p w14:paraId="789869B0">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lang w:val="en-US"/>
                    </w:rPr>
                  </w:pPr>
                  <w:r>
                    <w:rPr>
                      <w:rFonts w:hint="default" w:ascii="Times New Roman" w:hAnsi="Times New Roman" w:eastAsia="宋体" w:cs="Times New Roman"/>
                      <w:color w:val="FF0000"/>
                      <w:sz w:val="18"/>
                      <w:szCs w:val="18"/>
                      <w:highlight w:val="none"/>
                      <w:lang w:val="en-US" w:eastAsia="zh-CN"/>
                    </w:rPr>
                    <w:t>筛分、上料、混料、装料、包装</w:t>
                  </w:r>
                  <w:r>
                    <w:rPr>
                      <w:rFonts w:hint="eastAsia" w:ascii="Times New Roman" w:hAnsi="Times New Roman" w:eastAsia="宋体" w:cs="Times New Roman"/>
                      <w:color w:val="FF0000"/>
                      <w:sz w:val="18"/>
                      <w:szCs w:val="18"/>
                      <w:highlight w:val="none"/>
                      <w:lang w:val="en-US" w:eastAsia="zh-CN"/>
                    </w:rPr>
                    <w:t>排气筒</w:t>
                  </w:r>
                </w:p>
              </w:tc>
              <w:tc>
                <w:tcPr>
                  <w:tcW w:w="593" w:type="dxa"/>
                  <w:tcBorders>
                    <w:left w:val="single" w:color="auto" w:sz="4" w:space="0"/>
                    <w:right w:val="single" w:color="auto" w:sz="4" w:space="0"/>
                  </w:tcBorders>
                  <w:vAlign w:val="center"/>
                </w:tcPr>
                <w:p w14:paraId="723201B6">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一般排放口</w:t>
                  </w:r>
                </w:p>
              </w:tc>
              <w:tc>
                <w:tcPr>
                  <w:tcW w:w="841" w:type="dxa"/>
                  <w:tcBorders>
                    <w:top w:val="single" w:color="auto" w:sz="4" w:space="0"/>
                    <w:left w:val="single" w:color="auto" w:sz="4" w:space="0"/>
                    <w:bottom w:val="single" w:color="auto" w:sz="4" w:space="0"/>
                    <w:right w:val="single" w:color="auto" w:sz="4" w:space="0"/>
                  </w:tcBorders>
                  <w:vAlign w:val="center"/>
                </w:tcPr>
                <w:p w14:paraId="0B33AD72">
                  <w:pPr>
                    <w:pStyle w:val="2"/>
                    <w:spacing w:after="0" w:line="240" w:lineRule="exact"/>
                    <w:ind w:left="0" w:leftChars="0" w:firstLine="0" w:firstLineChars="0"/>
                    <w:jc w:val="center"/>
                    <w:rPr>
                      <w:rFonts w:hint="eastAsia" w:cs="Times New Roman"/>
                      <w:color w:val="FF0000"/>
                      <w:sz w:val="18"/>
                      <w:szCs w:val="18"/>
                      <w:highlight w:val="none"/>
                      <w:lang w:val="en-US" w:eastAsia="zh-CN"/>
                    </w:rPr>
                  </w:pPr>
                  <w:r>
                    <w:rPr>
                      <w:rFonts w:hint="default" w:ascii="Times New Roman" w:hAnsi="Times New Roman" w:cs="Times New Roman"/>
                      <w:color w:val="FF0000"/>
                      <w:sz w:val="18"/>
                      <w:szCs w:val="18"/>
                      <w:highlight w:val="none"/>
                    </w:rPr>
                    <w:t>颗粒物</w:t>
                  </w:r>
                </w:p>
              </w:tc>
              <w:tc>
                <w:tcPr>
                  <w:tcW w:w="1520" w:type="dxa"/>
                  <w:tcBorders>
                    <w:left w:val="single" w:color="auto" w:sz="4" w:space="0"/>
                    <w:right w:val="single" w:color="auto" w:sz="4" w:space="0"/>
                  </w:tcBorders>
                  <w:vAlign w:val="center"/>
                </w:tcPr>
                <w:p w14:paraId="17C79826">
                  <w:pPr>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东经117.96241</w:t>
                  </w:r>
                  <w:r>
                    <w:rPr>
                      <w:rFonts w:hint="eastAsia" w:ascii="Times New Roman" w:hAnsi="Times New Roman" w:cs="Times New Roman"/>
                      <w:color w:val="FF0000"/>
                      <w:sz w:val="18"/>
                      <w:szCs w:val="18"/>
                      <w:highlight w:val="none"/>
                      <w:lang w:val="en-US" w:eastAsia="zh-CN"/>
                    </w:rPr>
                    <w:t>9</w:t>
                  </w:r>
                  <w:r>
                    <w:rPr>
                      <w:rFonts w:hint="default" w:ascii="Times New Roman" w:hAnsi="Times New Roman" w:cs="Times New Roman"/>
                      <w:color w:val="FF0000"/>
                      <w:sz w:val="18"/>
                      <w:szCs w:val="18"/>
                      <w:highlight w:val="none"/>
                    </w:rPr>
                    <w:t>°</w:t>
                  </w:r>
                </w:p>
                <w:p w14:paraId="3249DF89">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rPr>
                    <w:t>北纬36.7727</w:t>
                  </w:r>
                  <w:r>
                    <w:rPr>
                      <w:rFonts w:hint="eastAsia" w:ascii="Times New Roman" w:hAnsi="Times New Roman" w:cs="Times New Roman"/>
                      <w:color w:val="FF0000"/>
                      <w:sz w:val="18"/>
                      <w:szCs w:val="18"/>
                      <w:highlight w:val="none"/>
                      <w:lang w:val="en-US" w:eastAsia="zh-CN"/>
                    </w:rPr>
                    <w:t>50</w:t>
                  </w:r>
                  <w:r>
                    <w:rPr>
                      <w:rFonts w:hint="default" w:ascii="Times New Roman" w:hAnsi="Times New Roman" w:cs="Times New Roman"/>
                      <w:color w:val="FF0000"/>
                      <w:sz w:val="18"/>
                      <w:szCs w:val="18"/>
                      <w:highlight w:val="none"/>
                    </w:rPr>
                    <w:t>°</w:t>
                  </w:r>
                </w:p>
              </w:tc>
              <w:tc>
                <w:tcPr>
                  <w:tcW w:w="768" w:type="dxa"/>
                  <w:tcBorders>
                    <w:left w:val="single" w:color="auto" w:sz="4" w:space="0"/>
                    <w:right w:val="single" w:color="auto" w:sz="4" w:space="0"/>
                  </w:tcBorders>
                  <w:vAlign w:val="center"/>
                </w:tcPr>
                <w:p w14:paraId="4DC2FC77">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15</w:t>
                  </w:r>
                </w:p>
              </w:tc>
              <w:tc>
                <w:tcPr>
                  <w:tcW w:w="678" w:type="dxa"/>
                  <w:tcBorders>
                    <w:left w:val="single" w:color="auto" w:sz="4" w:space="0"/>
                    <w:right w:val="single" w:color="auto" w:sz="4" w:space="0"/>
                  </w:tcBorders>
                  <w:vAlign w:val="center"/>
                </w:tcPr>
                <w:p w14:paraId="119B8188">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0.4</w:t>
                  </w:r>
                </w:p>
              </w:tc>
              <w:tc>
                <w:tcPr>
                  <w:tcW w:w="718" w:type="dxa"/>
                  <w:tcBorders>
                    <w:left w:val="single" w:color="auto" w:sz="4" w:space="0"/>
                    <w:right w:val="single" w:color="auto" w:sz="4" w:space="0"/>
                  </w:tcBorders>
                  <w:vAlign w:val="center"/>
                </w:tcPr>
                <w:p w14:paraId="04FA82F4">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25</w:t>
                  </w:r>
                </w:p>
              </w:tc>
              <w:tc>
                <w:tcPr>
                  <w:tcW w:w="935" w:type="dxa"/>
                  <w:tcBorders>
                    <w:left w:val="single" w:color="auto" w:sz="4" w:space="0"/>
                    <w:right w:val="single" w:color="auto" w:sz="4" w:space="0"/>
                  </w:tcBorders>
                  <w:vAlign w:val="center"/>
                </w:tcPr>
                <w:p w14:paraId="04ADC903">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6000</w:t>
                  </w:r>
                </w:p>
              </w:tc>
              <w:tc>
                <w:tcPr>
                  <w:tcW w:w="857" w:type="dxa"/>
                  <w:tcBorders>
                    <w:left w:val="single" w:color="auto" w:sz="4" w:space="0"/>
                    <w:bottom w:val="single" w:color="auto" w:sz="4" w:space="0"/>
                    <w:right w:val="single" w:color="auto" w:sz="4" w:space="0"/>
                  </w:tcBorders>
                  <w:shd w:val="clear" w:color="auto" w:fill="auto"/>
                  <w:vAlign w:val="center"/>
                </w:tcPr>
                <w:p w14:paraId="3D979E6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0.06</w:t>
                  </w:r>
                  <w:r>
                    <w:rPr>
                      <w:rFonts w:hint="eastAsia" w:cs="Times New Roman"/>
                      <w:color w:val="auto"/>
                      <w:sz w:val="18"/>
                      <w:szCs w:val="18"/>
                      <w:highlight w:val="none"/>
                      <w:lang w:val="en-US" w:eastAsia="zh-CN"/>
                    </w:rPr>
                    <w:t>4</w:t>
                  </w:r>
                </w:p>
              </w:tc>
              <w:tc>
                <w:tcPr>
                  <w:tcW w:w="970" w:type="dxa"/>
                  <w:tcBorders>
                    <w:left w:val="single" w:color="auto" w:sz="4" w:space="0"/>
                    <w:bottom w:val="single" w:color="auto" w:sz="4" w:space="0"/>
                    <w:right w:val="single" w:color="auto" w:sz="4" w:space="0"/>
                  </w:tcBorders>
                  <w:shd w:val="clear" w:color="auto" w:fill="auto"/>
                  <w:vAlign w:val="center"/>
                </w:tcPr>
                <w:p w14:paraId="3105F38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1.4</w:t>
                  </w:r>
                  <w:r>
                    <w:rPr>
                      <w:rFonts w:hint="eastAsia" w:cs="Times New Roman"/>
                      <w:color w:val="auto"/>
                      <w:sz w:val="18"/>
                      <w:szCs w:val="18"/>
                      <w:highlight w:val="none"/>
                      <w:lang w:val="en-US" w:eastAsia="zh-CN"/>
                    </w:rPr>
                    <w:t>8</w:t>
                  </w:r>
                </w:p>
              </w:tc>
              <w:tc>
                <w:tcPr>
                  <w:tcW w:w="877" w:type="dxa"/>
                  <w:tcBorders>
                    <w:left w:val="single" w:color="auto" w:sz="4" w:space="0"/>
                    <w:bottom w:val="single" w:color="auto" w:sz="4" w:space="0"/>
                    <w:right w:val="single" w:color="auto" w:sz="4" w:space="0"/>
                  </w:tcBorders>
                  <w:shd w:val="clear" w:color="auto" w:fill="auto"/>
                  <w:vAlign w:val="center"/>
                </w:tcPr>
                <w:p w14:paraId="3205A4B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0.009</w:t>
                  </w:r>
                </w:p>
              </w:tc>
              <w:tc>
                <w:tcPr>
                  <w:tcW w:w="819" w:type="dxa"/>
                  <w:tcBorders>
                    <w:left w:val="single" w:color="auto" w:sz="4" w:space="0"/>
                    <w:right w:val="single" w:color="auto" w:sz="2" w:space="0"/>
                  </w:tcBorders>
                  <w:vAlign w:val="center"/>
                </w:tcPr>
                <w:p w14:paraId="5CE227D9">
                  <w:pPr>
                    <w:pStyle w:val="2"/>
                    <w:spacing w:after="0" w:line="240" w:lineRule="exact"/>
                    <w:ind w:left="0" w:leftChars="0" w:firstLine="0" w:firstLineChars="0"/>
                    <w:jc w:val="center"/>
                    <w:rPr>
                      <w:rFonts w:hint="default" w:ascii="Times New Roman" w:hAnsi="Times New Roman" w:cs="Times New Roman"/>
                      <w:color w:val="FF0000"/>
                      <w:sz w:val="18"/>
                      <w:szCs w:val="18"/>
                      <w:highlight w:val="none"/>
                    </w:rPr>
                  </w:pPr>
                  <w:r>
                    <w:rPr>
                      <w:rFonts w:hint="default" w:ascii="Times New Roman" w:hAnsi="Times New Roman" w:cs="Times New Roman"/>
                      <w:color w:val="FF0000"/>
                      <w:sz w:val="18"/>
                      <w:szCs w:val="18"/>
                      <w:highlight w:val="none"/>
                      <w:lang w:val="en-US" w:eastAsia="zh-CN"/>
                    </w:rPr>
                    <w:t>7200</w:t>
                  </w:r>
                </w:p>
              </w:tc>
              <w:tc>
                <w:tcPr>
                  <w:tcW w:w="632" w:type="dxa"/>
                  <w:tcBorders>
                    <w:left w:val="single" w:color="auto" w:sz="4" w:space="0"/>
                    <w:bottom w:val="single" w:color="auto" w:sz="4" w:space="0"/>
                    <w:right w:val="single" w:color="auto" w:sz="2" w:space="0"/>
                  </w:tcBorders>
                  <w:vAlign w:val="center"/>
                </w:tcPr>
                <w:p w14:paraId="0538AAD3">
                  <w:pPr>
                    <w:pStyle w:val="2"/>
                    <w:spacing w:after="0" w:line="240" w:lineRule="exact"/>
                    <w:ind w:left="0" w:leftChars="0" w:firstLine="0" w:firstLineChars="0"/>
                    <w:jc w:val="center"/>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cs="Times New Roman"/>
                      <w:color w:val="FF0000"/>
                      <w:sz w:val="18"/>
                      <w:szCs w:val="18"/>
                      <w:highlight w:val="none"/>
                    </w:rPr>
                    <w:t>10</w:t>
                  </w:r>
                </w:p>
              </w:tc>
              <w:tc>
                <w:tcPr>
                  <w:tcW w:w="628" w:type="dxa"/>
                  <w:tcBorders>
                    <w:left w:val="single" w:color="auto" w:sz="2" w:space="0"/>
                    <w:bottom w:val="single" w:color="auto" w:sz="4" w:space="0"/>
                    <w:right w:val="single" w:color="auto" w:sz="4" w:space="0"/>
                  </w:tcBorders>
                  <w:vAlign w:val="center"/>
                </w:tcPr>
                <w:p w14:paraId="08BC1562">
                  <w:pPr>
                    <w:spacing w:after="0" w:line="240" w:lineRule="exact"/>
                    <w:ind w:left="0" w:leftChars="0"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w:t>
                  </w:r>
                </w:p>
              </w:tc>
            </w:tr>
          </w:tbl>
          <w:p w14:paraId="056436C8">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highlight w:val="none"/>
              </w:rPr>
              <w:t>表4-3 本项目大气</w:t>
            </w:r>
            <w:r>
              <w:rPr>
                <w:rFonts w:hint="default" w:ascii="Times New Roman" w:hAnsi="Times New Roman" w:eastAsia="宋体" w:cs="Times New Roman"/>
                <w:b/>
                <w:bCs/>
                <w:color w:val="auto"/>
              </w:rPr>
              <w:t>污染物排放量汇总表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1"/>
              <w:gridCol w:w="1278"/>
              <w:gridCol w:w="1278"/>
              <w:gridCol w:w="1278"/>
              <w:gridCol w:w="1281"/>
            </w:tblGrid>
            <w:tr w14:paraId="42905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8" w:hRule="atLeast"/>
                <w:jc w:val="center"/>
              </w:trPr>
              <w:tc>
                <w:tcPr>
                  <w:tcW w:w="2966" w:type="pct"/>
                  <w:tcBorders>
                    <w:top w:val="single" w:color="auto" w:sz="4" w:space="0"/>
                    <w:left w:val="single" w:color="auto" w:sz="4" w:space="0"/>
                    <w:bottom w:val="single" w:color="auto" w:sz="4" w:space="0"/>
                    <w:right w:val="single" w:color="auto" w:sz="4" w:space="0"/>
                  </w:tcBorders>
                  <w:vAlign w:val="center"/>
                </w:tcPr>
                <w:p w14:paraId="64365433">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污染源及污染因子</w:t>
                  </w:r>
                </w:p>
              </w:tc>
              <w:tc>
                <w:tcPr>
                  <w:tcW w:w="508" w:type="pct"/>
                  <w:tcBorders>
                    <w:top w:val="single" w:color="auto" w:sz="4" w:space="0"/>
                    <w:left w:val="single" w:color="auto" w:sz="4" w:space="0"/>
                    <w:bottom w:val="single" w:color="auto" w:sz="4" w:space="0"/>
                    <w:right w:val="single" w:color="auto" w:sz="4" w:space="0"/>
                  </w:tcBorders>
                  <w:vAlign w:val="center"/>
                </w:tcPr>
                <w:p w14:paraId="1A6EEF79">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508" w:type="pct"/>
                  <w:tcBorders>
                    <w:top w:val="single" w:color="auto" w:sz="4" w:space="0"/>
                    <w:left w:val="single" w:color="auto" w:sz="4" w:space="0"/>
                    <w:bottom w:val="single" w:color="auto" w:sz="4" w:space="0"/>
                    <w:right w:val="single" w:color="auto" w:sz="4" w:space="0"/>
                  </w:tcBorders>
                  <w:vAlign w:val="center"/>
                </w:tcPr>
                <w:p w14:paraId="2E62F08D">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SO</w:t>
                  </w:r>
                  <w:r>
                    <w:rPr>
                      <w:rFonts w:hint="default" w:ascii="Times New Roman" w:hAnsi="Times New Roman" w:cs="Times New Roman"/>
                      <w:color w:val="auto"/>
                      <w:sz w:val="18"/>
                      <w:szCs w:val="18"/>
                      <w:highlight w:val="none"/>
                      <w:vertAlign w:val="subscript"/>
                      <w:lang w:val="en-US" w:eastAsia="zh-CN"/>
                    </w:rPr>
                    <w:t>2</w:t>
                  </w:r>
                </w:p>
              </w:tc>
              <w:tc>
                <w:tcPr>
                  <w:tcW w:w="508" w:type="pct"/>
                  <w:tcBorders>
                    <w:top w:val="single" w:color="auto" w:sz="4" w:space="0"/>
                    <w:left w:val="single" w:color="auto" w:sz="4" w:space="0"/>
                    <w:bottom w:val="single" w:color="auto" w:sz="4" w:space="0"/>
                    <w:right w:val="single" w:color="auto" w:sz="4" w:space="0"/>
                  </w:tcBorders>
                  <w:vAlign w:val="center"/>
                </w:tcPr>
                <w:p w14:paraId="074794DD">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NOx</w:t>
                  </w:r>
                </w:p>
              </w:tc>
              <w:tc>
                <w:tcPr>
                  <w:tcW w:w="509" w:type="pct"/>
                  <w:tcBorders>
                    <w:top w:val="single" w:color="auto" w:sz="4" w:space="0"/>
                    <w:left w:val="single" w:color="auto" w:sz="4" w:space="0"/>
                    <w:bottom w:val="single" w:color="auto" w:sz="4" w:space="0"/>
                    <w:right w:val="single" w:color="auto" w:sz="4" w:space="0"/>
                  </w:tcBorders>
                  <w:vAlign w:val="center"/>
                </w:tcPr>
                <w:p w14:paraId="53EF22D9">
                  <w:pPr>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氨</w:t>
                  </w:r>
                </w:p>
              </w:tc>
            </w:tr>
            <w:tr w14:paraId="410AE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2966" w:type="pct"/>
                  <w:tcBorders>
                    <w:top w:val="single" w:color="auto" w:sz="4" w:space="0"/>
                    <w:left w:val="single" w:color="auto" w:sz="4" w:space="0"/>
                    <w:bottom w:val="single" w:color="auto" w:sz="4" w:space="0"/>
                    <w:right w:val="single" w:color="auto" w:sz="4" w:space="0"/>
                  </w:tcBorders>
                  <w:vAlign w:val="center"/>
                </w:tcPr>
                <w:p w14:paraId="4085B4FE">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有组织</w:t>
                  </w:r>
                </w:p>
              </w:tc>
              <w:tc>
                <w:tcPr>
                  <w:tcW w:w="508" w:type="pct"/>
                  <w:tcBorders>
                    <w:top w:val="single" w:color="auto" w:sz="4" w:space="0"/>
                    <w:left w:val="single" w:color="auto" w:sz="4" w:space="0"/>
                    <w:bottom w:val="single" w:color="auto" w:sz="4" w:space="0"/>
                    <w:right w:val="single" w:color="auto" w:sz="4" w:space="0"/>
                  </w:tcBorders>
                  <w:vAlign w:val="center"/>
                </w:tcPr>
                <w:p w14:paraId="3E3FAB79">
                  <w:pPr>
                    <w:widowControl/>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w:t>
                  </w:r>
                  <w:r>
                    <w:rPr>
                      <w:rFonts w:hint="eastAsia" w:cs="Times New Roman"/>
                      <w:color w:val="auto"/>
                      <w:sz w:val="18"/>
                      <w:szCs w:val="18"/>
                      <w:highlight w:val="none"/>
                      <w:lang w:val="en-US" w:eastAsia="zh-CN"/>
                    </w:rPr>
                    <w:t>79</w:t>
                  </w:r>
                </w:p>
              </w:tc>
              <w:tc>
                <w:tcPr>
                  <w:tcW w:w="508" w:type="pct"/>
                  <w:tcBorders>
                    <w:top w:val="single" w:color="auto" w:sz="4" w:space="0"/>
                    <w:left w:val="single" w:color="auto" w:sz="4" w:space="0"/>
                    <w:bottom w:val="single" w:color="auto" w:sz="4" w:space="0"/>
                    <w:right w:val="single" w:color="auto" w:sz="4" w:space="0"/>
                  </w:tcBorders>
                  <w:vAlign w:val="center"/>
                </w:tcPr>
                <w:p w14:paraId="2CB6347E">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0.044</w:t>
                  </w:r>
                </w:p>
              </w:tc>
              <w:tc>
                <w:tcPr>
                  <w:tcW w:w="508" w:type="pct"/>
                  <w:tcBorders>
                    <w:top w:val="single" w:color="auto" w:sz="4" w:space="0"/>
                    <w:left w:val="single" w:color="auto" w:sz="4" w:space="0"/>
                    <w:bottom w:val="single" w:color="auto" w:sz="4" w:space="0"/>
                    <w:right w:val="single" w:color="auto" w:sz="4" w:space="0"/>
                  </w:tcBorders>
                  <w:vAlign w:val="center"/>
                </w:tcPr>
                <w:p w14:paraId="0EA5B1B8">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0.33</w:t>
                  </w:r>
                </w:p>
              </w:tc>
              <w:tc>
                <w:tcPr>
                  <w:tcW w:w="509" w:type="pct"/>
                  <w:tcBorders>
                    <w:top w:val="single" w:color="auto" w:sz="4" w:space="0"/>
                    <w:left w:val="single" w:color="auto" w:sz="4" w:space="0"/>
                    <w:bottom w:val="single" w:color="auto" w:sz="4" w:space="0"/>
                    <w:right w:val="single" w:color="auto" w:sz="4" w:space="0"/>
                  </w:tcBorders>
                  <w:vAlign w:val="center"/>
                </w:tcPr>
                <w:p w14:paraId="2D69E189">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0.115</w:t>
                  </w:r>
                </w:p>
              </w:tc>
            </w:tr>
            <w:tr w14:paraId="18B66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66" w:type="pct"/>
                  <w:tcBorders>
                    <w:top w:val="single" w:color="auto" w:sz="4" w:space="0"/>
                    <w:left w:val="single" w:color="auto" w:sz="4" w:space="0"/>
                    <w:bottom w:val="single" w:color="auto" w:sz="4" w:space="0"/>
                    <w:right w:val="single" w:color="auto" w:sz="4" w:space="0"/>
                  </w:tcBorders>
                  <w:vAlign w:val="center"/>
                </w:tcPr>
                <w:p w14:paraId="568CEBA7">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w:t>
                  </w:r>
                </w:p>
              </w:tc>
              <w:tc>
                <w:tcPr>
                  <w:tcW w:w="508" w:type="pct"/>
                  <w:tcBorders>
                    <w:top w:val="single" w:color="auto" w:sz="4" w:space="0"/>
                    <w:left w:val="single" w:color="auto" w:sz="4" w:space="0"/>
                    <w:bottom w:val="single" w:color="auto" w:sz="4" w:space="0"/>
                    <w:right w:val="single" w:color="auto" w:sz="4" w:space="0"/>
                  </w:tcBorders>
                  <w:vAlign w:val="center"/>
                </w:tcPr>
                <w:p w14:paraId="1210383A">
                  <w:pPr>
                    <w:widowControl/>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0.16</w:t>
                  </w:r>
                  <w:r>
                    <w:rPr>
                      <w:rFonts w:hint="eastAsia" w:cs="Times New Roman"/>
                      <w:color w:val="auto"/>
                      <w:sz w:val="18"/>
                      <w:szCs w:val="18"/>
                      <w:highlight w:val="none"/>
                      <w:lang w:val="en-US" w:eastAsia="zh-CN"/>
                    </w:rPr>
                    <w:t>8</w:t>
                  </w:r>
                </w:p>
              </w:tc>
              <w:tc>
                <w:tcPr>
                  <w:tcW w:w="508" w:type="pct"/>
                  <w:tcBorders>
                    <w:top w:val="single" w:color="auto" w:sz="4" w:space="0"/>
                    <w:left w:val="single" w:color="auto" w:sz="4" w:space="0"/>
                    <w:bottom w:val="single" w:color="auto" w:sz="4" w:space="0"/>
                    <w:right w:val="single" w:color="auto" w:sz="4" w:space="0"/>
                  </w:tcBorders>
                  <w:vAlign w:val="center"/>
                </w:tcPr>
                <w:p w14:paraId="7E1E94B9">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508" w:type="pct"/>
                  <w:tcBorders>
                    <w:top w:val="single" w:color="auto" w:sz="4" w:space="0"/>
                    <w:left w:val="single" w:color="auto" w:sz="4" w:space="0"/>
                    <w:bottom w:val="single" w:color="auto" w:sz="4" w:space="0"/>
                    <w:right w:val="single" w:color="auto" w:sz="4" w:space="0"/>
                  </w:tcBorders>
                  <w:vAlign w:val="center"/>
                </w:tcPr>
                <w:p w14:paraId="328012FB">
                  <w:pPr>
                    <w:widowControl/>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509" w:type="pct"/>
                  <w:tcBorders>
                    <w:top w:val="single" w:color="auto" w:sz="4" w:space="0"/>
                    <w:left w:val="single" w:color="auto" w:sz="4" w:space="0"/>
                    <w:bottom w:val="single" w:color="auto" w:sz="4" w:space="0"/>
                    <w:right w:val="single" w:color="auto" w:sz="4" w:space="0"/>
                  </w:tcBorders>
                  <w:vAlign w:val="center"/>
                </w:tcPr>
                <w:p w14:paraId="00F180A3">
                  <w:pPr>
                    <w:widowControl/>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465B8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966" w:type="pct"/>
                  <w:tcBorders>
                    <w:top w:val="single" w:color="auto" w:sz="4" w:space="0"/>
                    <w:left w:val="single" w:color="auto" w:sz="4" w:space="0"/>
                    <w:bottom w:val="single" w:color="auto" w:sz="4" w:space="0"/>
                    <w:right w:val="single" w:color="auto" w:sz="4" w:space="0"/>
                  </w:tcBorders>
                  <w:vAlign w:val="center"/>
                </w:tcPr>
                <w:p w14:paraId="101A87A7">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总计</w:t>
                  </w:r>
                </w:p>
              </w:tc>
              <w:tc>
                <w:tcPr>
                  <w:tcW w:w="508" w:type="pct"/>
                  <w:tcBorders>
                    <w:top w:val="single" w:color="auto" w:sz="4" w:space="0"/>
                    <w:left w:val="single" w:color="auto" w:sz="4" w:space="0"/>
                    <w:bottom w:val="single" w:color="auto" w:sz="4" w:space="0"/>
                    <w:right w:val="single" w:color="auto" w:sz="4" w:space="0"/>
                  </w:tcBorders>
                  <w:vAlign w:val="center"/>
                </w:tcPr>
                <w:p w14:paraId="4576F06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0.2</w:t>
                  </w:r>
                  <w:r>
                    <w:rPr>
                      <w:rFonts w:hint="eastAsia" w:cs="Times New Roman"/>
                      <w:color w:val="auto"/>
                      <w:sz w:val="18"/>
                      <w:szCs w:val="18"/>
                      <w:highlight w:val="none"/>
                      <w:lang w:val="en-US" w:eastAsia="zh-CN"/>
                    </w:rPr>
                    <w:t>47</w:t>
                  </w:r>
                </w:p>
              </w:tc>
              <w:tc>
                <w:tcPr>
                  <w:tcW w:w="508" w:type="pct"/>
                  <w:tcBorders>
                    <w:top w:val="single" w:color="auto" w:sz="4" w:space="0"/>
                    <w:left w:val="single" w:color="auto" w:sz="4" w:space="0"/>
                    <w:bottom w:val="single" w:color="auto" w:sz="4" w:space="0"/>
                    <w:right w:val="single" w:color="auto" w:sz="4" w:space="0"/>
                  </w:tcBorders>
                  <w:shd w:val="clear" w:color="auto" w:fill="auto"/>
                  <w:vAlign w:val="center"/>
                </w:tcPr>
                <w:p w14:paraId="1E1395E3">
                  <w:pPr>
                    <w:widowControl/>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0.044</w:t>
                  </w:r>
                </w:p>
              </w:tc>
              <w:tc>
                <w:tcPr>
                  <w:tcW w:w="508" w:type="pct"/>
                  <w:tcBorders>
                    <w:top w:val="single" w:color="auto" w:sz="4" w:space="0"/>
                    <w:left w:val="single" w:color="auto" w:sz="4" w:space="0"/>
                    <w:bottom w:val="single" w:color="auto" w:sz="4" w:space="0"/>
                    <w:right w:val="single" w:color="auto" w:sz="4" w:space="0"/>
                  </w:tcBorders>
                  <w:shd w:val="clear" w:color="auto" w:fill="auto"/>
                  <w:vAlign w:val="center"/>
                </w:tcPr>
                <w:p w14:paraId="0BCFDE45">
                  <w:pPr>
                    <w:widowControl/>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0.33</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14:paraId="08451676">
                  <w:pPr>
                    <w:widowControl/>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0.115</w:t>
                  </w:r>
                </w:p>
              </w:tc>
            </w:tr>
          </w:tbl>
          <w:p w14:paraId="03AC9F26">
            <w:pPr>
              <w:jc w:val="center"/>
              <w:rPr>
                <w:b/>
                <w:bCs/>
                <w:color w:val="auto"/>
              </w:rPr>
            </w:pPr>
          </w:p>
          <w:p w14:paraId="298163F2">
            <w:pPr>
              <w:rPr>
                <w:rFonts w:hint="eastAsia" w:eastAsia="宋体"/>
                <w:color w:val="auto"/>
                <w:lang w:eastAsia="zh-CN"/>
              </w:rPr>
            </w:pPr>
          </w:p>
        </w:tc>
      </w:tr>
    </w:tbl>
    <w:p w14:paraId="41E97ABC">
      <w:pPr>
        <w:pStyle w:val="2"/>
        <w:jc w:val="right"/>
        <w:rPr>
          <w:color w:val="auto"/>
        </w:rPr>
        <w:sectPr>
          <w:pgSz w:w="16838" w:h="11906" w:orient="landscape"/>
          <w:pgMar w:top="1531" w:right="1701" w:bottom="1531" w:left="1701" w:header="851" w:footer="851" w:gutter="0"/>
          <w:pgNumType w:fmt="decimal"/>
          <w:cols w:space="720" w:num="1"/>
          <w:docGrid w:linePitch="312" w:charSpace="0"/>
        </w:sectPr>
      </w:pP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6"/>
        <w:gridCol w:w="8594"/>
      </w:tblGrid>
      <w:tr w14:paraId="33C48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244" w:hRule="atLeast"/>
          <w:jc w:val="center"/>
        </w:trPr>
        <w:tc>
          <w:tcPr>
            <w:tcW w:w="466" w:type="dxa"/>
            <w:tcBorders>
              <w:top w:val="single" w:color="auto" w:sz="4" w:space="0"/>
              <w:left w:val="single" w:color="auto" w:sz="4" w:space="0"/>
              <w:right w:val="single" w:color="auto" w:sz="4" w:space="0"/>
            </w:tcBorders>
            <w:vAlign w:val="center"/>
          </w:tcPr>
          <w:p w14:paraId="3AF5DD1B">
            <w:pPr>
              <w:adjustRightInd w:val="0"/>
              <w:snapToGrid w:val="0"/>
              <w:spacing w:line="420" w:lineRule="exact"/>
              <w:jc w:val="center"/>
              <w:rPr>
                <w:bCs/>
                <w:color w:val="auto"/>
              </w:rPr>
            </w:pPr>
            <w:r>
              <w:rPr>
                <w:bCs/>
                <w:color w:val="auto"/>
              </w:rPr>
              <w:t>运营</w:t>
            </w:r>
          </w:p>
          <w:p w14:paraId="6AE07F6C">
            <w:pPr>
              <w:adjustRightInd w:val="0"/>
              <w:snapToGrid w:val="0"/>
              <w:spacing w:line="420" w:lineRule="exact"/>
              <w:jc w:val="center"/>
              <w:rPr>
                <w:bCs/>
                <w:color w:val="auto"/>
              </w:rPr>
            </w:pPr>
            <w:r>
              <w:rPr>
                <w:bCs/>
                <w:color w:val="auto"/>
              </w:rPr>
              <w:t>期环</w:t>
            </w:r>
          </w:p>
          <w:p w14:paraId="63AA28A4">
            <w:pPr>
              <w:adjustRightInd w:val="0"/>
              <w:snapToGrid w:val="0"/>
              <w:spacing w:line="420" w:lineRule="exact"/>
              <w:jc w:val="center"/>
              <w:rPr>
                <w:bCs/>
                <w:color w:val="auto"/>
              </w:rPr>
            </w:pPr>
            <w:r>
              <w:rPr>
                <w:bCs/>
                <w:color w:val="auto"/>
              </w:rPr>
              <w:t>境影</w:t>
            </w:r>
          </w:p>
          <w:p w14:paraId="28696AB3">
            <w:pPr>
              <w:adjustRightInd w:val="0"/>
              <w:snapToGrid w:val="0"/>
              <w:spacing w:line="420" w:lineRule="exact"/>
              <w:jc w:val="center"/>
              <w:rPr>
                <w:bCs/>
                <w:color w:val="auto"/>
              </w:rPr>
            </w:pPr>
            <w:r>
              <w:rPr>
                <w:bCs/>
                <w:color w:val="auto"/>
              </w:rPr>
              <w:t>响和</w:t>
            </w:r>
          </w:p>
          <w:p w14:paraId="1EB05E0F">
            <w:pPr>
              <w:adjustRightInd w:val="0"/>
              <w:snapToGrid w:val="0"/>
              <w:spacing w:line="420" w:lineRule="exact"/>
              <w:jc w:val="center"/>
              <w:rPr>
                <w:bCs/>
                <w:color w:val="auto"/>
              </w:rPr>
            </w:pPr>
            <w:r>
              <w:rPr>
                <w:bCs/>
                <w:color w:val="auto"/>
              </w:rPr>
              <w:t>保护</w:t>
            </w:r>
          </w:p>
          <w:p w14:paraId="1EA1D62E">
            <w:pPr>
              <w:adjustRightInd w:val="0"/>
              <w:snapToGrid w:val="0"/>
              <w:spacing w:line="420" w:lineRule="exact"/>
              <w:jc w:val="center"/>
              <w:rPr>
                <w:bCs/>
                <w:color w:val="auto"/>
              </w:rPr>
            </w:pPr>
            <w:r>
              <w:rPr>
                <w:bCs/>
                <w:color w:val="auto"/>
              </w:rPr>
              <w:t>措施</w:t>
            </w:r>
          </w:p>
        </w:tc>
        <w:tc>
          <w:tcPr>
            <w:tcW w:w="8594" w:type="dxa"/>
            <w:tcBorders>
              <w:top w:val="single" w:color="auto" w:sz="4" w:space="0"/>
              <w:left w:val="single" w:color="auto" w:sz="4" w:space="0"/>
              <w:right w:val="single" w:color="auto" w:sz="4" w:space="0"/>
            </w:tcBorders>
          </w:tcPr>
          <w:p w14:paraId="14B9AFB0">
            <w:pPr>
              <w:pStyle w:val="1042"/>
              <w:adjustRightInd w:val="0"/>
              <w:snapToGrid w:val="0"/>
              <w:spacing w:line="360" w:lineRule="auto"/>
              <w:ind w:firstLine="422"/>
              <w:rPr>
                <w:b/>
                <w:color w:val="auto"/>
                <w:szCs w:val="21"/>
              </w:rPr>
            </w:pPr>
            <w:r>
              <w:rPr>
                <w:b/>
                <w:color w:val="auto"/>
                <w:szCs w:val="21"/>
              </w:rPr>
              <w:t>（</w:t>
            </w:r>
            <w:r>
              <w:rPr>
                <w:rFonts w:hint="eastAsia"/>
                <w:b/>
                <w:color w:val="auto"/>
                <w:szCs w:val="21"/>
                <w:lang w:eastAsia="zh-CN"/>
              </w:rPr>
              <w:t>二</w:t>
            </w:r>
            <w:r>
              <w:rPr>
                <w:b/>
                <w:color w:val="auto"/>
                <w:szCs w:val="21"/>
              </w:rPr>
              <w:t>）源强核算过程：</w:t>
            </w:r>
          </w:p>
          <w:p w14:paraId="759A9714">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rFonts w:hint="default" w:eastAsia="宋体"/>
                <w:bCs/>
                <w:color w:val="auto"/>
                <w:sz w:val="21"/>
                <w:szCs w:val="21"/>
                <w:highlight w:val="none"/>
                <w:lang w:val="en-US" w:eastAsia="zh-CN"/>
              </w:rPr>
            </w:pPr>
            <w:r>
              <w:rPr>
                <w:rFonts w:hint="default" w:ascii="Times New Roman" w:hAnsi="Times New Roman" w:cs="Times New Roman"/>
                <w:bCs/>
                <w:color w:val="auto"/>
                <w:highlight w:val="none"/>
                <w:lang w:eastAsia="zh-CN"/>
              </w:rPr>
              <w:t>本项目</w:t>
            </w:r>
            <w:r>
              <w:rPr>
                <w:rFonts w:hint="default" w:ascii="Times New Roman" w:hAnsi="Times New Roman" w:cs="Times New Roman"/>
                <w:bCs/>
                <w:color w:val="auto"/>
                <w:highlight w:val="none"/>
                <w:lang w:val="en-US" w:eastAsia="zh-CN"/>
              </w:rPr>
              <w:t>产生的废气主要为</w:t>
            </w:r>
            <w:r>
              <w:rPr>
                <w:rFonts w:hint="eastAsia" w:cs="Times New Roman"/>
                <w:bCs/>
                <w:color w:val="auto"/>
                <w:highlight w:val="none"/>
                <w:lang w:val="en-US" w:eastAsia="zh-CN"/>
              </w:rPr>
              <w:t>进料和筛分工序产生的粉尘（G1）、上料工序产生的粉尘（G2）、</w:t>
            </w:r>
            <w:r>
              <w:rPr>
                <w:rFonts w:hint="eastAsia" w:cs="Times New Roman"/>
                <w:color w:val="auto"/>
                <w:highlight w:val="none"/>
                <w:lang w:val="en-US" w:eastAsia="zh-CN"/>
              </w:rPr>
              <w:t>混料</w:t>
            </w:r>
            <w:r>
              <w:rPr>
                <w:rFonts w:hint="eastAsia" w:cs="Times New Roman"/>
                <w:bCs/>
                <w:color w:val="auto"/>
                <w:highlight w:val="none"/>
                <w:lang w:val="en-US" w:eastAsia="zh-CN"/>
              </w:rPr>
              <w:t>工序产生的粉尘（G3）、装料工序产生的粉尘（G4）、烧制工序产生的</w:t>
            </w:r>
            <w:r>
              <w:rPr>
                <w:rFonts w:hint="eastAsia" w:cs="Times New Roman"/>
                <w:color w:val="auto"/>
                <w:highlight w:val="none"/>
                <w:lang w:val="en-US" w:eastAsia="zh-CN"/>
              </w:rPr>
              <w:t>烟尘、SO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、NOx</w:t>
            </w:r>
            <w:r>
              <w:rPr>
                <w:rFonts w:hint="eastAsia" w:cs="Times New Roman"/>
                <w:bCs/>
                <w:color w:val="auto"/>
                <w:highlight w:val="none"/>
                <w:lang w:val="en-US" w:eastAsia="zh-CN"/>
              </w:rPr>
              <w:t>（G5）、</w:t>
            </w:r>
            <w:r>
              <w:rPr>
                <w:rFonts w:hint="eastAsia" w:cs="Times New Roman"/>
                <w:color w:val="auto"/>
                <w:highlight w:val="none"/>
                <w:lang w:val="en-US" w:eastAsia="zh-CN"/>
              </w:rPr>
              <w:t>包装</w:t>
            </w:r>
            <w:r>
              <w:rPr>
                <w:rFonts w:hint="eastAsia" w:cs="Times New Roman"/>
                <w:bCs/>
                <w:color w:val="auto"/>
                <w:highlight w:val="none"/>
                <w:lang w:val="en-US" w:eastAsia="zh-CN"/>
              </w:rPr>
              <w:t>工序产生的粉尘（G6）、</w:t>
            </w:r>
            <w:r>
              <w:rPr>
                <w:rFonts w:hint="eastAsia" w:cs="Times New Roman"/>
                <w:color w:val="auto"/>
                <w:sz w:val="21"/>
                <w:szCs w:val="21"/>
                <w:highlight w:val="none"/>
                <w:lang w:val="en-US" w:eastAsia="zh-CN"/>
              </w:rPr>
              <w:t>SNCR脱硝</w:t>
            </w:r>
            <w:r>
              <w:rPr>
                <w:rFonts w:hint="default" w:ascii="Times New Roman" w:hAnsi="Times New Roman" w:cs="Times New Roman"/>
                <w:color w:val="auto"/>
                <w:sz w:val="21"/>
                <w:szCs w:val="21"/>
                <w:highlight w:val="none"/>
                <w:lang w:val="en-US" w:eastAsia="zh-CN"/>
              </w:rPr>
              <w:t>过程未被利用逃逸的氨、臭气浓度</w:t>
            </w:r>
            <w:r>
              <w:rPr>
                <w:rFonts w:hint="eastAsia" w:cs="Times New Roman"/>
                <w:color w:val="auto"/>
                <w:highlight w:val="none"/>
                <w:lang w:val="en-US" w:eastAsia="zh-CN"/>
              </w:rPr>
              <w:t>（G7）</w:t>
            </w:r>
            <w:r>
              <w:rPr>
                <w:rFonts w:hint="eastAsia"/>
                <w:bCs/>
                <w:color w:val="auto"/>
                <w:sz w:val="21"/>
                <w:szCs w:val="21"/>
                <w:highlight w:val="none"/>
                <w:lang w:val="en-US" w:eastAsia="zh-CN"/>
              </w:rPr>
              <w:t>。</w:t>
            </w:r>
          </w:p>
          <w:p w14:paraId="50945018">
            <w:pPr>
              <w:pStyle w:val="381"/>
              <w:ind w:firstLine="422"/>
              <w:rPr>
                <w:rFonts w:hint="default" w:ascii="Times New Roman" w:hAnsi="Times New Roman" w:cs="Times New Roman"/>
                <w:b/>
                <w:bCs/>
                <w:color w:val="auto"/>
                <w:sz w:val="21"/>
                <w:highlight w:val="none"/>
                <w:lang w:val="en-US"/>
              </w:rPr>
            </w:pPr>
            <w:r>
              <w:rPr>
                <w:rFonts w:hint="default" w:ascii="Times New Roman" w:hAnsi="Times New Roman" w:cs="Times New Roman"/>
                <w:b/>
                <w:bCs/>
                <w:color w:val="auto"/>
                <w:sz w:val="21"/>
                <w:highlight w:val="none"/>
                <w:lang w:val="en-US"/>
              </w:rPr>
              <w:t>1、源强分析</w:t>
            </w:r>
          </w:p>
          <w:p w14:paraId="70BFC4B2">
            <w:pPr>
              <w:pStyle w:val="2"/>
              <w:adjustRightInd w:val="0"/>
              <w:snapToGrid w:val="0"/>
              <w:spacing w:after="0" w:line="360" w:lineRule="auto"/>
              <w:ind w:left="0" w:leftChars="0" w:firstLine="422"/>
              <w:rPr>
                <w:rFonts w:hint="eastAsia"/>
                <w:color w:val="auto"/>
                <w:sz w:val="21"/>
                <w:szCs w:val="21"/>
                <w:highlight w:val="none"/>
                <w:lang w:val="en-US" w:eastAsia="zh-CN"/>
              </w:rPr>
            </w:pPr>
            <w:r>
              <w:rPr>
                <w:rFonts w:hint="eastAsia"/>
                <w:color w:val="auto"/>
                <w:sz w:val="21"/>
                <w:szCs w:val="21"/>
                <w:highlight w:val="none"/>
                <w:lang w:val="en-US" w:eastAsia="zh-CN"/>
              </w:rPr>
              <w:t>（1）进料和筛分工序产生的粉尘（G1）</w:t>
            </w:r>
          </w:p>
          <w:p w14:paraId="6FD4D05D">
            <w:pPr>
              <w:pStyle w:val="2"/>
              <w:adjustRightInd w:val="0"/>
              <w:snapToGrid w:val="0"/>
              <w:spacing w:after="0" w:line="360" w:lineRule="auto"/>
              <w:ind w:left="0" w:leftChars="0" w:firstLine="422"/>
              <w:rPr>
                <w:rFonts w:hint="eastAsia"/>
                <w:color w:val="auto"/>
                <w:sz w:val="21"/>
                <w:szCs w:val="21"/>
                <w:highlight w:val="none"/>
                <w:lang w:val="en-US" w:eastAsia="zh-CN"/>
              </w:rPr>
            </w:pPr>
            <w:r>
              <w:rPr>
                <w:rFonts w:hint="eastAsia"/>
                <w:color w:val="auto"/>
                <w:sz w:val="21"/>
                <w:szCs w:val="21"/>
                <w:highlight w:val="none"/>
                <w:lang w:val="en-US" w:eastAsia="zh-CN"/>
              </w:rPr>
              <w:t>进料工序产尘参照《逸散性工业粉尘控制技术》中表22-1第1条，逸散性粉尘产生量约为0.02kg/t（送料上堆），本项目原料总量为2524t/a，则进料工序粉尘产生量为0.05t/a。</w:t>
            </w:r>
          </w:p>
          <w:p w14:paraId="06BAF526">
            <w:pPr>
              <w:pStyle w:val="2"/>
              <w:adjustRightInd w:val="0"/>
              <w:snapToGrid w:val="0"/>
              <w:spacing w:after="0" w:line="360" w:lineRule="auto"/>
              <w:ind w:left="0" w:leftChars="0" w:firstLine="422"/>
              <w:rPr>
                <w:rFonts w:hint="default"/>
                <w:color w:val="auto"/>
                <w:sz w:val="21"/>
                <w:szCs w:val="21"/>
                <w:highlight w:val="none"/>
                <w:lang w:val="en-US" w:eastAsia="zh-CN"/>
              </w:rPr>
            </w:pPr>
            <w:r>
              <w:rPr>
                <w:rFonts w:hint="eastAsia"/>
                <w:color w:val="auto"/>
                <w:sz w:val="21"/>
                <w:szCs w:val="21"/>
                <w:highlight w:val="none"/>
                <w:lang w:val="en-US" w:eastAsia="zh-CN"/>
              </w:rPr>
              <w:t>本项目筛分过程产生的粉尘参照《排放源统计调查产排污核算方法和系数手册》“3099 其他非金属矿物制品制造行业系数表”中筛分的产污系数为1.13kg/t-产品，本项目筛分工序原料总量为2524t/a，则筛分过程粉尘产生量为2.852t/a。</w:t>
            </w:r>
          </w:p>
          <w:p w14:paraId="157A9D6C">
            <w:pPr>
              <w:pStyle w:val="2"/>
              <w:adjustRightInd w:val="0"/>
              <w:snapToGrid w:val="0"/>
              <w:spacing w:after="0" w:line="360" w:lineRule="auto"/>
              <w:ind w:left="0" w:leftChars="0" w:firstLine="422"/>
              <w:rPr>
                <w:rFonts w:hint="eastAsia"/>
                <w:color w:val="auto"/>
                <w:sz w:val="21"/>
                <w:szCs w:val="21"/>
                <w:highlight w:val="none"/>
                <w:lang w:val="en-US" w:eastAsia="zh-CN"/>
              </w:rPr>
            </w:pPr>
            <w:r>
              <w:rPr>
                <w:rFonts w:hint="eastAsia"/>
                <w:color w:val="auto"/>
                <w:sz w:val="21"/>
                <w:szCs w:val="21"/>
                <w:highlight w:val="none"/>
                <w:lang w:val="en-US" w:eastAsia="zh-CN"/>
              </w:rPr>
              <w:t>（2）上料工序产生的粉尘（G2）</w:t>
            </w:r>
          </w:p>
          <w:p w14:paraId="6154AA45">
            <w:pPr>
              <w:pStyle w:val="2"/>
              <w:adjustRightInd w:val="0"/>
              <w:snapToGrid w:val="0"/>
              <w:spacing w:after="0" w:line="360" w:lineRule="auto"/>
              <w:ind w:left="0" w:leftChars="0" w:firstLine="422"/>
              <w:rPr>
                <w:rFonts w:hint="eastAsia"/>
                <w:color w:val="auto"/>
                <w:sz w:val="21"/>
                <w:szCs w:val="21"/>
                <w:highlight w:val="none"/>
                <w:lang w:val="en-US" w:eastAsia="zh-CN"/>
              </w:rPr>
            </w:pPr>
            <w:r>
              <w:rPr>
                <w:rFonts w:hint="eastAsia"/>
                <w:color w:val="auto"/>
                <w:sz w:val="21"/>
                <w:szCs w:val="21"/>
                <w:highlight w:val="none"/>
                <w:lang w:val="en-US" w:eastAsia="zh-CN"/>
              </w:rPr>
              <w:t>上料工序产尘参照《逸散性工业粉尘控制技术》中表22-1第1条，逸散性粉尘产生量约为0.02kg/t（送料上堆），本项目原料总量为2524t/a，筛分工序产生120t/a不合格品，因此进入上料工序的原料量为2404t/a，则上料工序粉尘产生量为0.048t/a。</w:t>
            </w:r>
          </w:p>
          <w:p w14:paraId="7DF3EE89">
            <w:pPr>
              <w:pStyle w:val="2"/>
              <w:adjustRightInd w:val="0"/>
              <w:snapToGrid w:val="0"/>
              <w:spacing w:after="0" w:line="360" w:lineRule="auto"/>
              <w:ind w:left="0" w:leftChars="0" w:firstLine="422"/>
              <w:rPr>
                <w:rFonts w:hint="eastAsia"/>
                <w:color w:val="auto"/>
                <w:sz w:val="21"/>
                <w:szCs w:val="21"/>
                <w:highlight w:val="none"/>
                <w:lang w:val="en-US" w:eastAsia="zh-CN"/>
              </w:rPr>
            </w:pPr>
            <w:r>
              <w:rPr>
                <w:rFonts w:hint="eastAsia"/>
                <w:color w:val="auto"/>
                <w:sz w:val="21"/>
                <w:szCs w:val="21"/>
                <w:highlight w:val="none"/>
                <w:lang w:val="en-US" w:eastAsia="zh-CN"/>
              </w:rPr>
              <w:t>（3）混料工序产生的粉尘（G3）</w:t>
            </w:r>
          </w:p>
          <w:p w14:paraId="00BD67EE">
            <w:pPr>
              <w:pStyle w:val="2"/>
              <w:adjustRightInd w:val="0"/>
              <w:snapToGrid w:val="0"/>
              <w:spacing w:after="0" w:line="360" w:lineRule="auto"/>
              <w:ind w:left="0" w:leftChars="0" w:firstLine="422"/>
              <w:rPr>
                <w:rFonts w:hint="eastAsia"/>
                <w:color w:val="auto"/>
                <w:sz w:val="21"/>
                <w:szCs w:val="21"/>
                <w:highlight w:val="none"/>
                <w:lang w:val="en-US" w:eastAsia="zh-CN"/>
              </w:rPr>
            </w:pPr>
            <w:r>
              <w:rPr>
                <w:rFonts w:hint="eastAsia"/>
                <w:color w:val="auto"/>
                <w:sz w:val="21"/>
                <w:szCs w:val="21"/>
                <w:highlight w:val="none"/>
                <w:lang w:val="en-US" w:eastAsia="zh-CN"/>
              </w:rPr>
              <w:t>本项目混料工序产生的粉尘参照《排放源统计调查产排污核算方法和系数手册》“3021 水泥制品制造（含 3022 砼结构构件、3029 其他水泥类似制品制造）行业”中物料混合搅拌产污系数为0.13kg/t-产品，混料过程原料量为2404t/a，则混料工序粉尘产生量为0.313t/a。</w:t>
            </w:r>
          </w:p>
          <w:p w14:paraId="46D16546">
            <w:pPr>
              <w:pStyle w:val="2"/>
              <w:adjustRightInd w:val="0"/>
              <w:snapToGrid w:val="0"/>
              <w:spacing w:after="0" w:line="360" w:lineRule="auto"/>
              <w:ind w:left="0" w:leftChars="0" w:firstLine="422"/>
              <w:rPr>
                <w:rFonts w:hint="eastAsia"/>
                <w:color w:val="auto"/>
                <w:sz w:val="21"/>
                <w:szCs w:val="21"/>
                <w:highlight w:val="none"/>
                <w:lang w:val="en-US" w:eastAsia="zh-CN"/>
              </w:rPr>
            </w:pPr>
            <w:r>
              <w:rPr>
                <w:rFonts w:hint="eastAsia"/>
                <w:color w:val="auto"/>
                <w:sz w:val="21"/>
                <w:szCs w:val="21"/>
                <w:highlight w:val="none"/>
                <w:lang w:val="en-US" w:eastAsia="zh-CN"/>
              </w:rPr>
              <w:t>（4）装料工序产生的粉尘（G4）</w:t>
            </w:r>
          </w:p>
          <w:p w14:paraId="05B4C447">
            <w:pPr>
              <w:pStyle w:val="2"/>
              <w:adjustRightInd w:val="0"/>
              <w:snapToGrid w:val="0"/>
              <w:spacing w:after="0" w:line="360" w:lineRule="auto"/>
              <w:ind w:left="0" w:leftChars="0" w:firstLine="422"/>
              <w:rPr>
                <w:rFonts w:hint="default"/>
                <w:color w:val="auto"/>
                <w:sz w:val="21"/>
                <w:szCs w:val="21"/>
                <w:highlight w:val="none"/>
                <w:lang w:val="en-US" w:eastAsia="zh-CN"/>
              </w:rPr>
            </w:pPr>
            <w:r>
              <w:rPr>
                <w:rFonts w:hint="eastAsia"/>
                <w:color w:val="auto"/>
                <w:sz w:val="21"/>
                <w:szCs w:val="21"/>
                <w:highlight w:val="none"/>
                <w:lang w:val="en-US" w:eastAsia="zh-CN"/>
              </w:rPr>
              <w:t>本项目装料至窑炉过程中会产生少量粉尘，装料工序产尘参照《逸散性工业粉尘控制技术》中表22-1第1条，逸散性粉尘产生量约为0.02kg/t（送料上堆），本项目进入窑炉总量为2404t/a，则装料工序粉尘产生量为0.048t/a。</w:t>
            </w:r>
          </w:p>
          <w:p w14:paraId="2754BD4D">
            <w:pPr>
              <w:pStyle w:val="2"/>
              <w:adjustRightInd w:val="0"/>
              <w:snapToGrid w:val="0"/>
              <w:spacing w:after="0" w:line="360" w:lineRule="auto"/>
              <w:ind w:left="0" w:leftChars="0" w:firstLine="422"/>
              <w:rPr>
                <w:rFonts w:hint="eastAsia"/>
                <w:color w:val="auto"/>
                <w:sz w:val="21"/>
                <w:szCs w:val="21"/>
                <w:highlight w:val="none"/>
                <w:lang w:val="en-US" w:eastAsia="zh-CN"/>
              </w:rPr>
            </w:pPr>
            <w:r>
              <w:rPr>
                <w:rFonts w:hint="eastAsia"/>
                <w:color w:val="auto"/>
                <w:sz w:val="21"/>
                <w:szCs w:val="21"/>
                <w:highlight w:val="none"/>
                <w:lang w:val="en-US" w:eastAsia="zh-CN"/>
              </w:rPr>
              <w:t>（5）烧制工序产生的烟粉尘、SO</w:t>
            </w:r>
            <w:r>
              <w:rPr>
                <w:rFonts w:hint="eastAsia"/>
                <w:color w:val="auto"/>
                <w:sz w:val="21"/>
                <w:szCs w:val="21"/>
                <w:highlight w:val="none"/>
                <w:vertAlign w:val="subscript"/>
                <w:lang w:val="en-US" w:eastAsia="zh-CN"/>
              </w:rPr>
              <w:t>2</w:t>
            </w:r>
            <w:r>
              <w:rPr>
                <w:rFonts w:hint="eastAsia"/>
                <w:color w:val="auto"/>
                <w:sz w:val="21"/>
                <w:szCs w:val="21"/>
                <w:highlight w:val="none"/>
                <w:lang w:val="en-US" w:eastAsia="zh-CN"/>
              </w:rPr>
              <w:t>、NOx</w:t>
            </w:r>
          </w:p>
          <w:p w14:paraId="54487CB5">
            <w:pPr>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rPr>
            </w:pPr>
            <w:r>
              <w:rPr>
                <w:rFonts w:hint="eastAsia" w:cs="Times New Roman" w:eastAsiaTheme="minorEastAsia"/>
                <w:color w:val="auto"/>
                <w:sz w:val="21"/>
                <w:szCs w:val="21"/>
                <w:highlight w:val="none"/>
                <w:lang w:val="en-US" w:eastAsia="zh-CN"/>
              </w:rPr>
              <w:t>本项目烧制过程中隧道窑为密闭状态，主要是烧制后出料会产生粉尘，类比陶瓷隧道窑烧成工序产尘系数为0.1-0.5kg/t干料，本次取值0.3kg/t，</w:t>
            </w:r>
            <w:r>
              <w:rPr>
                <w:rFonts w:hint="default" w:ascii="Times New Roman" w:hAnsi="Times New Roman" w:cs="Times New Roman"/>
                <w:bCs/>
                <w:color w:val="auto"/>
                <w:szCs w:val="21"/>
                <w:highlight w:val="none"/>
              </w:rPr>
              <w:t>产品约为</w:t>
            </w:r>
            <w:r>
              <w:rPr>
                <w:rFonts w:hint="eastAsia" w:cs="Times New Roman"/>
                <w:bCs/>
                <w:color w:val="auto"/>
                <w:szCs w:val="21"/>
                <w:highlight w:val="none"/>
                <w:lang w:val="en-US" w:eastAsia="zh-CN"/>
              </w:rPr>
              <w:t>2400</w:t>
            </w:r>
            <w:r>
              <w:rPr>
                <w:rFonts w:hint="default" w:ascii="Times New Roman" w:hAnsi="Times New Roman" w:cs="Times New Roman"/>
                <w:bCs/>
                <w:color w:val="auto"/>
                <w:szCs w:val="21"/>
                <w:highlight w:val="none"/>
              </w:rPr>
              <w:t>t/a，则</w:t>
            </w:r>
            <w:r>
              <w:rPr>
                <w:rFonts w:hint="eastAsia"/>
                <w:color w:val="auto"/>
                <w:sz w:val="21"/>
                <w:szCs w:val="21"/>
                <w:highlight w:val="none"/>
                <w:lang w:val="en-US" w:eastAsia="zh-CN"/>
              </w:rPr>
              <w:t>烧制</w:t>
            </w:r>
            <w:r>
              <w:rPr>
                <w:rFonts w:hint="default" w:ascii="Times New Roman" w:hAnsi="Times New Roman" w:cs="Times New Roman"/>
                <w:bCs/>
                <w:color w:val="auto"/>
                <w:highlight w:val="none"/>
              </w:rPr>
              <w:t>工序</w:t>
            </w:r>
            <w:r>
              <w:rPr>
                <w:rFonts w:hint="default" w:ascii="Times New Roman" w:hAnsi="Times New Roman" w:cs="Times New Roman"/>
                <w:bCs/>
                <w:color w:val="auto"/>
                <w:szCs w:val="21"/>
                <w:highlight w:val="none"/>
              </w:rPr>
              <w:t>产生的粉尘为</w:t>
            </w:r>
            <w:r>
              <w:rPr>
                <w:rFonts w:hint="eastAsia" w:cs="Times New Roman"/>
                <w:bCs/>
                <w:color w:val="auto"/>
                <w:szCs w:val="21"/>
                <w:highlight w:val="none"/>
                <w:lang w:val="en-US" w:eastAsia="zh-CN"/>
              </w:rPr>
              <w:t>0.72</w:t>
            </w:r>
            <w:r>
              <w:rPr>
                <w:rFonts w:hint="default" w:ascii="Times New Roman" w:hAnsi="Times New Roman" w:cs="Times New Roman"/>
                <w:bCs/>
                <w:color w:val="auto"/>
                <w:szCs w:val="21"/>
                <w:highlight w:val="none"/>
              </w:rPr>
              <w:t>t/a</w:t>
            </w:r>
            <w:r>
              <w:rPr>
                <w:rFonts w:hint="default" w:ascii="Times New Roman" w:hAnsi="Times New Roman" w:cs="Times New Roman"/>
                <w:bCs/>
                <w:color w:val="auto"/>
                <w:szCs w:val="21"/>
                <w:highlight w:val="none"/>
                <w:lang w:eastAsia="zh-CN"/>
              </w:rPr>
              <w:t>。</w:t>
            </w:r>
          </w:p>
          <w:p w14:paraId="04D76FD5">
            <w:pPr>
              <w:pStyle w:val="381"/>
              <w:snapToGrid/>
              <w:ind w:firstLine="42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根据企业提供资料和计算，天然气燃料低位热值为 15.71MJ/kg,根据《排污许可证申请与核发技术规范工业炉窑》( HJ1121-2020)表 6 加热炉、热处理炉、干燥窑排放口参考绩效值表，利用插值法核算产污系数（见表 4-</w:t>
            </w:r>
            <w:r>
              <w:rPr>
                <w:rFonts w:hint="eastAsia" w:cs="Times New Roman" w:eastAsiaTheme="minorEastAsia"/>
                <w:color w:val="auto"/>
                <w:sz w:val="21"/>
                <w:szCs w:val="21"/>
                <w:highlight w:val="none"/>
                <w:lang w:val="en-US" w:eastAsia="zh-CN"/>
              </w:rPr>
              <w:t>4</w:t>
            </w:r>
            <w:r>
              <w:rPr>
                <w:rFonts w:hint="default" w:ascii="Times New Roman" w:hAnsi="Times New Roman" w:cs="Times New Roman" w:eastAsiaTheme="minorEastAsia"/>
                <w:color w:val="auto"/>
                <w:sz w:val="21"/>
                <w:szCs w:val="21"/>
                <w:highlight w:val="none"/>
                <w:lang w:val="en-US" w:eastAsia="zh-CN"/>
              </w:rPr>
              <w:t>）。</w:t>
            </w:r>
          </w:p>
          <w:p w14:paraId="1B94CB6C">
            <w:pPr>
              <w:pStyle w:val="381"/>
              <w:snapToGrid/>
              <w:ind w:firstLine="42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参考《排污许可证申请与核发技术规范 工业炉窑》（HJ1121-20 20）表 6 加热炉、热处理炉、干燥炉（窑）排放口参考绩效值表，天然气低位热值 34.02 MJ/m</w:t>
            </w:r>
            <w:r>
              <w:rPr>
                <w:rFonts w:hint="default" w:ascii="Times New Roman" w:hAnsi="Times New Roman" w:cs="Times New Roman" w:eastAsiaTheme="minorEastAsia"/>
                <w:color w:val="auto"/>
                <w:sz w:val="21"/>
                <w:szCs w:val="21"/>
                <w:highlight w:val="none"/>
                <w:vertAlign w:val="superscript"/>
                <w:lang w:val="en-US" w:eastAsia="zh-CN"/>
              </w:rPr>
              <w:t>3</w:t>
            </w:r>
            <w:r>
              <w:rPr>
                <w:rFonts w:hint="default" w:ascii="Times New Roman" w:hAnsi="Times New Roman" w:cs="Times New Roman" w:eastAsiaTheme="minorEastAsia"/>
                <w:color w:val="auto"/>
                <w:sz w:val="21"/>
                <w:szCs w:val="21"/>
                <w:highlight w:val="none"/>
                <w:lang w:val="en-US" w:eastAsia="zh-CN"/>
              </w:rPr>
              <w:t>时(根据附件 8 天然气成份分析报告 高热位值-各组分单位体积燃烧生成的水的潜热计算），利用插值法核算产污系数。</w:t>
            </w:r>
          </w:p>
          <w:p w14:paraId="5AF7326C">
            <w:pPr>
              <w:pStyle w:val="1313"/>
              <w:adjustRightInd w:val="0"/>
              <w:snapToGrid/>
              <w:ind w:firstLine="422" w:firstLineChars="20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eastAsia" w:ascii="Times New Roman" w:hAnsi="Times New Roman" w:eastAsia="宋体"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rPr>
              <w:t>燃气（天然气）工业炉窑产排污系数一览表</w:t>
            </w:r>
          </w:p>
          <w:tbl>
            <w:tblPr>
              <w:tblStyle w:val="83"/>
              <w:tblW w:w="4994"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1182"/>
              <w:gridCol w:w="1183"/>
              <w:gridCol w:w="1191"/>
              <w:gridCol w:w="1187"/>
              <w:gridCol w:w="1190"/>
              <w:gridCol w:w="1207"/>
              <w:gridCol w:w="1223"/>
            </w:tblGrid>
            <w:tr w14:paraId="2B8DB2EC">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190" w:type="dxa"/>
                  <w:noWrap w:val="0"/>
                  <w:vAlign w:val="center"/>
                </w:tcPr>
                <w:p w14:paraId="431DDE5F">
                  <w:pPr>
                    <w:spacing w:line="240" w:lineRule="exact"/>
                    <w:jc w:val="center"/>
                    <w:rPr>
                      <w:color w:val="auto"/>
                      <w:sz w:val="18"/>
                      <w:szCs w:val="18"/>
                      <w:highlight w:val="none"/>
                    </w:rPr>
                  </w:pPr>
                  <w:r>
                    <w:rPr>
                      <w:color w:val="auto"/>
                      <w:sz w:val="18"/>
                      <w:szCs w:val="18"/>
                      <w:highlight w:val="none"/>
                    </w:rPr>
                    <w:t>燃料名称</w:t>
                  </w:r>
                </w:p>
              </w:tc>
              <w:tc>
                <w:tcPr>
                  <w:tcW w:w="1191" w:type="dxa"/>
                  <w:noWrap w:val="0"/>
                  <w:vAlign w:val="center"/>
                </w:tcPr>
                <w:p w14:paraId="60C7AF89">
                  <w:pPr>
                    <w:spacing w:line="24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工艺名称</w:t>
                  </w:r>
                </w:p>
              </w:tc>
              <w:tc>
                <w:tcPr>
                  <w:tcW w:w="1195" w:type="dxa"/>
                  <w:noWrap w:val="0"/>
                  <w:vAlign w:val="center"/>
                </w:tcPr>
                <w:p w14:paraId="101CAC27">
                  <w:pPr>
                    <w:spacing w:line="24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低位热值</w:t>
                  </w:r>
                </w:p>
              </w:tc>
              <w:tc>
                <w:tcPr>
                  <w:tcW w:w="1195" w:type="dxa"/>
                  <w:shd w:val="clear" w:color="auto" w:fill="auto"/>
                  <w:noWrap w:val="0"/>
                  <w:vAlign w:val="center"/>
                </w:tcPr>
                <w:p w14:paraId="1A014AD8">
                  <w:pPr>
                    <w:spacing w:line="240" w:lineRule="exact"/>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污染物</w:t>
                  </w:r>
                </w:p>
              </w:tc>
              <w:tc>
                <w:tcPr>
                  <w:tcW w:w="1196" w:type="dxa"/>
                  <w:shd w:val="clear" w:color="auto" w:fill="auto"/>
                  <w:noWrap w:val="0"/>
                  <w:vAlign w:val="center"/>
                </w:tcPr>
                <w:p w14:paraId="559906E4">
                  <w:pPr>
                    <w:spacing w:line="240" w:lineRule="exact"/>
                    <w:jc w:val="center"/>
                    <w:rPr>
                      <w:color w:val="auto"/>
                      <w:sz w:val="18"/>
                      <w:szCs w:val="18"/>
                      <w:highlight w:val="none"/>
                    </w:rPr>
                  </w:pPr>
                  <w:r>
                    <w:rPr>
                      <w:color w:val="auto"/>
                      <w:sz w:val="18"/>
                      <w:szCs w:val="18"/>
                      <w:highlight w:val="none"/>
                    </w:rPr>
                    <w:t>单位</w:t>
                  </w:r>
                </w:p>
              </w:tc>
              <w:tc>
                <w:tcPr>
                  <w:tcW w:w="1211" w:type="dxa"/>
                  <w:shd w:val="clear" w:color="auto" w:fill="auto"/>
                  <w:noWrap w:val="0"/>
                  <w:vAlign w:val="center"/>
                </w:tcPr>
                <w:p w14:paraId="53754420">
                  <w:pPr>
                    <w:spacing w:line="240" w:lineRule="exact"/>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产污系数</w:t>
                  </w:r>
                </w:p>
              </w:tc>
              <w:tc>
                <w:tcPr>
                  <w:tcW w:w="1228" w:type="dxa"/>
                  <w:noWrap w:val="0"/>
                  <w:vAlign w:val="center"/>
                </w:tcPr>
                <w:p w14:paraId="48F44F1B">
                  <w:pPr>
                    <w:spacing w:line="240" w:lineRule="exact"/>
                    <w:jc w:val="center"/>
                    <w:rPr>
                      <w:color w:val="auto"/>
                      <w:sz w:val="18"/>
                      <w:szCs w:val="18"/>
                      <w:highlight w:val="none"/>
                    </w:rPr>
                  </w:pPr>
                  <w:r>
                    <w:rPr>
                      <w:rFonts w:hint="eastAsia"/>
                      <w:color w:val="auto"/>
                      <w:sz w:val="18"/>
                      <w:szCs w:val="18"/>
                      <w:highlight w:val="none"/>
                      <w:lang w:val="en-US" w:eastAsia="zh-CN"/>
                    </w:rPr>
                    <w:t>产生量</w:t>
                  </w:r>
                </w:p>
              </w:tc>
            </w:tr>
            <w:tr w14:paraId="73E0E8A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jc w:val="center"/>
              </w:trPr>
              <w:tc>
                <w:tcPr>
                  <w:tcW w:w="1190" w:type="dxa"/>
                  <w:vMerge w:val="restart"/>
                  <w:noWrap w:val="0"/>
                  <w:vAlign w:val="center"/>
                </w:tcPr>
                <w:p w14:paraId="0FFA5E21">
                  <w:pPr>
                    <w:spacing w:line="240" w:lineRule="exact"/>
                    <w:jc w:val="center"/>
                    <w:rPr>
                      <w:color w:val="auto"/>
                      <w:sz w:val="18"/>
                      <w:szCs w:val="18"/>
                      <w:highlight w:val="none"/>
                    </w:rPr>
                  </w:pPr>
                  <w:r>
                    <w:rPr>
                      <w:color w:val="auto"/>
                      <w:sz w:val="18"/>
                      <w:szCs w:val="18"/>
                      <w:highlight w:val="none"/>
                    </w:rPr>
                    <w:t>天然气</w:t>
                  </w:r>
                </w:p>
              </w:tc>
              <w:tc>
                <w:tcPr>
                  <w:tcW w:w="1191" w:type="dxa"/>
                  <w:vMerge w:val="restart"/>
                  <w:noWrap w:val="0"/>
                  <w:vAlign w:val="center"/>
                </w:tcPr>
                <w:p w14:paraId="6F75901A">
                  <w:pPr>
                    <w:spacing w:line="24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烧制</w:t>
                  </w:r>
                </w:p>
              </w:tc>
              <w:tc>
                <w:tcPr>
                  <w:tcW w:w="1195" w:type="dxa"/>
                  <w:vMerge w:val="restart"/>
                  <w:noWrap w:val="0"/>
                  <w:vAlign w:val="center"/>
                </w:tcPr>
                <w:p w14:paraId="3918E9A2">
                  <w:pPr>
                    <w:spacing w:line="240" w:lineRule="exact"/>
                    <w:jc w:val="center"/>
                    <w:rPr>
                      <w:color w:val="auto"/>
                      <w:sz w:val="18"/>
                      <w:szCs w:val="18"/>
                      <w:highlight w:val="none"/>
                    </w:rPr>
                  </w:pPr>
                  <w:r>
                    <w:rPr>
                      <w:rFonts w:hint="eastAsia"/>
                      <w:color w:val="auto"/>
                      <w:sz w:val="18"/>
                      <w:szCs w:val="18"/>
                      <w:highlight w:val="none"/>
                    </w:rPr>
                    <w:t xml:space="preserve"> 34.02 </w:t>
                  </w:r>
                  <w:r>
                    <w:rPr>
                      <w:rFonts w:hint="eastAsia"/>
                      <w:color w:val="auto"/>
                      <w:sz w:val="18"/>
                      <w:szCs w:val="18"/>
                      <w:highlight w:val="none"/>
                      <w:lang w:val="en-US" w:eastAsia="zh-CN"/>
                    </w:rPr>
                    <w:t>M</w:t>
                  </w:r>
                  <w:r>
                    <w:rPr>
                      <w:rFonts w:hint="eastAsia"/>
                      <w:color w:val="auto"/>
                      <w:sz w:val="18"/>
                      <w:szCs w:val="18"/>
                      <w:highlight w:val="none"/>
                    </w:rPr>
                    <w:t>J/m3</w:t>
                  </w:r>
                </w:p>
              </w:tc>
              <w:tc>
                <w:tcPr>
                  <w:tcW w:w="1195" w:type="dxa"/>
                  <w:shd w:val="clear" w:color="auto" w:fill="auto"/>
                  <w:noWrap w:val="0"/>
                  <w:vAlign w:val="center"/>
                </w:tcPr>
                <w:p w14:paraId="3D3F58C6">
                  <w:pPr>
                    <w:spacing w:line="240" w:lineRule="exact"/>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二氧化硫</w:t>
                  </w:r>
                </w:p>
              </w:tc>
              <w:tc>
                <w:tcPr>
                  <w:tcW w:w="1196" w:type="dxa"/>
                  <w:shd w:val="clear" w:color="auto" w:fill="auto"/>
                  <w:noWrap w:val="0"/>
                  <w:vAlign w:val="center"/>
                </w:tcPr>
                <w:p w14:paraId="5D1816AE">
                  <w:pPr>
                    <w:spacing w:line="240" w:lineRule="exact"/>
                    <w:jc w:val="center"/>
                    <w:rPr>
                      <w:color w:val="auto"/>
                      <w:sz w:val="18"/>
                      <w:szCs w:val="18"/>
                      <w:highlight w:val="none"/>
                    </w:rPr>
                  </w:pPr>
                  <w:r>
                    <w:rPr>
                      <w:color w:val="auto"/>
                      <w:sz w:val="18"/>
                      <w:szCs w:val="18"/>
                      <w:highlight w:val="none"/>
                    </w:rPr>
                    <w:t>g/m</w:t>
                  </w:r>
                  <w:r>
                    <w:rPr>
                      <w:color w:val="auto"/>
                      <w:sz w:val="18"/>
                      <w:szCs w:val="18"/>
                      <w:highlight w:val="none"/>
                      <w:vertAlign w:val="superscript"/>
                    </w:rPr>
                    <w:t>3</w:t>
                  </w:r>
                  <w:r>
                    <w:rPr>
                      <w:rFonts w:hint="eastAsia"/>
                      <w:color w:val="auto"/>
                      <w:sz w:val="18"/>
                      <w:szCs w:val="18"/>
                      <w:highlight w:val="none"/>
                      <w:lang w:val="en-US" w:eastAsia="zh-CN"/>
                    </w:rPr>
                    <w:t>燃料</w:t>
                  </w:r>
                </w:p>
              </w:tc>
              <w:tc>
                <w:tcPr>
                  <w:tcW w:w="1211" w:type="dxa"/>
                  <w:shd w:val="clear" w:color="auto" w:fill="auto"/>
                  <w:noWrap w:val="0"/>
                  <w:vAlign w:val="center"/>
                </w:tcPr>
                <w:p w14:paraId="73DEE084">
                  <w:pPr>
                    <w:spacing w:line="240" w:lineRule="exact"/>
                    <w:jc w:val="center"/>
                    <w:rPr>
                      <w:color w:val="auto"/>
                      <w:sz w:val="18"/>
                      <w:szCs w:val="18"/>
                      <w:highlight w:val="none"/>
                    </w:rPr>
                  </w:pPr>
                  <w:r>
                    <w:rPr>
                      <w:rFonts w:hint="eastAsia"/>
                      <w:color w:val="auto"/>
                      <w:sz w:val="18"/>
                      <w:szCs w:val="18"/>
                      <w:highlight w:val="none"/>
                      <w:lang w:val="en-US" w:eastAsia="zh-CN"/>
                    </w:rPr>
                    <w:t>0.1625</w:t>
                  </w:r>
                </w:p>
              </w:tc>
              <w:tc>
                <w:tcPr>
                  <w:tcW w:w="1228" w:type="dxa"/>
                  <w:shd w:val="clear" w:color="auto" w:fill="auto"/>
                  <w:noWrap w:val="0"/>
                  <w:vAlign w:val="center"/>
                </w:tcPr>
                <w:p w14:paraId="329A99A2">
                  <w:pPr>
                    <w:spacing w:line="240" w:lineRule="exact"/>
                    <w:jc w:val="center"/>
                    <w:rPr>
                      <w:color w:val="auto"/>
                      <w:sz w:val="18"/>
                      <w:szCs w:val="18"/>
                      <w:highlight w:val="none"/>
                    </w:rPr>
                  </w:pPr>
                  <w:r>
                    <w:rPr>
                      <w:rFonts w:hint="eastAsia"/>
                      <w:color w:val="auto"/>
                      <w:sz w:val="18"/>
                      <w:szCs w:val="18"/>
                      <w:highlight w:val="none"/>
                      <w:lang w:val="en-US" w:eastAsia="zh-CN"/>
                    </w:rPr>
                    <w:t>0.044</w:t>
                  </w:r>
                </w:p>
              </w:tc>
            </w:tr>
            <w:tr w14:paraId="162C738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jc w:val="center"/>
              </w:trPr>
              <w:tc>
                <w:tcPr>
                  <w:tcW w:w="1190" w:type="dxa"/>
                  <w:vMerge w:val="continue"/>
                  <w:noWrap w:val="0"/>
                  <w:vAlign w:val="center"/>
                </w:tcPr>
                <w:p w14:paraId="40AD9E91">
                  <w:pPr>
                    <w:spacing w:line="240" w:lineRule="exact"/>
                    <w:jc w:val="center"/>
                    <w:rPr>
                      <w:color w:val="auto"/>
                      <w:sz w:val="18"/>
                      <w:szCs w:val="18"/>
                      <w:highlight w:val="none"/>
                    </w:rPr>
                  </w:pPr>
                </w:p>
              </w:tc>
              <w:tc>
                <w:tcPr>
                  <w:tcW w:w="1191" w:type="dxa"/>
                  <w:vMerge w:val="continue"/>
                  <w:noWrap w:val="0"/>
                  <w:vAlign w:val="center"/>
                </w:tcPr>
                <w:p w14:paraId="64781595">
                  <w:pPr>
                    <w:spacing w:line="240" w:lineRule="exact"/>
                    <w:jc w:val="center"/>
                    <w:rPr>
                      <w:color w:val="auto"/>
                      <w:sz w:val="18"/>
                      <w:szCs w:val="18"/>
                      <w:highlight w:val="none"/>
                    </w:rPr>
                  </w:pPr>
                </w:p>
              </w:tc>
              <w:tc>
                <w:tcPr>
                  <w:tcW w:w="1195" w:type="dxa"/>
                  <w:vMerge w:val="continue"/>
                  <w:noWrap w:val="0"/>
                  <w:vAlign w:val="center"/>
                </w:tcPr>
                <w:p w14:paraId="6DFAD05B">
                  <w:pPr>
                    <w:spacing w:line="240" w:lineRule="exact"/>
                    <w:jc w:val="center"/>
                    <w:rPr>
                      <w:color w:val="auto"/>
                      <w:sz w:val="18"/>
                      <w:szCs w:val="18"/>
                      <w:highlight w:val="none"/>
                    </w:rPr>
                  </w:pPr>
                </w:p>
              </w:tc>
              <w:tc>
                <w:tcPr>
                  <w:tcW w:w="1195" w:type="dxa"/>
                  <w:shd w:val="clear" w:color="auto" w:fill="auto"/>
                  <w:noWrap w:val="0"/>
                  <w:vAlign w:val="center"/>
                </w:tcPr>
                <w:p w14:paraId="0505FFCB">
                  <w:pPr>
                    <w:spacing w:line="240" w:lineRule="exact"/>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氮氧化物</w:t>
                  </w:r>
                </w:p>
              </w:tc>
              <w:tc>
                <w:tcPr>
                  <w:tcW w:w="1196" w:type="dxa"/>
                  <w:shd w:val="clear" w:color="auto" w:fill="auto"/>
                  <w:noWrap w:val="0"/>
                  <w:vAlign w:val="center"/>
                </w:tcPr>
                <w:p w14:paraId="7025336E">
                  <w:pPr>
                    <w:spacing w:line="240" w:lineRule="exact"/>
                    <w:jc w:val="center"/>
                    <w:rPr>
                      <w:color w:val="auto"/>
                      <w:sz w:val="18"/>
                      <w:szCs w:val="18"/>
                      <w:highlight w:val="none"/>
                    </w:rPr>
                  </w:pPr>
                  <w:r>
                    <w:rPr>
                      <w:color w:val="auto"/>
                      <w:sz w:val="18"/>
                      <w:szCs w:val="18"/>
                      <w:highlight w:val="none"/>
                    </w:rPr>
                    <w:t>g/m</w:t>
                  </w:r>
                  <w:r>
                    <w:rPr>
                      <w:color w:val="auto"/>
                      <w:sz w:val="18"/>
                      <w:szCs w:val="18"/>
                      <w:highlight w:val="none"/>
                      <w:vertAlign w:val="superscript"/>
                    </w:rPr>
                    <w:t>3</w:t>
                  </w:r>
                  <w:r>
                    <w:rPr>
                      <w:rFonts w:hint="eastAsia"/>
                      <w:color w:val="auto"/>
                      <w:sz w:val="18"/>
                      <w:szCs w:val="18"/>
                      <w:highlight w:val="none"/>
                      <w:lang w:val="en-US" w:eastAsia="zh-CN"/>
                    </w:rPr>
                    <w:t>燃料</w:t>
                  </w:r>
                </w:p>
              </w:tc>
              <w:tc>
                <w:tcPr>
                  <w:tcW w:w="1211" w:type="dxa"/>
                  <w:shd w:val="clear" w:color="auto" w:fill="auto"/>
                  <w:noWrap w:val="0"/>
                  <w:vAlign w:val="center"/>
                </w:tcPr>
                <w:p w14:paraId="7D7FECF6">
                  <w:pPr>
                    <w:spacing w:line="240" w:lineRule="exact"/>
                    <w:jc w:val="center"/>
                    <w:rPr>
                      <w:color w:val="auto"/>
                      <w:sz w:val="18"/>
                      <w:szCs w:val="18"/>
                      <w:highlight w:val="none"/>
                    </w:rPr>
                  </w:pPr>
                  <w:r>
                    <w:rPr>
                      <w:rFonts w:hint="eastAsia"/>
                      <w:color w:val="auto"/>
                      <w:sz w:val="18"/>
                      <w:szCs w:val="18"/>
                      <w:highlight w:val="none"/>
                      <w:lang w:val="en-US" w:eastAsia="zh-CN"/>
                    </w:rPr>
                    <w:t>0.1625</w:t>
                  </w:r>
                </w:p>
              </w:tc>
              <w:tc>
                <w:tcPr>
                  <w:tcW w:w="1228" w:type="dxa"/>
                  <w:shd w:val="clear" w:color="auto" w:fill="auto"/>
                  <w:noWrap w:val="0"/>
                  <w:vAlign w:val="center"/>
                </w:tcPr>
                <w:p w14:paraId="3891CFC5">
                  <w:pPr>
                    <w:spacing w:line="240" w:lineRule="exact"/>
                    <w:jc w:val="center"/>
                    <w:rPr>
                      <w:color w:val="auto"/>
                      <w:sz w:val="18"/>
                      <w:szCs w:val="18"/>
                      <w:highlight w:val="none"/>
                    </w:rPr>
                  </w:pPr>
                  <w:r>
                    <w:rPr>
                      <w:rFonts w:hint="eastAsia"/>
                      <w:color w:val="auto"/>
                      <w:sz w:val="18"/>
                      <w:szCs w:val="18"/>
                      <w:highlight w:val="none"/>
                      <w:lang w:val="en-US" w:eastAsia="zh-CN"/>
                    </w:rPr>
                    <w:t>0.044</w:t>
                  </w:r>
                </w:p>
              </w:tc>
            </w:tr>
            <w:tr w14:paraId="5E852D9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PrEx>
              <w:trPr>
                <w:jc w:val="center"/>
              </w:trPr>
              <w:tc>
                <w:tcPr>
                  <w:tcW w:w="1190" w:type="dxa"/>
                  <w:vMerge w:val="continue"/>
                  <w:noWrap w:val="0"/>
                  <w:vAlign w:val="center"/>
                </w:tcPr>
                <w:p w14:paraId="34DF9C36">
                  <w:pPr>
                    <w:spacing w:line="240" w:lineRule="exact"/>
                    <w:jc w:val="center"/>
                    <w:rPr>
                      <w:color w:val="auto"/>
                      <w:sz w:val="18"/>
                      <w:szCs w:val="18"/>
                      <w:highlight w:val="none"/>
                    </w:rPr>
                  </w:pPr>
                </w:p>
              </w:tc>
              <w:tc>
                <w:tcPr>
                  <w:tcW w:w="1191" w:type="dxa"/>
                  <w:vMerge w:val="continue"/>
                  <w:noWrap w:val="0"/>
                  <w:vAlign w:val="center"/>
                </w:tcPr>
                <w:p w14:paraId="36A49AD4">
                  <w:pPr>
                    <w:spacing w:line="240" w:lineRule="exact"/>
                    <w:jc w:val="center"/>
                    <w:rPr>
                      <w:color w:val="auto"/>
                      <w:sz w:val="18"/>
                      <w:szCs w:val="18"/>
                      <w:highlight w:val="none"/>
                    </w:rPr>
                  </w:pPr>
                </w:p>
              </w:tc>
              <w:tc>
                <w:tcPr>
                  <w:tcW w:w="1195" w:type="dxa"/>
                  <w:vMerge w:val="continue"/>
                  <w:noWrap w:val="0"/>
                  <w:vAlign w:val="center"/>
                </w:tcPr>
                <w:p w14:paraId="2BAEFFBB">
                  <w:pPr>
                    <w:spacing w:line="240" w:lineRule="exact"/>
                    <w:jc w:val="center"/>
                    <w:rPr>
                      <w:color w:val="auto"/>
                      <w:sz w:val="18"/>
                      <w:szCs w:val="18"/>
                      <w:highlight w:val="none"/>
                    </w:rPr>
                  </w:pPr>
                </w:p>
              </w:tc>
              <w:tc>
                <w:tcPr>
                  <w:tcW w:w="1195" w:type="dxa"/>
                  <w:shd w:val="clear" w:color="auto" w:fill="auto"/>
                  <w:noWrap w:val="0"/>
                  <w:vAlign w:val="center"/>
                </w:tcPr>
                <w:p w14:paraId="4DF8F517">
                  <w:pPr>
                    <w:spacing w:line="240" w:lineRule="exact"/>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烟尘</w:t>
                  </w:r>
                </w:p>
              </w:tc>
              <w:tc>
                <w:tcPr>
                  <w:tcW w:w="1196" w:type="dxa"/>
                  <w:shd w:val="clear" w:color="auto" w:fill="auto"/>
                  <w:noWrap w:val="0"/>
                  <w:vAlign w:val="center"/>
                </w:tcPr>
                <w:p w14:paraId="33A938FD">
                  <w:pPr>
                    <w:spacing w:line="240" w:lineRule="exact"/>
                    <w:jc w:val="center"/>
                    <w:rPr>
                      <w:color w:val="auto"/>
                      <w:sz w:val="18"/>
                      <w:szCs w:val="18"/>
                      <w:highlight w:val="none"/>
                    </w:rPr>
                  </w:pPr>
                  <w:r>
                    <w:rPr>
                      <w:color w:val="auto"/>
                      <w:sz w:val="18"/>
                      <w:szCs w:val="18"/>
                      <w:highlight w:val="none"/>
                    </w:rPr>
                    <w:t>g/m</w:t>
                  </w:r>
                  <w:r>
                    <w:rPr>
                      <w:color w:val="auto"/>
                      <w:sz w:val="18"/>
                      <w:szCs w:val="18"/>
                      <w:highlight w:val="none"/>
                      <w:vertAlign w:val="superscript"/>
                    </w:rPr>
                    <w:t>3</w:t>
                  </w:r>
                  <w:r>
                    <w:rPr>
                      <w:rFonts w:hint="eastAsia"/>
                      <w:color w:val="auto"/>
                      <w:sz w:val="18"/>
                      <w:szCs w:val="18"/>
                      <w:highlight w:val="none"/>
                      <w:lang w:val="en-US" w:eastAsia="zh-CN"/>
                    </w:rPr>
                    <w:t>燃料</w:t>
                  </w:r>
                </w:p>
              </w:tc>
              <w:tc>
                <w:tcPr>
                  <w:tcW w:w="1211" w:type="dxa"/>
                  <w:shd w:val="clear" w:color="auto" w:fill="auto"/>
                  <w:noWrap w:val="0"/>
                  <w:vAlign w:val="center"/>
                </w:tcPr>
                <w:p w14:paraId="3C58A27C">
                  <w:pPr>
                    <w:spacing w:line="240" w:lineRule="exact"/>
                    <w:jc w:val="center"/>
                    <w:rPr>
                      <w:color w:val="auto"/>
                      <w:sz w:val="18"/>
                      <w:szCs w:val="18"/>
                      <w:highlight w:val="none"/>
                    </w:rPr>
                  </w:pPr>
                  <w:r>
                    <w:rPr>
                      <w:rFonts w:hint="eastAsia"/>
                      <w:color w:val="auto"/>
                      <w:sz w:val="18"/>
                      <w:szCs w:val="18"/>
                      <w:highlight w:val="none"/>
                      <w:lang w:val="en-US" w:eastAsia="zh-CN"/>
                    </w:rPr>
                    <w:t>2.4446</w:t>
                  </w:r>
                </w:p>
              </w:tc>
              <w:tc>
                <w:tcPr>
                  <w:tcW w:w="1228" w:type="dxa"/>
                  <w:shd w:val="clear" w:color="auto" w:fill="auto"/>
                  <w:noWrap w:val="0"/>
                  <w:vAlign w:val="center"/>
                </w:tcPr>
                <w:p w14:paraId="3ACF858D">
                  <w:pPr>
                    <w:spacing w:line="240" w:lineRule="exact"/>
                    <w:jc w:val="center"/>
                    <w:rPr>
                      <w:color w:val="auto"/>
                      <w:sz w:val="18"/>
                      <w:szCs w:val="18"/>
                      <w:highlight w:val="none"/>
                    </w:rPr>
                  </w:pPr>
                  <w:r>
                    <w:rPr>
                      <w:rFonts w:hint="eastAsia"/>
                      <w:color w:val="auto"/>
                      <w:sz w:val="18"/>
                      <w:szCs w:val="18"/>
                      <w:highlight w:val="none"/>
                      <w:lang w:val="en-US" w:eastAsia="zh-CN"/>
                    </w:rPr>
                    <w:t>0.66</w:t>
                  </w:r>
                </w:p>
              </w:tc>
            </w:tr>
          </w:tbl>
          <w:p w14:paraId="462D80EC">
            <w:pPr>
              <w:adjustRightInd w:val="0"/>
              <w:snapToGrid w:val="0"/>
              <w:spacing w:line="360" w:lineRule="auto"/>
              <w:ind w:firstLine="420" w:firstLineChars="200"/>
              <w:rPr>
                <w:rFonts w:hint="eastAsia" w:ascii="Times New Roman" w:hAnsi="Times New Roman" w:eastAsia="宋体" w:cs="Times New Roman"/>
                <w:bCs/>
                <w:color w:val="auto"/>
                <w:szCs w:val="21"/>
                <w:highlight w:val="none"/>
                <w:lang w:eastAsia="zh-CN"/>
              </w:rPr>
            </w:pPr>
            <w:r>
              <w:rPr>
                <w:rFonts w:hint="default" w:ascii="Times New Roman" w:hAnsi="Times New Roman" w:cs="Times New Roman" w:eastAsiaTheme="minorEastAsia"/>
                <w:color w:val="auto"/>
                <w:sz w:val="21"/>
                <w:szCs w:val="21"/>
                <w:highlight w:val="none"/>
                <w:lang w:val="en-US" w:eastAsia="zh-CN"/>
              </w:rPr>
              <w:t>本项目</w:t>
            </w:r>
            <w:r>
              <w:rPr>
                <w:rFonts w:hint="eastAsia"/>
                <w:color w:val="auto"/>
                <w:sz w:val="21"/>
                <w:szCs w:val="21"/>
                <w:highlight w:val="none"/>
                <w:lang w:val="en-US" w:eastAsia="zh-CN"/>
              </w:rPr>
              <w:t>烧制工序</w:t>
            </w:r>
            <w:r>
              <w:rPr>
                <w:rFonts w:hint="default" w:ascii="Times New Roman" w:hAnsi="Times New Roman" w:eastAsia="宋体" w:cs="Times New Roman"/>
                <w:color w:val="auto"/>
                <w:sz w:val="21"/>
                <w:szCs w:val="21"/>
                <w:highlight w:val="none"/>
                <w:lang w:val="en-US" w:eastAsia="zh-CN"/>
              </w:rPr>
              <w:t>天然气用量</w:t>
            </w:r>
            <w:r>
              <w:rPr>
                <w:rFonts w:hint="eastAsia" w:cs="Times New Roman"/>
                <w:color w:val="auto"/>
                <w:sz w:val="21"/>
                <w:szCs w:val="21"/>
                <w:highlight w:val="none"/>
                <w:lang w:val="en-US" w:eastAsia="zh-CN"/>
              </w:rPr>
              <w:t>27万</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/a，</w:t>
            </w:r>
            <w:r>
              <w:rPr>
                <w:rFonts w:hint="default" w:ascii="Times New Roman" w:hAnsi="Times New Roman" w:cs="Times New Roman"/>
                <w:color w:val="auto"/>
                <w:sz w:val="21"/>
                <w:szCs w:val="21"/>
                <w:highlight w:val="none"/>
              </w:rPr>
              <w:t>经计算，</w:t>
            </w:r>
            <w:r>
              <w:rPr>
                <w:color w:val="auto"/>
                <w:sz w:val="21"/>
                <w:szCs w:val="21"/>
                <w:highlight w:val="none"/>
              </w:rPr>
              <w:t>颗粒物、SO</w:t>
            </w:r>
            <w:r>
              <w:rPr>
                <w:color w:val="auto"/>
                <w:sz w:val="21"/>
                <w:szCs w:val="21"/>
                <w:highlight w:val="none"/>
                <w:vertAlign w:val="subscript"/>
              </w:rPr>
              <w:t>2</w:t>
            </w:r>
            <w:r>
              <w:rPr>
                <w:color w:val="auto"/>
                <w:sz w:val="21"/>
                <w:szCs w:val="21"/>
                <w:highlight w:val="none"/>
              </w:rPr>
              <w:t>、NO</w:t>
            </w:r>
            <w:r>
              <w:rPr>
                <w:color w:val="auto"/>
                <w:sz w:val="21"/>
                <w:szCs w:val="21"/>
                <w:highlight w:val="none"/>
                <w:vertAlign w:val="subscript"/>
              </w:rPr>
              <w:t>X</w:t>
            </w:r>
            <w:r>
              <w:rPr>
                <w:rFonts w:hint="eastAsia"/>
                <w:color w:val="auto"/>
                <w:sz w:val="21"/>
                <w:szCs w:val="21"/>
                <w:highlight w:val="none"/>
              </w:rPr>
              <w:t>产生量</w:t>
            </w:r>
            <w:r>
              <w:rPr>
                <w:color w:val="auto"/>
                <w:sz w:val="21"/>
                <w:szCs w:val="21"/>
                <w:highlight w:val="none"/>
              </w:rPr>
              <w:t>分别为</w:t>
            </w:r>
            <w:r>
              <w:rPr>
                <w:rFonts w:hint="eastAsia"/>
                <w:color w:val="auto"/>
                <w:sz w:val="21"/>
                <w:szCs w:val="21"/>
                <w:highlight w:val="none"/>
                <w:lang w:val="en-US" w:eastAsia="zh-CN"/>
              </w:rPr>
              <w:t>0.044</w:t>
            </w:r>
            <w:r>
              <w:rPr>
                <w:color w:val="auto"/>
                <w:sz w:val="21"/>
                <w:szCs w:val="21"/>
                <w:highlight w:val="none"/>
              </w:rPr>
              <w:t>t/a、0.</w:t>
            </w:r>
            <w:r>
              <w:rPr>
                <w:rFonts w:hint="eastAsia"/>
                <w:color w:val="auto"/>
                <w:sz w:val="21"/>
                <w:szCs w:val="21"/>
                <w:highlight w:val="none"/>
                <w:lang w:val="en-US" w:eastAsia="zh-CN"/>
              </w:rPr>
              <w:t>044</w:t>
            </w:r>
            <w:r>
              <w:rPr>
                <w:color w:val="auto"/>
                <w:sz w:val="21"/>
                <w:szCs w:val="21"/>
                <w:highlight w:val="none"/>
              </w:rPr>
              <w:t>t/a、</w:t>
            </w:r>
            <w:r>
              <w:rPr>
                <w:rFonts w:hint="eastAsia"/>
                <w:color w:val="auto"/>
                <w:sz w:val="21"/>
                <w:szCs w:val="21"/>
                <w:highlight w:val="none"/>
                <w:lang w:val="en-US" w:eastAsia="zh-CN"/>
              </w:rPr>
              <w:t>0.66</w:t>
            </w:r>
            <w:r>
              <w:rPr>
                <w:color w:val="auto"/>
                <w:sz w:val="21"/>
                <w:szCs w:val="21"/>
                <w:highlight w:val="none"/>
              </w:rPr>
              <w:t>t/a</w:t>
            </w:r>
            <w:r>
              <w:rPr>
                <w:rFonts w:hint="eastAsia"/>
                <w:color w:val="auto"/>
                <w:sz w:val="21"/>
                <w:szCs w:val="21"/>
                <w:highlight w:val="none"/>
                <w:lang w:eastAsia="zh-CN"/>
              </w:rPr>
              <w:t>。</w:t>
            </w:r>
          </w:p>
          <w:p w14:paraId="26EBD88A">
            <w:pPr>
              <w:numPr>
                <w:ilvl w:val="0"/>
                <w:numId w:val="0"/>
              </w:numPr>
              <w:adjustRightInd w:val="0"/>
              <w:snapToGrid w:val="0"/>
              <w:spacing w:line="360" w:lineRule="auto"/>
              <w:ind w:firstLine="420" w:firstLineChars="200"/>
              <w:rPr>
                <w:rFonts w:hint="eastAsia"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w:t>
            </w:r>
            <w:r>
              <w:rPr>
                <w:rFonts w:hint="eastAsia" w:cs="Times New Roman"/>
                <w:color w:val="auto"/>
                <w:sz w:val="21"/>
                <w:szCs w:val="21"/>
                <w:highlight w:val="none"/>
                <w:lang w:val="en-US" w:eastAsia="zh-CN"/>
              </w:rPr>
              <w:t>SNCR脱硝</w:t>
            </w:r>
            <w:r>
              <w:rPr>
                <w:rFonts w:hint="default" w:ascii="Times New Roman" w:hAnsi="Times New Roman" w:cs="Times New Roman"/>
                <w:color w:val="auto"/>
                <w:sz w:val="21"/>
                <w:szCs w:val="21"/>
                <w:highlight w:val="none"/>
                <w:lang w:val="en-US" w:eastAsia="zh-CN"/>
              </w:rPr>
              <w:t>过程未被利用逃逸的氨、臭气浓度</w:t>
            </w:r>
            <w:r>
              <w:rPr>
                <w:rFonts w:hint="eastAsia" w:cs="Times New Roman"/>
                <w:color w:val="auto"/>
                <w:sz w:val="21"/>
                <w:szCs w:val="21"/>
                <w:highlight w:val="none"/>
                <w:lang w:val="en-US" w:eastAsia="zh-CN"/>
              </w:rPr>
              <w:t>（G5）</w:t>
            </w:r>
          </w:p>
          <w:p w14:paraId="545E9556">
            <w:pPr>
              <w:pStyle w:val="2"/>
              <w:numPr>
                <w:ilvl w:val="-1"/>
                <w:numId w:val="0"/>
              </w:numPr>
              <w:adjustRightInd w:val="0"/>
              <w:snapToGrid w:val="0"/>
              <w:spacing w:after="0" w:line="360" w:lineRule="auto"/>
              <w:ind w:left="0" w:leftChars="0" w:firstLine="420" w:firstLineChars="20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lang w:val="en-US" w:eastAsia="zh-CN"/>
              </w:rPr>
              <w:t>SNCR脱硝设施未被利用逃逸出的氨排放量按照《火电厂污染防治可行技术指南》(HJ 2301-2017)，</w:t>
            </w:r>
            <w:r>
              <w:rPr>
                <w:rFonts w:hint="eastAsia" w:cs="Times New Roman"/>
                <w:color w:val="auto"/>
                <w:sz w:val="21"/>
                <w:szCs w:val="21"/>
                <w:highlight w:val="none"/>
                <w:lang w:val="en-US" w:eastAsia="zh-CN"/>
              </w:rPr>
              <w:t>氨逃逸浓度宜小于8mg/m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，本次环评按照8mg/</w:t>
            </w: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计</w:t>
            </w:r>
            <w:r>
              <w:rPr>
                <w:rFonts w:hint="default" w:ascii="Times New Roman" w:hAnsi="Times New Roman" w:cs="Times New Roman"/>
                <w:color w:val="auto"/>
                <w:sz w:val="21"/>
                <w:szCs w:val="21"/>
                <w:highlight w:val="none"/>
                <w:lang w:val="en-US" w:eastAsia="zh-CN"/>
              </w:rPr>
              <w:t>。</w:t>
            </w:r>
          </w:p>
          <w:p w14:paraId="0AD9B9F3">
            <w:pPr>
              <w:pStyle w:val="2"/>
              <w:adjustRightInd w:val="0"/>
              <w:snapToGrid w:val="0"/>
              <w:spacing w:after="0" w:line="360" w:lineRule="auto"/>
              <w:ind w:left="0" w:leftChars="0" w:firstLine="422"/>
              <w:rPr>
                <w:rFonts w:hint="eastAsia" w:eastAsia="宋体"/>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本项目烟气量为</w:t>
            </w:r>
            <w:r>
              <w:rPr>
                <w:rFonts w:hint="eastAsia" w:cs="Times New Roman"/>
                <w:color w:val="auto"/>
                <w:sz w:val="21"/>
                <w:szCs w:val="21"/>
                <w:highlight w:val="none"/>
                <w:lang w:val="en-US" w:eastAsia="zh-CN"/>
              </w:rPr>
              <w:t>2000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cs="Times New Roman"/>
                <w:color w:val="auto"/>
                <w:sz w:val="21"/>
                <w:szCs w:val="21"/>
                <w:highlight w:val="none"/>
                <w:lang w:val="en-US" w:eastAsia="zh-CN"/>
              </w:rPr>
              <w:t>，则氨的排放量为0.</w:t>
            </w:r>
            <w:r>
              <w:rPr>
                <w:rFonts w:hint="eastAsia" w:cs="Times New Roman"/>
                <w:color w:val="auto"/>
                <w:sz w:val="21"/>
                <w:szCs w:val="21"/>
                <w:highlight w:val="none"/>
                <w:lang w:val="en-US" w:eastAsia="zh-CN"/>
              </w:rPr>
              <w:t>115</w:t>
            </w:r>
            <w:r>
              <w:rPr>
                <w:rFonts w:hint="default" w:ascii="Times New Roman" w:hAnsi="Times New Roman" w:cs="Times New Roman"/>
                <w:color w:val="auto"/>
                <w:sz w:val="21"/>
                <w:szCs w:val="21"/>
                <w:highlight w:val="none"/>
                <w:lang w:val="en-US" w:eastAsia="zh-CN"/>
              </w:rPr>
              <w:t>t/a，经计算，氨有组织排放速率为0.0</w:t>
            </w:r>
            <w:r>
              <w:rPr>
                <w:rFonts w:hint="eastAsia" w:cs="Times New Roman"/>
                <w:color w:val="auto"/>
                <w:sz w:val="21"/>
                <w:szCs w:val="21"/>
                <w:highlight w:val="none"/>
                <w:lang w:val="en-US" w:eastAsia="zh-CN"/>
              </w:rPr>
              <w:t>48</w:t>
            </w:r>
            <w:r>
              <w:rPr>
                <w:rFonts w:hint="default" w:ascii="Times New Roman" w:hAnsi="Times New Roman" w:cs="Times New Roman"/>
                <w:color w:val="auto"/>
                <w:sz w:val="21"/>
                <w:szCs w:val="21"/>
                <w:highlight w:val="none"/>
                <w:lang w:val="en-US" w:eastAsia="zh-CN"/>
              </w:rPr>
              <w:t>kg/h</w:t>
            </w:r>
            <w:r>
              <w:rPr>
                <w:rFonts w:hint="eastAsia" w:cs="Times New Roman"/>
                <w:color w:val="auto"/>
                <w:sz w:val="21"/>
                <w:szCs w:val="21"/>
                <w:highlight w:val="none"/>
                <w:lang w:val="en-US" w:eastAsia="zh-CN"/>
              </w:rPr>
              <w:t>，排放浓度为8</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cs="Times New Roman"/>
                <w:color w:val="auto"/>
                <w:sz w:val="21"/>
                <w:szCs w:val="21"/>
                <w:highlight w:val="none"/>
                <w:vertAlign w:val="baseline"/>
                <w:lang w:eastAsia="zh-CN"/>
              </w:rPr>
              <w:t>，</w:t>
            </w:r>
            <w:r>
              <w:rPr>
                <w:color w:val="auto"/>
                <w:sz w:val="21"/>
                <w:szCs w:val="21"/>
                <w:highlight w:val="none"/>
              </w:rPr>
              <w:t>氨</w:t>
            </w:r>
            <w:r>
              <w:rPr>
                <w:rFonts w:hint="eastAsia"/>
                <w:color w:val="auto"/>
                <w:sz w:val="21"/>
                <w:szCs w:val="21"/>
                <w:highlight w:val="none"/>
                <w:lang w:eastAsia="zh-CN"/>
              </w:rPr>
              <w:t>、</w:t>
            </w:r>
            <w:r>
              <w:rPr>
                <w:rFonts w:hint="eastAsia"/>
                <w:color w:val="auto"/>
                <w:sz w:val="21"/>
                <w:szCs w:val="21"/>
                <w:highlight w:val="none"/>
                <w:lang w:val="en-US" w:eastAsia="zh-CN"/>
              </w:rPr>
              <w:t>臭气浓度</w:t>
            </w:r>
            <w:r>
              <w:rPr>
                <w:color w:val="auto"/>
                <w:sz w:val="21"/>
                <w:szCs w:val="21"/>
                <w:highlight w:val="none"/>
              </w:rPr>
              <w:t>有组织排放执行《恶臭污染物排放标准》（GB14554-93）表2中标准（</w:t>
            </w:r>
            <w:r>
              <w:rPr>
                <w:rFonts w:hint="eastAsia"/>
                <w:color w:val="auto"/>
                <w:sz w:val="21"/>
                <w:szCs w:val="21"/>
                <w:highlight w:val="none"/>
                <w:lang w:val="en-US" w:eastAsia="zh-CN"/>
              </w:rPr>
              <w:t>15</w:t>
            </w:r>
            <w:r>
              <w:rPr>
                <w:color w:val="auto"/>
                <w:sz w:val="21"/>
                <w:szCs w:val="21"/>
                <w:highlight w:val="none"/>
              </w:rPr>
              <w:t>m排气筒，</w:t>
            </w:r>
            <w:r>
              <w:rPr>
                <w:rFonts w:hint="eastAsia"/>
                <w:color w:val="auto"/>
                <w:sz w:val="21"/>
                <w:szCs w:val="21"/>
                <w:highlight w:val="none"/>
                <w:lang w:val="en-US" w:eastAsia="zh-CN"/>
              </w:rPr>
              <w:t>氨4.9</w:t>
            </w:r>
            <w:r>
              <w:rPr>
                <w:color w:val="auto"/>
                <w:sz w:val="21"/>
                <w:szCs w:val="21"/>
                <w:highlight w:val="none"/>
              </w:rPr>
              <w:t>kg/h</w:t>
            </w:r>
            <w:r>
              <w:rPr>
                <w:rFonts w:hint="eastAsia"/>
                <w:color w:val="auto"/>
                <w:sz w:val="21"/>
                <w:szCs w:val="21"/>
                <w:highlight w:val="none"/>
                <w:lang w:eastAsia="zh-CN"/>
              </w:rPr>
              <w:t>；</w:t>
            </w:r>
            <w:r>
              <w:rPr>
                <w:rFonts w:hint="eastAsia"/>
                <w:color w:val="auto"/>
                <w:sz w:val="21"/>
                <w:szCs w:val="21"/>
                <w:highlight w:val="none"/>
                <w:lang w:val="en-US" w:eastAsia="zh-CN"/>
              </w:rPr>
              <w:t>臭气浓度2000无量纲</w:t>
            </w:r>
            <w:r>
              <w:rPr>
                <w:color w:val="auto"/>
                <w:sz w:val="21"/>
                <w:szCs w:val="21"/>
                <w:highlight w:val="none"/>
              </w:rPr>
              <w:t>）</w:t>
            </w:r>
            <w:r>
              <w:rPr>
                <w:rFonts w:hint="eastAsia"/>
                <w:color w:val="auto"/>
                <w:sz w:val="21"/>
                <w:szCs w:val="21"/>
                <w:highlight w:val="none"/>
                <w:lang w:eastAsia="zh-CN"/>
              </w:rPr>
              <w:t>。</w:t>
            </w:r>
          </w:p>
          <w:p w14:paraId="6E32559B">
            <w:pPr>
              <w:pStyle w:val="2"/>
              <w:adjustRightInd w:val="0"/>
              <w:snapToGrid w:val="0"/>
              <w:spacing w:after="0" w:line="360" w:lineRule="auto"/>
              <w:ind w:left="0" w:leftChars="0" w:firstLine="422"/>
              <w:rPr>
                <w:rFonts w:hint="eastAsia"/>
                <w:color w:val="auto"/>
                <w:sz w:val="21"/>
                <w:szCs w:val="21"/>
                <w:highlight w:val="none"/>
                <w:lang w:val="en-US" w:eastAsia="zh-CN"/>
              </w:rPr>
            </w:pPr>
            <w:r>
              <w:rPr>
                <w:rFonts w:hint="eastAsia"/>
                <w:color w:val="auto"/>
                <w:sz w:val="21"/>
                <w:szCs w:val="21"/>
                <w:highlight w:val="none"/>
                <w:lang w:val="en-US" w:eastAsia="zh-CN"/>
              </w:rPr>
              <w:t>（7）包装工序产生的粉尘（G6）</w:t>
            </w:r>
          </w:p>
          <w:p w14:paraId="35EBFBA8">
            <w:pPr>
              <w:pStyle w:val="2"/>
              <w:adjustRightInd w:val="0"/>
              <w:snapToGrid w:val="0"/>
              <w:spacing w:after="0" w:line="360" w:lineRule="auto"/>
              <w:ind w:left="0" w:leftChars="0" w:firstLine="422"/>
              <w:rPr>
                <w:rFonts w:hint="default" w:ascii="Times New Roman" w:hAnsi="Times New Roman" w:cs="Times New Roman"/>
                <w:b/>
                <w:bCs/>
                <w:color w:val="auto"/>
                <w:szCs w:val="21"/>
                <w:highlight w:val="none"/>
              </w:rPr>
            </w:pPr>
            <w:r>
              <w:rPr>
                <w:rFonts w:hint="eastAsia"/>
                <w:color w:val="auto"/>
                <w:sz w:val="21"/>
                <w:szCs w:val="21"/>
                <w:highlight w:val="none"/>
                <w:lang w:val="en-US" w:eastAsia="zh-CN"/>
              </w:rPr>
              <w:t>包装工序产生的粉尘，参照《逸散性工业粉尘控制技术》中表22-1第8条，逸散性粉尘产生量约为0.02kg/t（装料），本项目产品产能为2400t/a，则包装工序粉尘产生量为0.048t/a。</w:t>
            </w:r>
          </w:p>
          <w:p w14:paraId="18D53799">
            <w:pPr>
              <w:pStyle w:val="2"/>
              <w:adjustRightInd w:val="0"/>
              <w:snapToGrid w:val="0"/>
              <w:spacing w:after="0" w:line="360" w:lineRule="auto"/>
              <w:ind w:left="0" w:leftChars="0" w:firstLine="422"/>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2、污染物排放情况核算</w:t>
            </w:r>
          </w:p>
          <w:p w14:paraId="56390DA3">
            <w:pPr>
              <w:pStyle w:val="2"/>
              <w:adjustRightInd w:val="0"/>
              <w:snapToGrid w:val="0"/>
              <w:spacing w:after="0" w:line="360" w:lineRule="auto"/>
              <w:ind w:left="0" w:leftChars="0" w:firstLine="422"/>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（1）有组织废气</w:t>
            </w:r>
          </w:p>
          <w:p w14:paraId="2180E805">
            <w:pPr>
              <w:adjustRightInd w:val="0"/>
              <w:snapToGrid w:val="0"/>
              <w:spacing w:line="360" w:lineRule="auto"/>
              <w:ind w:firstLine="420" w:firstLineChars="200"/>
              <w:rPr>
                <w:rFonts w:hint="eastAsia" w:eastAsia="宋体" w:cs="Times New Roman"/>
                <w:bCs/>
                <w:color w:val="auto"/>
                <w:highlight w:val="none"/>
                <w:lang w:val="en-US" w:eastAsia="zh-CN"/>
              </w:rPr>
            </w:pPr>
            <w:r>
              <w:rPr>
                <w:rFonts w:hint="eastAsia" w:cs="Times New Roman"/>
                <w:bCs/>
                <w:color w:val="auto"/>
                <w:lang w:val="en-US" w:eastAsia="zh-CN"/>
              </w:rPr>
              <w:t>本项目进料、筛分、上料、混料、装料、包装过程粉尘产生总量为3.359t/a，烧制工序和天然气燃烧</w:t>
            </w:r>
            <w:r>
              <w:rPr>
                <w:color w:val="auto"/>
                <w:sz w:val="21"/>
                <w:szCs w:val="21"/>
                <w:highlight w:val="none"/>
              </w:rPr>
              <w:t>颗粒物、SO</w:t>
            </w:r>
            <w:r>
              <w:rPr>
                <w:color w:val="auto"/>
                <w:sz w:val="21"/>
                <w:szCs w:val="21"/>
                <w:highlight w:val="none"/>
                <w:vertAlign w:val="subscript"/>
              </w:rPr>
              <w:t>2</w:t>
            </w:r>
            <w:r>
              <w:rPr>
                <w:color w:val="auto"/>
                <w:sz w:val="21"/>
                <w:szCs w:val="21"/>
                <w:highlight w:val="none"/>
              </w:rPr>
              <w:t>、NO</w:t>
            </w:r>
            <w:r>
              <w:rPr>
                <w:color w:val="auto"/>
                <w:sz w:val="21"/>
                <w:szCs w:val="21"/>
                <w:highlight w:val="none"/>
                <w:vertAlign w:val="subscript"/>
              </w:rPr>
              <w:t>X</w:t>
            </w:r>
            <w:r>
              <w:rPr>
                <w:rFonts w:hint="eastAsia"/>
                <w:color w:val="auto"/>
                <w:sz w:val="21"/>
                <w:szCs w:val="21"/>
                <w:highlight w:val="none"/>
              </w:rPr>
              <w:t>产生量</w:t>
            </w:r>
            <w:r>
              <w:rPr>
                <w:color w:val="auto"/>
                <w:sz w:val="21"/>
                <w:szCs w:val="21"/>
                <w:highlight w:val="none"/>
              </w:rPr>
              <w:t>分别为</w:t>
            </w:r>
            <w:r>
              <w:rPr>
                <w:rFonts w:hint="eastAsia"/>
                <w:color w:val="auto"/>
                <w:sz w:val="21"/>
                <w:szCs w:val="21"/>
                <w:highlight w:val="none"/>
                <w:lang w:val="en-US" w:eastAsia="zh-CN"/>
              </w:rPr>
              <w:t>0.764</w:t>
            </w:r>
            <w:r>
              <w:rPr>
                <w:color w:val="auto"/>
                <w:sz w:val="21"/>
                <w:szCs w:val="21"/>
                <w:highlight w:val="none"/>
              </w:rPr>
              <w:t>t/a、0.</w:t>
            </w:r>
            <w:r>
              <w:rPr>
                <w:rFonts w:hint="eastAsia"/>
                <w:color w:val="auto"/>
                <w:sz w:val="21"/>
                <w:szCs w:val="21"/>
                <w:highlight w:val="none"/>
                <w:lang w:val="en-US" w:eastAsia="zh-CN"/>
              </w:rPr>
              <w:t>044</w:t>
            </w:r>
            <w:r>
              <w:rPr>
                <w:color w:val="auto"/>
                <w:sz w:val="21"/>
                <w:szCs w:val="21"/>
                <w:highlight w:val="none"/>
              </w:rPr>
              <w:t>t/a、</w:t>
            </w:r>
            <w:r>
              <w:rPr>
                <w:rFonts w:hint="eastAsia"/>
                <w:color w:val="auto"/>
                <w:sz w:val="21"/>
                <w:szCs w:val="21"/>
                <w:highlight w:val="none"/>
                <w:lang w:val="en-US" w:eastAsia="zh-CN"/>
              </w:rPr>
              <w:t>0.66</w:t>
            </w:r>
            <w:r>
              <w:rPr>
                <w:color w:val="auto"/>
                <w:sz w:val="21"/>
                <w:szCs w:val="21"/>
                <w:highlight w:val="none"/>
              </w:rPr>
              <w:t>t/a</w:t>
            </w:r>
            <w:r>
              <w:rPr>
                <w:rFonts w:hint="eastAsia"/>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氨的排放量为0.</w:t>
            </w:r>
            <w:r>
              <w:rPr>
                <w:rFonts w:hint="eastAsia"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29</w:t>
            </w:r>
            <w:r>
              <w:rPr>
                <w:rFonts w:hint="default" w:ascii="Times New Roman" w:hAnsi="Times New Roman" w:cs="Times New Roman"/>
                <w:color w:val="auto"/>
                <w:sz w:val="21"/>
                <w:szCs w:val="21"/>
                <w:highlight w:val="none"/>
                <w:lang w:val="en-US" w:eastAsia="zh-CN"/>
              </w:rPr>
              <w:t>t/a</w:t>
            </w:r>
            <w:r>
              <w:rPr>
                <w:rFonts w:hint="eastAsia" w:ascii="Times New Roman" w:hAnsi="Times New Roman" w:cs="Times New Roman"/>
                <w:color w:val="auto"/>
                <w:sz w:val="21"/>
                <w:szCs w:val="21"/>
                <w:highlight w:val="none"/>
                <w:lang w:val="en-US" w:eastAsia="zh-CN"/>
              </w:rPr>
              <w:t>。</w:t>
            </w:r>
          </w:p>
          <w:p w14:paraId="5B49713F">
            <w:pPr>
              <w:adjustRightInd w:val="0"/>
              <w:snapToGrid w:val="0"/>
              <w:spacing w:line="360" w:lineRule="auto"/>
              <w:ind w:firstLine="420" w:firstLineChars="200"/>
              <w:rPr>
                <w:rFonts w:hint="default" w:ascii="Times New Roman" w:hAnsi="Times New Roman" w:cs="Times New Roman"/>
                <w:bCs/>
                <w:color w:val="auto"/>
                <w:highlight w:val="none"/>
                <w:lang w:val="en-US" w:eastAsia="zh-CN"/>
              </w:rPr>
            </w:pPr>
            <w:r>
              <w:rPr>
                <w:rFonts w:hint="eastAsia" w:cs="Times New Roman"/>
                <w:bCs/>
                <w:color w:val="auto"/>
                <w:highlight w:val="none"/>
                <w:lang w:val="en-US" w:eastAsia="zh-CN"/>
              </w:rPr>
              <w:t>烧制工序产生的粉尘和天然气燃烧产生的废气经SNCR脱硝+1#布袋除尘器处理后与SNCR脱硝过程未被利用逃逸的氨、臭气浓度一同经15m高排气筒（DA001）排放</w:t>
            </w:r>
            <w:r>
              <w:rPr>
                <w:rFonts w:hint="default" w:ascii="Times New Roman" w:hAnsi="Times New Roman" w:cs="Times New Roman"/>
                <w:bCs/>
                <w:color w:val="auto"/>
                <w:highlight w:val="none"/>
              </w:rPr>
              <w:t>；</w:t>
            </w:r>
            <w:r>
              <w:rPr>
                <w:rFonts w:hint="eastAsia" w:cs="Times New Roman"/>
                <w:bCs/>
                <w:color w:val="auto"/>
                <w:highlight w:val="none"/>
                <w:lang w:val="en-US" w:eastAsia="zh-CN"/>
              </w:rPr>
              <w:t>进料、筛分、上料、混料、装料、包装工序</w:t>
            </w:r>
            <w:r>
              <w:rPr>
                <w:rFonts w:hint="default" w:ascii="Times New Roman" w:hAnsi="Times New Roman" w:cs="Times New Roman"/>
                <w:bCs/>
                <w:color w:val="auto"/>
                <w:highlight w:val="none"/>
              </w:rPr>
              <w:t>产生的粉尘经</w:t>
            </w:r>
            <w:r>
              <w:rPr>
                <w:rFonts w:hint="eastAsia" w:cs="Times New Roman"/>
                <w:bCs/>
                <w:color w:val="auto"/>
                <w:highlight w:val="none"/>
                <w:lang w:val="en-US" w:eastAsia="zh-CN"/>
              </w:rPr>
              <w:t>集气罩收集，经2#布袋除尘器处理后由15m高排气筒（DA002）排放</w:t>
            </w:r>
            <w:r>
              <w:rPr>
                <w:rFonts w:hint="default" w:ascii="Times New Roman" w:hAnsi="Times New Roman" w:cs="Times New Roman"/>
                <w:bCs/>
                <w:color w:val="auto"/>
                <w:sz w:val="21"/>
                <w:szCs w:val="21"/>
                <w:highlight w:val="none"/>
              </w:rPr>
              <w:t>。</w:t>
            </w:r>
            <w:r>
              <w:rPr>
                <w:rFonts w:hint="eastAsia" w:cs="Times New Roman"/>
                <w:color w:val="auto"/>
                <w:sz w:val="21"/>
                <w:szCs w:val="21"/>
                <w:highlight w:val="none"/>
                <w:lang w:val="en-US" w:eastAsia="zh-CN"/>
              </w:rPr>
              <w:t>集气罩</w:t>
            </w:r>
            <w:r>
              <w:rPr>
                <w:rFonts w:hint="default" w:ascii="Times New Roman" w:hAnsi="Times New Roman" w:cs="Times New Roman"/>
                <w:color w:val="auto"/>
                <w:highlight w:val="none"/>
                <w:lang w:val="en-US" w:eastAsia="zh-CN"/>
              </w:rPr>
              <w:t>收集效率为95%</w:t>
            </w:r>
            <w:r>
              <w:rPr>
                <w:rFonts w:hint="eastAsia" w:ascii="Times New Roman" w:hAnsi="Times New Roman" w:cs="Times New Roman"/>
                <w:color w:val="auto"/>
                <w:highlight w:val="none"/>
                <w:lang w:val="en-US" w:eastAsia="zh-CN"/>
              </w:rPr>
              <w:t>，</w:t>
            </w:r>
            <w:r>
              <w:rPr>
                <w:rFonts w:hint="default" w:ascii="Times New Roman" w:hAnsi="Times New Roman" w:cs="Times New Roman"/>
                <w:bCs/>
                <w:color w:val="auto"/>
                <w:sz w:val="21"/>
                <w:szCs w:val="21"/>
                <w:highlight w:val="none"/>
                <w:lang w:val="en-US" w:eastAsia="zh-CN"/>
              </w:rPr>
              <w:t>SNCR脱硝</w:t>
            </w:r>
            <w:r>
              <w:rPr>
                <w:rFonts w:hint="eastAsia" w:cs="Times New Roman"/>
                <w:color w:val="auto"/>
                <w:sz w:val="21"/>
                <w:szCs w:val="21"/>
                <w:highlight w:val="none"/>
                <w:lang w:val="en-US" w:eastAsia="zh-CN"/>
              </w:rPr>
              <w:t>效率按50%，</w:t>
            </w:r>
            <w:r>
              <w:rPr>
                <w:rFonts w:hint="default" w:ascii="Times New Roman" w:hAnsi="Times New Roman" w:cs="Times New Roman"/>
                <w:color w:val="auto"/>
                <w:highlight w:val="none"/>
                <w:lang w:val="en-US" w:eastAsia="zh-CN"/>
              </w:rPr>
              <w:t>布袋除尘器</w:t>
            </w:r>
            <w:r>
              <w:rPr>
                <w:rFonts w:hint="eastAsia" w:ascii="Times New Roman" w:hAnsi="Times New Roman" w:cs="Times New Roman"/>
                <w:color w:val="auto"/>
                <w:highlight w:val="none"/>
                <w:lang w:val="en-US" w:eastAsia="zh-CN"/>
              </w:rPr>
              <w:t>处理效率为98%，</w:t>
            </w:r>
            <w:r>
              <w:rPr>
                <w:rFonts w:hint="default" w:ascii="Times New Roman" w:hAnsi="Times New Roman" w:cs="Times New Roman"/>
                <w:color w:val="auto"/>
                <w:highlight w:val="none"/>
                <w:lang w:val="en-US" w:eastAsia="zh-CN"/>
              </w:rPr>
              <w:t>本项目</w:t>
            </w:r>
            <w:r>
              <w:rPr>
                <w:rFonts w:hint="default" w:ascii="Times New Roman" w:hAnsi="Times New Roman" w:cs="Times New Roman"/>
                <w:bCs/>
                <w:color w:val="auto"/>
                <w:sz w:val="21"/>
                <w:szCs w:val="21"/>
                <w:highlight w:val="none"/>
                <w:lang w:val="en-US" w:eastAsia="zh-CN"/>
              </w:rPr>
              <w:t>年工作时间为</w:t>
            </w:r>
            <w:r>
              <w:rPr>
                <w:rFonts w:hint="eastAsia" w:cs="Times New Roman"/>
                <w:bCs/>
                <w:color w:val="auto"/>
                <w:sz w:val="21"/>
                <w:szCs w:val="21"/>
                <w:highlight w:val="none"/>
                <w:lang w:val="en-US" w:eastAsia="zh-CN"/>
              </w:rPr>
              <w:t>72</w:t>
            </w:r>
            <w:r>
              <w:rPr>
                <w:rFonts w:hint="default" w:ascii="Times New Roman" w:hAnsi="Times New Roman" w:cs="Times New Roman"/>
                <w:bCs/>
                <w:color w:val="auto"/>
                <w:sz w:val="21"/>
                <w:szCs w:val="21"/>
                <w:highlight w:val="none"/>
                <w:lang w:val="en-US" w:eastAsia="zh-CN"/>
              </w:rPr>
              <w:t>00h</w:t>
            </w:r>
            <w:r>
              <w:rPr>
                <w:rFonts w:hint="eastAsia" w:cs="Times New Roman"/>
                <w:bCs/>
                <w:color w:val="auto"/>
                <w:sz w:val="21"/>
                <w:szCs w:val="21"/>
                <w:highlight w:val="none"/>
                <w:lang w:val="en-US" w:eastAsia="zh-CN"/>
              </w:rPr>
              <w:t>，</w:t>
            </w:r>
            <w:r>
              <w:rPr>
                <w:rFonts w:hint="default" w:ascii="Times New Roman" w:hAnsi="Times New Roman" w:cs="Times New Roman"/>
                <w:color w:val="auto"/>
                <w:highlight w:val="none"/>
                <w:lang w:val="en-US" w:eastAsia="zh-CN"/>
              </w:rPr>
              <w:t>DA00</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排气筒风机风量为</w:t>
            </w:r>
            <w:r>
              <w:rPr>
                <w:rFonts w:hint="eastAsia" w:cs="Times New Roman"/>
                <w:color w:val="auto"/>
                <w:highlight w:val="none"/>
                <w:lang w:val="en-US" w:eastAsia="zh-CN"/>
              </w:rPr>
              <w:t>200</w:t>
            </w:r>
            <w:r>
              <w:rPr>
                <w:rFonts w:hint="eastAsia" w:ascii="Times New Roman" w:hAnsi="Times New Roman" w:cs="Times New Roman"/>
                <w:color w:val="auto"/>
                <w:highlight w:val="none"/>
                <w:lang w:val="en-US" w:eastAsia="zh-CN"/>
              </w:rPr>
              <w:t>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/h，DA00</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排气筒风机风量为</w:t>
            </w:r>
            <w:r>
              <w:rPr>
                <w:rFonts w:hint="eastAsia" w:cs="Times New Roman"/>
                <w:color w:val="auto"/>
                <w:highlight w:val="none"/>
                <w:lang w:val="en-US" w:eastAsia="zh-CN"/>
              </w:rPr>
              <w:t>6000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/h，具体污染物产排情况见下表。</w:t>
            </w:r>
          </w:p>
          <w:p w14:paraId="15D9DE70">
            <w:pPr>
              <w:pStyle w:val="2"/>
              <w:ind w:left="0" w:leftChars="0" w:firstLine="0" w:firstLineChars="0"/>
              <w:jc w:val="center"/>
              <w:rPr>
                <w:rFonts w:hint="default" w:ascii="Times New Roman" w:hAnsi="Times New Roman" w:cs="Times New Roman"/>
                <w:b/>
                <w:bCs w:val="0"/>
                <w:color w:val="auto"/>
                <w:sz w:val="21"/>
                <w:szCs w:val="21"/>
                <w:highlight w:val="none"/>
                <w:vertAlign w:val="baseline"/>
                <w:lang w:val="en-US" w:eastAsia="zh-CN"/>
              </w:rPr>
            </w:pPr>
          </w:p>
          <w:p w14:paraId="0AC7C00C">
            <w:pPr>
              <w:pStyle w:val="2"/>
              <w:ind w:left="0" w:leftChars="0" w:firstLine="0" w:firstLineChars="0"/>
              <w:jc w:val="center"/>
              <w:rPr>
                <w:rFonts w:hint="default" w:ascii="Times New Roman" w:hAnsi="Times New Roman" w:cs="Times New Roman"/>
                <w:b/>
                <w:bCs w:val="0"/>
                <w:color w:val="auto"/>
                <w:sz w:val="21"/>
                <w:szCs w:val="21"/>
                <w:highlight w:val="none"/>
                <w:vertAlign w:val="baseline"/>
                <w:lang w:val="en-US" w:eastAsia="zh-CN"/>
              </w:rPr>
            </w:pPr>
          </w:p>
          <w:p w14:paraId="46B744A7">
            <w:pPr>
              <w:pStyle w:val="2"/>
              <w:ind w:left="0" w:leftChars="0" w:firstLine="0" w:firstLineChars="0"/>
              <w:jc w:val="center"/>
              <w:rPr>
                <w:rFonts w:hint="default" w:ascii="Times New Roman" w:hAnsi="Times New Roman" w:cs="Times New Roman"/>
                <w:b/>
                <w:bCs w:val="0"/>
                <w:color w:val="auto"/>
                <w:highlight w:val="none"/>
                <w:lang w:val="en-US" w:eastAsia="zh-CN"/>
              </w:rPr>
            </w:pPr>
            <w:r>
              <w:rPr>
                <w:rFonts w:hint="default" w:ascii="Times New Roman" w:hAnsi="Times New Roman" w:cs="Times New Roman"/>
                <w:b/>
                <w:bCs w:val="0"/>
                <w:color w:val="auto"/>
                <w:sz w:val="21"/>
                <w:szCs w:val="21"/>
                <w:highlight w:val="none"/>
                <w:vertAlign w:val="baseline"/>
                <w:lang w:val="en-US" w:eastAsia="zh-CN"/>
              </w:rPr>
              <w:t>表4-</w:t>
            </w:r>
            <w:r>
              <w:rPr>
                <w:rFonts w:hint="eastAsia" w:cs="Times New Roman"/>
                <w:b/>
                <w:bCs w:val="0"/>
                <w:color w:val="auto"/>
                <w:sz w:val="21"/>
                <w:szCs w:val="21"/>
                <w:highlight w:val="none"/>
                <w:vertAlign w:val="baseline"/>
                <w:lang w:val="en-US" w:eastAsia="zh-CN"/>
              </w:rPr>
              <w:t>5</w:t>
            </w:r>
            <w:r>
              <w:rPr>
                <w:rFonts w:hint="default" w:ascii="Times New Roman" w:hAnsi="Times New Roman" w:cs="Times New Roman"/>
                <w:b/>
                <w:bCs w:val="0"/>
                <w:color w:val="auto"/>
                <w:sz w:val="21"/>
                <w:szCs w:val="21"/>
                <w:highlight w:val="none"/>
                <w:vertAlign w:val="baseline"/>
                <w:lang w:val="en-US" w:eastAsia="zh-CN"/>
              </w:rPr>
              <w:t xml:space="preserve"> 本项目污染物产生及排放情况一览表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83"/>
              <w:gridCol w:w="579"/>
              <w:gridCol w:w="635"/>
              <w:gridCol w:w="656"/>
              <w:gridCol w:w="616"/>
              <w:gridCol w:w="526"/>
              <w:gridCol w:w="469"/>
              <w:gridCol w:w="362"/>
              <w:gridCol w:w="510"/>
              <w:gridCol w:w="362"/>
              <w:gridCol w:w="203"/>
              <w:gridCol w:w="526"/>
              <w:gridCol w:w="616"/>
              <w:gridCol w:w="640"/>
              <w:gridCol w:w="469"/>
              <w:gridCol w:w="613"/>
            </w:tblGrid>
            <w:tr w14:paraId="0CED8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406" w:type="pct"/>
                  <w:vMerge w:val="restart"/>
                  <w:tcBorders>
                    <w:top w:val="single" w:color="auto" w:sz="4" w:space="0"/>
                    <w:left w:val="single" w:color="auto" w:sz="4" w:space="0"/>
                    <w:bottom w:val="single" w:color="auto" w:sz="4" w:space="0"/>
                    <w:right w:val="single" w:color="auto" w:sz="4" w:space="0"/>
                  </w:tcBorders>
                  <w:noWrap w:val="0"/>
                  <w:vAlign w:val="center"/>
                </w:tcPr>
                <w:p w14:paraId="4E069D2E">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产污环节</w:t>
                  </w:r>
                </w:p>
              </w:tc>
              <w:tc>
                <w:tcPr>
                  <w:tcW w:w="404" w:type="pct"/>
                  <w:vMerge w:val="restart"/>
                  <w:tcBorders>
                    <w:top w:val="single" w:color="auto" w:sz="4" w:space="0"/>
                    <w:left w:val="single" w:color="auto" w:sz="4" w:space="0"/>
                    <w:bottom w:val="single" w:color="auto" w:sz="4" w:space="0"/>
                    <w:right w:val="single" w:color="auto" w:sz="4" w:space="0"/>
                  </w:tcBorders>
                  <w:noWrap w:val="0"/>
                  <w:vAlign w:val="center"/>
                </w:tcPr>
                <w:p w14:paraId="310EB633">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p w14:paraId="5F37BC08">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种类</w:t>
                  </w:r>
                </w:p>
              </w:tc>
              <w:tc>
                <w:tcPr>
                  <w:tcW w:w="437" w:type="pct"/>
                  <w:vMerge w:val="restart"/>
                  <w:tcBorders>
                    <w:top w:val="single" w:color="auto" w:sz="4" w:space="0"/>
                    <w:left w:val="single" w:color="auto" w:sz="4" w:space="0"/>
                    <w:right w:val="single" w:color="auto" w:sz="4" w:space="0"/>
                  </w:tcBorders>
                  <w:noWrap w:val="0"/>
                  <w:vAlign w:val="center"/>
                </w:tcPr>
                <w:p w14:paraId="0D8ADD2E">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产生</w:t>
                  </w:r>
                  <w:r>
                    <w:rPr>
                      <w:rFonts w:hint="default" w:ascii="Times New Roman" w:hAnsi="Times New Roman" w:eastAsia="宋体" w:cs="Times New Roman"/>
                      <w:color w:val="auto"/>
                      <w:sz w:val="18"/>
                      <w:szCs w:val="18"/>
                      <w:highlight w:val="none"/>
                    </w:rPr>
                    <w:t>量t/a</w:t>
                  </w:r>
                </w:p>
              </w:tc>
              <w:tc>
                <w:tcPr>
                  <w:tcW w:w="1136" w:type="pct"/>
                  <w:gridSpan w:val="3"/>
                  <w:tcBorders>
                    <w:top w:val="single" w:color="auto" w:sz="4" w:space="0"/>
                    <w:left w:val="single" w:color="auto" w:sz="4" w:space="0"/>
                    <w:bottom w:val="single" w:color="auto" w:sz="4" w:space="0"/>
                    <w:right w:val="single" w:color="auto" w:sz="4" w:space="0"/>
                  </w:tcBorders>
                  <w:noWrap w:val="0"/>
                  <w:vAlign w:val="center"/>
                </w:tcPr>
                <w:p w14:paraId="3584B05E">
                  <w:pPr>
                    <w:spacing w:line="240" w:lineRule="auto"/>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有组织</w:t>
                  </w:r>
                  <w:r>
                    <w:rPr>
                      <w:rFonts w:hint="default" w:ascii="Times New Roman" w:hAnsi="Times New Roman" w:eastAsia="宋体" w:cs="Times New Roman"/>
                      <w:color w:val="auto"/>
                      <w:sz w:val="18"/>
                      <w:szCs w:val="18"/>
                      <w:highlight w:val="none"/>
                    </w:rPr>
                    <w:t>污染物产生</w:t>
                  </w:r>
                </w:p>
              </w:tc>
              <w:tc>
                <w:tcPr>
                  <w:tcW w:w="1219" w:type="pct"/>
                  <w:gridSpan w:val="5"/>
                  <w:tcBorders>
                    <w:top w:val="single" w:color="auto" w:sz="4" w:space="0"/>
                    <w:left w:val="single" w:color="auto" w:sz="4" w:space="0"/>
                    <w:bottom w:val="single" w:color="auto" w:sz="4" w:space="0"/>
                    <w:right w:val="single" w:color="auto" w:sz="4" w:space="0"/>
                  </w:tcBorders>
                  <w:noWrap w:val="0"/>
                  <w:vAlign w:val="center"/>
                </w:tcPr>
                <w:p w14:paraId="350F8C38">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治理设施</w:t>
                  </w:r>
                </w:p>
              </w:tc>
              <w:tc>
                <w:tcPr>
                  <w:tcW w:w="1395" w:type="pct"/>
                  <w:gridSpan w:val="5"/>
                  <w:tcBorders>
                    <w:top w:val="single" w:color="auto" w:sz="4" w:space="0"/>
                    <w:left w:val="single" w:color="auto" w:sz="4" w:space="0"/>
                    <w:bottom w:val="single" w:color="auto" w:sz="4" w:space="0"/>
                    <w:right w:val="single" w:color="auto" w:sz="4" w:space="0"/>
                  </w:tcBorders>
                  <w:noWrap w:val="0"/>
                  <w:vAlign w:val="center"/>
                </w:tcPr>
                <w:p w14:paraId="5E53DC46">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污染物排放</w:t>
                  </w:r>
                </w:p>
              </w:tc>
            </w:tr>
            <w:tr w14:paraId="34233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8" w:hRule="atLeast"/>
                <w:jc w:val="center"/>
              </w:trPr>
              <w:tc>
                <w:tcPr>
                  <w:tcW w:w="406" w:type="pct"/>
                  <w:vMerge w:val="continue"/>
                  <w:tcBorders>
                    <w:top w:val="single" w:color="auto" w:sz="4" w:space="0"/>
                    <w:left w:val="single" w:color="auto" w:sz="4" w:space="0"/>
                    <w:bottom w:val="single" w:color="auto" w:sz="4" w:space="0"/>
                    <w:right w:val="single" w:color="auto" w:sz="4" w:space="0"/>
                  </w:tcBorders>
                  <w:noWrap w:val="0"/>
                  <w:vAlign w:val="center"/>
                </w:tcPr>
                <w:p w14:paraId="544F4095">
                  <w:pPr>
                    <w:spacing w:line="240" w:lineRule="auto"/>
                    <w:jc w:val="center"/>
                    <w:rPr>
                      <w:rFonts w:hint="default" w:ascii="Times New Roman" w:hAnsi="Times New Roman" w:eastAsia="宋体" w:cs="Times New Roman"/>
                      <w:color w:val="auto"/>
                      <w:sz w:val="18"/>
                      <w:szCs w:val="18"/>
                      <w:highlight w:val="none"/>
                    </w:rPr>
                  </w:pPr>
                </w:p>
              </w:tc>
              <w:tc>
                <w:tcPr>
                  <w:tcW w:w="404" w:type="pct"/>
                  <w:vMerge w:val="continue"/>
                  <w:tcBorders>
                    <w:top w:val="single" w:color="auto" w:sz="4" w:space="0"/>
                    <w:left w:val="single" w:color="auto" w:sz="4" w:space="0"/>
                    <w:bottom w:val="single" w:color="auto" w:sz="4" w:space="0"/>
                    <w:right w:val="single" w:color="auto" w:sz="4" w:space="0"/>
                  </w:tcBorders>
                  <w:noWrap w:val="0"/>
                  <w:vAlign w:val="center"/>
                </w:tcPr>
                <w:p w14:paraId="742DC175">
                  <w:pPr>
                    <w:spacing w:line="240" w:lineRule="auto"/>
                    <w:jc w:val="center"/>
                    <w:rPr>
                      <w:rFonts w:hint="default" w:ascii="Times New Roman" w:hAnsi="Times New Roman" w:eastAsia="宋体" w:cs="Times New Roman"/>
                      <w:color w:val="auto"/>
                      <w:sz w:val="18"/>
                      <w:szCs w:val="18"/>
                      <w:highlight w:val="none"/>
                    </w:rPr>
                  </w:pPr>
                </w:p>
              </w:tc>
              <w:tc>
                <w:tcPr>
                  <w:tcW w:w="437" w:type="pct"/>
                  <w:vMerge w:val="continue"/>
                  <w:tcBorders>
                    <w:left w:val="single" w:color="auto" w:sz="4" w:space="0"/>
                    <w:bottom w:val="single" w:color="auto" w:sz="4" w:space="0"/>
                    <w:right w:val="single" w:color="auto" w:sz="4" w:space="0"/>
                  </w:tcBorders>
                  <w:noWrap w:val="0"/>
                  <w:vAlign w:val="center"/>
                </w:tcPr>
                <w:p w14:paraId="572F7160">
                  <w:pPr>
                    <w:spacing w:line="240" w:lineRule="auto"/>
                    <w:jc w:val="center"/>
                    <w:rPr>
                      <w:rFonts w:hint="default" w:ascii="Times New Roman" w:hAnsi="Times New Roman" w:eastAsia="宋体" w:cs="Times New Roman"/>
                      <w:color w:val="auto"/>
                      <w:sz w:val="18"/>
                      <w:szCs w:val="18"/>
                      <w:highlight w:val="none"/>
                    </w:rPr>
                  </w:pPr>
                </w:p>
              </w:tc>
              <w:tc>
                <w:tcPr>
                  <w:tcW w:w="450" w:type="pct"/>
                  <w:tcBorders>
                    <w:top w:val="single" w:color="auto" w:sz="4" w:space="0"/>
                    <w:left w:val="single" w:color="auto" w:sz="4" w:space="0"/>
                    <w:bottom w:val="single" w:color="auto" w:sz="4" w:space="0"/>
                    <w:right w:val="single" w:color="auto" w:sz="4" w:space="0"/>
                  </w:tcBorders>
                  <w:noWrap w:val="0"/>
                  <w:vAlign w:val="center"/>
                </w:tcPr>
                <w:p w14:paraId="1A28811D">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产生</w:t>
                  </w:r>
                  <w:r>
                    <w:rPr>
                      <w:rFonts w:hint="default" w:ascii="Times New Roman" w:hAnsi="Times New Roman" w:eastAsia="宋体" w:cs="Times New Roman"/>
                      <w:color w:val="auto"/>
                      <w:sz w:val="18"/>
                      <w:szCs w:val="18"/>
                      <w:highlight w:val="none"/>
                    </w:rPr>
                    <w:t>量t/a</w:t>
                  </w:r>
                </w:p>
              </w:tc>
              <w:tc>
                <w:tcPr>
                  <w:tcW w:w="322" w:type="pct"/>
                  <w:tcBorders>
                    <w:top w:val="single" w:color="auto" w:sz="4" w:space="0"/>
                    <w:left w:val="single" w:color="auto" w:sz="4" w:space="0"/>
                    <w:bottom w:val="single" w:color="auto" w:sz="4" w:space="0"/>
                    <w:right w:val="single" w:color="auto" w:sz="4" w:space="0"/>
                  </w:tcBorders>
                  <w:noWrap w:val="0"/>
                  <w:vAlign w:val="center"/>
                </w:tcPr>
                <w:p w14:paraId="509A04FA">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产生浓度mg/m</w:t>
                  </w:r>
                  <w:r>
                    <w:rPr>
                      <w:rFonts w:hint="default" w:ascii="Times New Roman" w:hAnsi="Times New Roman" w:eastAsia="宋体" w:cs="Times New Roman"/>
                      <w:color w:val="auto"/>
                      <w:sz w:val="18"/>
                      <w:szCs w:val="18"/>
                      <w:highlight w:val="none"/>
                      <w:vertAlign w:val="superscript"/>
                    </w:rPr>
                    <w:t>3</w:t>
                  </w:r>
                </w:p>
              </w:tc>
              <w:tc>
                <w:tcPr>
                  <w:tcW w:w="364" w:type="pct"/>
                  <w:tcBorders>
                    <w:top w:val="single" w:color="auto" w:sz="4" w:space="0"/>
                    <w:left w:val="single" w:color="auto" w:sz="4" w:space="0"/>
                    <w:bottom w:val="single" w:color="auto" w:sz="4" w:space="0"/>
                    <w:right w:val="single" w:color="auto" w:sz="4" w:space="0"/>
                  </w:tcBorders>
                  <w:noWrap w:val="0"/>
                  <w:vAlign w:val="center"/>
                </w:tcPr>
                <w:p w14:paraId="5F039676">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产生速率</w:t>
                  </w:r>
                  <w:r>
                    <w:rPr>
                      <w:rFonts w:hint="default" w:ascii="Times New Roman" w:hAnsi="Times New Roman" w:eastAsia="宋体" w:cs="Times New Roman"/>
                      <w:color w:val="auto"/>
                      <w:sz w:val="18"/>
                      <w:szCs w:val="18"/>
                      <w:highlight w:val="none"/>
                      <w:lang w:val="en-US" w:eastAsia="zh-CN"/>
                    </w:rPr>
                    <w:t>kg/h</w:t>
                  </w:r>
                </w:p>
              </w:tc>
              <w:tc>
                <w:tcPr>
                  <w:tcW w:w="294" w:type="pct"/>
                  <w:tcBorders>
                    <w:top w:val="single" w:color="auto" w:sz="4" w:space="0"/>
                    <w:left w:val="single" w:color="auto" w:sz="4" w:space="0"/>
                    <w:bottom w:val="single" w:color="auto" w:sz="4" w:space="0"/>
                    <w:right w:val="single" w:color="auto" w:sz="4" w:space="0"/>
                  </w:tcBorders>
                  <w:noWrap w:val="0"/>
                  <w:vAlign w:val="center"/>
                </w:tcPr>
                <w:p w14:paraId="50A6CCE3">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处理能力m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lang w:val="en-US" w:eastAsia="zh-CN"/>
                    </w:rPr>
                    <w:t>h</w:t>
                  </w:r>
                </w:p>
              </w:tc>
              <w:tc>
                <w:tcPr>
                  <w:tcW w:w="203" w:type="pct"/>
                  <w:tcBorders>
                    <w:top w:val="single" w:color="auto" w:sz="4" w:space="0"/>
                    <w:left w:val="single" w:color="auto" w:sz="4" w:space="0"/>
                    <w:bottom w:val="single" w:color="auto" w:sz="4" w:space="0"/>
                    <w:right w:val="single" w:color="auto" w:sz="4" w:space="0"/>
                  </w:tcBorders>
                  <w:noWrap w:val="0"/>
                  <w:vAlign w:val="center"/>
                </w:tcPr>
                <w:p w14:paraId="6A40D5FE">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收集率%</w:t>
                  </w:r>
                </w:p>
              </w:tc>
              <w:tc>
                <w:tcPr>
                  <w:tcW w:w="287" w:type="pct"/>
                  <w:tcBorders>
                    <w:top w:val="single" w:color="auto" w:sz="4" w:space="0"/>
                    <w:left w:val="single" w:color="auto" w:sz="4" w:space="0"/>
                    <w:bottom w:val="single" w:color="auto" w:sz="4" w:space="0"/>
                    <w:right w:val="single" w:color="auto" w:sz="4" w:space="0"/>
                  </w:tcBorders>
                  <w:noWrap w:val="0"/>
                  <w:vAlign w:val="center"/>
                </w:tcPr>
                <w:p w14:paraId="6FCA0471">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治理工艺</w:t>
                  </w:r>
                </w:p>
              </w:tc>
              <w:tc>
                <w:tcPr>
                  <w:tcW w:w="203" w:type="pct"/>
                  <w:tcBorders>
                    <w:top w:val="single" w:color="auto" w:sz="4" w:space="0"/>
                    <w:left w:val="single" w:color="auto" w:sz="4" w:space="0"/>
                    <w:bottom w:val="single" w:color="auto" w:sz="4" w:space="0"/>
                    <w:right w:val="single" w:color="auto" w:sz="4" w:space="0"/>
                  </w:tcBorders>
                  <w:noWrap w:val="0"/>
                  <w:vAlign w:val="center"/>
                </w:tcPr>
                <w:p w14:paraId="66CA44B8">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去除率%</w:t>
                  </w:r>
                </w:p>
              </w:tc>
              <w:tc>
                <w:tcPr>
                  <w:tcW w:w="231" w:type="pct"/>
                  <w:tcBorders>
                    <w:top w:val="single" w:color="auto" w:sz="4" w:space="0"/>
                    <w:left w:val="single" w:color="auto" w:sz="4" w:space="0"/>
                    <w:bottom w:val="single" w:color="auto" w:sz="4" w:space="0"/>
                    <w:right w:val="single" w:color="auto" w:sz="4" w:space="0"/>
                  </w:tcBorders>
                  <w:noWrap w:val="0"/>
                  <w:vAlign w:val="center"/>
                </w:tcPr>
                <w:p w14:paraId="67ECAA12">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是否为可行技术</w:t>
                  </w:r>
                </w:p>
              </w:tc>
              <w:tc>
                <w:tcPr>
                  <w:tcW w:w="251" w:type="pct"/>
                  <w:tcBorders>
                    <w:top w:val="single" w:color="auto" w:sz="4" w:space="0"/>
                    <w:left w:val="single" w:color="auto" w:sz="4" w:space="0"/>
                    <w:bottom w:val="single" w:color="auto" w:sz="4" w:space="0"/>
                    <w:right w:val="single" w:color="auto" w:sz="4" w:space="0"/>
                  </w:tcBorders>
                  <w:noWrap w:val="0"/>
                  <w:vAlign w:val="center"/>
                </w:tcPr>
                <w:p w14:paraId="21D9C8C5">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排放量t/a</w:t>
                  </w:r>
                </w:p>
              </w:tc>
              <w:tc>
                <w:tcPr>
                  <w:tcW w:w="292" w:type="pct"/>
                  <w:tcBorders>
                    <w:top w:val="single" w:color="auto" w:sz="4" w:space="0"/>
                    <w:left w:val="single" w:color="auto" w:sz="4" w:space="0"/>
                    <w:bottom w:val="single" w:color="auto" w:sz="4" w:space="0"/>
                    <w:right w:val="single" w:color="auto" w:sz="4" w:space="0"/>
                  </w:tcBorders>
                  <w:noWrap w:val="0"/>
                  <w:vAlign w:val="center"/>
                </w:tcPr>
                <w:p w14:paraId="7C9BF8E7">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排放浓度mg/m</w:t>
                  </w:r>
                  <w:r>
                    <w:rPr>
                      <w:rFonts w:hint="default" w:ascii="Times New Roman" w:hAnsi="Times New Roman" w:eastAsia="宋体" w:cs="Times New Roman"/>
                      <w:color w:val="auto"/>
                      <w:sz w:val="18"/>
                      <w:szCs w:val="18"/>
                      <w:highlight w:val="none"/>
                      <w:vertAlign w:val="superscript"/>
                    </w:rPr>
                    <w:t>3</w:t>
                  </w:r>
                </w:p>
              </w:tc>
              <w:tc>
                <w:tcPr>
                  <w:tcW w:w="301" w:type="pct"/>
                  <w:tcBorders>
                    <w:top w:val="single" w:color="auto" w:sz="4" w:space="0"/>
                    <w:left w:val="single" w:color="auto" w:sz="4" w:space="0"/>
                    <w:bottom w:val="single" w:color="auto" w:sz="4" w:space="0"/>
                    <w:right w:val="single" w:color="auto" w:sz="4" w:space="0"/>
                  </w:tcBorders>
                  <w:noWrap w:val="0"/>
                  <w:vAlign w:val="center"/>
                </w:tcPr>
                <w:p w14:paraId="0642DF91">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排放速率kg/h</w:t>
                  </w:r>
                </w:p>
              </w:tc>
              <w:tc>
                <w:tcPr>
                  <w:tcW w:w="221" w:type="pct"/>
                  <w:tcBorders>
                    <w:top w:val="single" w:color="auto" w:sz="4" w:space="0"/>
                    <w:left w:val="single" w:color="auto" w:sz="4" w:space="0"/>
                    <w:bottom w:val="single" w:color="auto" w:sz="4" w:space="0"/>
                    <w:right w:val="single" w:color="auto" w:sz="4" w:space="0"/>
                  </w:tcBorders>
                  <w:noWrap w:val="0"/>
                  <w:vAlign w:val="center"/>
                </w:tcPr>
                <w:p w14:paraId="6AD69E69">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持续时间</w:t>
                  </w:r>
                </w:p>
                <w:p w14:paraId="2CC1B48A">
                  <w:pPr>
                    <w:pStyle w:val="2"/>
                    <w:spacing w:line="240" w:lineRule="auto"/>
                    <w:ind w:left="0" w:leftChars="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h/a</w:t>
                  </w:r>
                </w:p>
              </w:tc>
              <w:tc>
                <w:tcPr>
                  <w:tcW w:w="329" w:type="pct"/>
                  <w:tcBorders>
                    <w:top w:val="single" w:color="auto" w:sz="4" w:space="0"/>
                    <w:left w:val="single" w:color="auto" w:sz="4" w:space="0"/>
                    <w:bottom w:val="single" w:color="auto" w:sz="4" w:space="0"/>
                    <w:right w:val="single" w:color="auto" w:sz="4" w:space="0"/>
                  </w:tcBorders>
                  <w:noWrap w:val="0"/>
                  <w:vAlign w:val="center"/>
                </w:tcPr>
                <w:p w14:paraId="51FF1368">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排放形式</w:t>
                  </w:r>
                </w:p>
              </w:tc>
            </w:tr>
            <w:tr w14:paraId="419FA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406" w:type="pct"/>
                  <w:tcBorders>
                    <w:top w:val="single" w:color="auto" w:sz="2" w:space="0"/>
                    <w:left w:val="single" w:color="auto" w:sz="4" w:space="0"/>
                    <w:right w:val="single" w:color="auto" w:sz="4" w:space="0"/>
                  </w:tcBorders>
                  <w:noWrap w:val="0"/>
                  <w:vAlign w:val="center"/>
                </w:tcPr>
                <w:p w14:paraId="0DF0FA6D">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进料、</w:t>
                  </w:r>
                  <w:r>
                    <w:rPr>
                      <w:rFonts w:hint="default" w:ascii="Times New Roman" w:hAnsi="Times New Roman" w:eastAsia="宋体" w:cs="Times New Roman"/>
                      <w:color w:val="auto"/>
                      <w:sz w:val="18"/>
                      <w:szCs w:val="18"/>
                      <w:highlight w:val="none"/>
                      <w:lang w:val="en-US" w:eastAsia="zh-CN"/>
                    </w:rPr>
                    <w:t>筛分、上料、混料、装料、包装过程</w:t>
                  </w:r>
                </w:p>
              </w:tc>
              <w:tc>
                <w:tcPr>
                  <w:tcW w:w="404" w:type="pct"/>
                  <w:tcBorders>
                    <w:top w:val="single" w:color="auto" w:sz="4" w:space="0"/>
                    <w:left w:val="single" w:color="auto" w:sz="4" w:space="0"/>
                    <w:bottom w:val="single" w:color="auto" w:sz="4" w:space="0"/>
                    <w:right w:val="single" w:color="auto" w:sz="4" w:space="0"/>
                  </w:tcBorders>
                  <w:noWrap w:val="0"/>
                  <w:vAlign w:val="center"/>
                </w:tcPr>
                <w:p w14:paraId="0274F5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eastAsia="宋体" w:cs="Times New Roman"/>
                      <w:bCs/>
                      <w:color w:val="auto"/>
                      <w:kern w:val="2"/>
                      <w:sz w:val="18"/>
                      <w:szCs w:val="18"/>
                      <w:highlight w:val="none"/>
                      <w:vertAlign w:val="baseline"/>
                      <w:lang w:val="en-US" w:eastAsia="zh-CN" w:bidi="ar-SA"/>
                    </w:rPr>
                    <w:t>颗粒物</w:t>
                  </w:r>
                </w:p>
              </w:tc>
              <w:tc>
                <w:tcPr>
                  <w:tcW w:w="437" w:type="pct"/>
                  <w:tcBorders>
                    <w:top w:val="single" w:color="auto" w:sz="4" w:space="0"/>
                    <w:left w:val="single" w:color="auto" w:sz="4" w:space="0"/>
                    <w:bottom w:val="single" w:color="auto" w:sz="4" w:space="0"/>
                    <w:right w:val="single" w:color="auto" w:sz="4" w:space="0"/>
                  </w:tcBorders>
                  <w:noWrap w:val="0"/>
                  <w:vAlign w:val="center"/>
                </w:tcPr>
                <w:p w14:paraId="3FE9F2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3.359</w:t>
                  </w:r>
                </w:p>
              </w:tc>
              <w:tc>
                <w:tcPr>
                  <w:tcW w:w="450" w:type="pct"/>
                  <w:tcBorders>
                    <w:top w:val="single" w:color="auto" w:sz="4" w:space="0"/>
                    <w:left w:val="single" w:color="auto" w:sz="4" w:space="0"/>
                    <w:bottom w:val="single" w:color="auto" w:sz="4" w:space="0"/>
                    <w:right w:val="single" w:color="auto" w:sz="4" w:space="0"/>
                  </w:tcBorders>
                  <w:noWrap w:val="0"/>
                  <w:vAlign w:val="center"/>
                </w:tcPr>
                <w:p w14:paraId="44D5038B">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3.191</w:t>
                  </w:r>
                </w:p>
              </w:tc>
              <w:tc>
                <w:tcPr>
                  <w:tcW w:w="322" w:type="pct"/>
                  <w:tcBorders>
                    <w:top w:val="single" w:color="auto" w:sz="4" w:space="0"/>
                    <w:left w:val="single" w:color="auto" w:sz="4" w:space="0"/>
                    <w:bottom w:val="single" w:color="auto" w:sz="4" w:space="0"/>
                    <w:right w:val="single" w:color="auto" w:sz="4" w:space="0"/>
                  </w:tcBorders>
                  <w:noWrap w:val="0"/>
                  <w:vAlign w:val="center"/>
                </w:tcPr>
                <w:p w14:paraId="37608D69">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73.9</w:t>
                  </w:r>
                </w:p>
              </w:tc>
              <w:tc>
                <w:tcPr>
                  <w:tcW w:w="364" w:type="pct"/>
                  <w:tcBorders>
                    <w:top w:val="single" w:color="auto" w:sz="4" w:space="0"/>
                    <w:left w:val="single" w:color="auto" w:sz="4" w:space="0"/>
                    <w:right w:val="single" w:color="auto" w:sz="4" w:space="0"/>
                  </w:tcBorders>
                  <w:noWrap w:val="0"/>
                  <w:vAlign w:val="center"/>
                </w:tcPr>
                <w:p w14:paraId="2A09E7C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w:t>
                  </w:r>
                  <w:r>
                    <w:rPr>
                      <w:rFonts w:hint="eastAsia" w:cs="Times New Roman"/>
                      <w:color w:val="auto"/>
                      <w:kern w:val="2"/>
                      <w:sz w:val="18"/>
                      <w:szCs w:val="18"/>
                      <w:highlight w:val="none"/>
                      <w:lang w:val="en-US" w:eastAsia="zh-CN" w:bidi="ar-SA"/>
                    </w:rPr>
                    <w:t>443</w:t>
                  </w:r>
                </w:p>
              </w:tc>
              <w:tc>
                <w:tcPr>
                  <w:tcW w:w="294" w:type="pct"/>
                  <w:tcBorders>
                    <w:top w:val="single" w:color="auto" w:sz="4" w:space="0"/>
                    <w:left w:val="single" w:color="auto" w:sz="4" w:space="0"/>
                    <w:right w:val="single" w:color="auto" w:sz="4" w:space="0"/>
                  </w:tcBorders>
                  <w:noWrap w:val="0"/>
                  <w:vAlign w:val="center"/>
                </w:tcPr>
                <w:p w14:paraId="07CE7850">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60</w:t>
                  </w:r>
                  <w:r>
                    <w:rPr>
                      <w:rFonts w:hint="default" w:ascii="Times New Roman" w:hAnsi="Times New Roman" w:eastAsia="宋体" w:cs="Times New Roman"/>
                      <w:color w:val="auto"/>
                      <w:sz w:val="18"/>
                      <w:szCs w:val="18"/>
                      <w:highlight w:val="none"/>
                      <w:lang w:val="en-US" w:eastAsia="zh-CN"/>
                    </w:rPr>
                    <w:t>00</w:t>
                  </w:r>
                </w:p>
              </w:tc>
              <w:tc>
                <w:tcPr>
                  <w:tcW w:w="203" w:type="pct"/>
                  <w:tcBorders>
                    <w:top w:val="single" w:color="auto" w:sz="4" w:space="0"/>
                    <w:left w:val="single" w:color="auto" w:sz="4" w:space="0"/>
                    <w:right w:val="single" w:color="auto" w:sz="4" w:space="0"/>
                  </w:tcBorders>
                  <w:noWrap w:val="0"/>
                  <w:vAlign w:val="center"/>
                </w:tcPr>
                <w:p w14:paraId="015218AB">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95</w:t>
                  </w:r>
                </w:p>
              </w:tc>
              <w:tc>
                <w:tcPr>
                  <w:tcW w:w="287" w:type="pct"/>
                  <w:tcBorders>
                    <w:top w:val="single" w:color="auto" w:sz="4" w:space="0"/>
                    <w:left w:val="single" w:color="auto" w:sz="4" w:space="0"/>
                    <w:right w:val="single" w:color="auto" w:sz="4" w:space="0"/>
                  </w:tcBorders>
                  <w:noWrap w:val="0"/>
                  <w:vAlign w:val="center"/>
                </w:tcPr>
                <w:p w14:paraId="45872B30">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lang w:val="en-US" w:eastAsia="zh-CN"/>
                    </w:rPr>
                    <w:t>布袋除尘器</w:t>
                  </w:r>
                </w:p>
              </w:tc>
              <w:tc>
                <w:tcPr>
                  <w:tcW w:w="203" w:type="pct"/>
                  <w:tcBorders>
                    <w:top w:val="single" w:color="auto" w:sz="4" w:space="0"/>
                    <w:left w:val="single" w:color="auto" w:sz="4" w:space="0"/>
                    <w:right w:val="single" w:color="auto" w:sz="4" w:space="0"/>
                  </w:tcBorders>
                  <w:noWrap w:val="0"/>
                  <w:vAlign w:val="center"/>
                </w:tcPr>
                <w:p w14:paraId="3646F886">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9</w:t>
                  </w:r>
                  <w:r>
                    <w:rPr>
                      <w:rFonts w:hint="eastAsia" w:cs="Times New Roman"/>
                      <w:color w:val="auto"/>
                      <w:sz w:val="18"/>
                      <w:szCs w:val="18"/>
                      <w:highlight w:val="none"/>
                      <w:lang w:val="en-US" w:eastAsia="zh-CN"/>
                    </w:rPr>
                    <w:t>8</w:t>
                  </w:r>
                </w:p>
              </w:tc>
              <w:tc>
                <w:tcPr>
                  <w:tcW w:w="231" w:type="pct"/>
                  <w:tcBorders>
                    <w:top w:val="single" w:color="auto" w:sz="4" w:space="0"/>
                    <w:left w:val="single" w:color="auto" w:sz="4" w:space="0"/>
                    <w:right w:val="single" w:color="auto" w:sz="4" w:space="0"/>
                  </w:tcBorders>
                  <w:noWrap w:val="0"/>
                  <w:vAlign w:val="center"/>
                </w:tcPr>
                <w:p w14:paraId="02CAE820">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eastAsia="zh-CN"/>
                    </w:rPr>
                    <w:t>是</w:t>
                  </w:r>
                </w:p>
              </w:tc>
              <w:tc>
                <w:tcPr>
                  <w:tcW w:w="251" w:type="pct"/>
                  <w:tcBorders>
                    <w:top w:val="single" w:color="auto" w:sz="4" w:space="0"/>
                    <w:left w:val="single" w:color="auto" w:sz="4" w:space="0"/>
                    <w:right w:val="single" w:color="auto" w:sz="4" w:space="0"/>
                  </w:tcBorders>
                  <w:noWrap w:val="0"/>
                  <w:vAlign w:val="center"/>
                </w:tcPr>
                <w:p w14:paraId="4D9E3EAD">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0.06</w:t>
                  </w:r>
                  <w:r>
                    <w:rPr>
                      <w:rFonts w:hint="eastAsia" w:cs="Times New Roman"/>
                      <w:color w:val="auto"/>
                      <w:sz w:val="18"/>
                      <w:szCs w:val="18"/>
                      <w:highlight w:val="none"/>
                      <w:lang w:val="en-US" w:eastAsia="zh-CN"/>
                    </w:rPr>
                    <w:t>4</w:t>
                  </w:r>
                </w:p>
              </w:tc>
              <w:tc>
                <w:tcPr>
                  <w:tcW w:w="292" w:type="pct"/>
                  <w:tcBorders>
                    <w:top w:val="single" w:color="auto" w:sz="4" w:space="0"/>
                    <w:left w:val="single" w:color="auto" w:sz="4" w:space="0"/>
                    <w:right w:val="single" w:color="auto" w:sz="4" w:space="0"/>
                  </w:tcBorders>
                  <w:noWrap w:val="0"/>
                  <w:vAlign w:val="center"/>
                </w:tcPr>
                <w:p w14:paraId="63DDB786">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1.4</w:t>
                  </w:r>
                  <w:r>
                    <w:rPr>
                      <w:rFonts w:hint="eastAsia" w:cs="Times New Roman"/>
                      <w:color w:val="auto"/>
                      <w:sz w:val="18"/>
                      <w:szCs w:val="18"/>
                      <w:highlight w:val="none"/>
                      <w:lang w:val="en-US" w:eastAsia="zh-CN"/>
                    </w:rPr>
                    <w:t>8</w:t>
                  </w:r>
                </w:p>
              </w:tc>
              <w:tc>
                <w:tcPr>
                  <w:tcW w:w="301" w:type="pct"/>
                  <w:tcBorders>
                    <w:top w:val="single" w:color="auto" w:sz="4" w:space="0"/>
                    <w:left w:val="single" w:color="auto" w:sz="4" w:space="0"/>
                    <w:right w:val="single" w:color="auto" w:sz="4" w:space="0"/>
                  </w:tcBorders>
                  <w:noWrap w:val="0"/>
                  <w:vAlign w:val="center"/>
                </w:tcPr>
                <w:p w14:paraId="7D1913EC">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0.009</w:t>
                  </w:r>
                </w:p>
              </w:tc>
              <w:tc>
                <w:tcPr>
                  <w:tcW w:w="221" w:type="pct"/>
                  <w:tcBorders>
                    <w:top w:val="single" w:color="auto" w:sz="4" w:space="0"/>
                    <w:left w:val="single" w:color="auto" w:sz="4" w:space="0"/>
                    <w:right w:val="single" w:color="auto" w:sz="4" w:space="0"/>
                  </w:tcBorders>
                  <w:noWrap w:val="0"/>
                  <w:vAlign w:val="center"/>
                </w:tcPr>
                <w:p w14:paraId="10862925">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72</w:t>
                  </w:r>
                  <w:r>
                    <w:rPr>
                      <w:rFonts w:hint="default" w:ascii="Times New Roman" w:hAnsi="Times New Roman" w:eastAsia="宋体" w:cs="Times New Roman"/>
                      <w:color w:val="auto"/>
                      <w:sz w:val="18"/>
                      <w:szCs w:val="18"/>
                      <w:highlight w:val="none"/>
                      <w:lang w:val="en-US" w:eastAsia="zh-CN"/>
                    </w:rPr>
                    <w:t>00</w:t>
                  </w:r>
                </w:p>
              </w:tc>
              <w:tc>
                <w:tcPr>
                  <w:tcW w:w="329" w:type="pct"/>
                  <w:tcBorders>
                    <w:top w:val="single" w:color="auto" w:sz="4" w:space="0"/>
                    <w:left w:val="single" w:color="auto" w:sz="4" w:space="0"/>
                    <w:right w:val="single" w:color="auto" w:sz="4" w:space="0"/>
                  </w:tcBorders>
                  <w:noWrap w:val="0"/>
                  <w:vAlign w:val="center"/>
                </w:tcPr>
                <w:p w14:paraId="2B402F87">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有组织DA00</w:t>
                  </w:r>
                  <w:r>
                    <w:rPr>
                      <w:rFonts w:hint="eastAsia" w:cs="Times New Roman"/>
                      <w:color w:val="auto"/>
                      <w:sz w:val="18"/>
                      <w:szCs w:val="18"/>
                      <w:highlight w:val="none"/>
                      <w:lang w:val="en-US" w:eastAsia="zh-CN"/>
                    </w:rPr>
                    <w:t>2</w:t>
                  </w:r>
                </w:p>
              </w:tc>
            </w:tr>
            <w:tr w14:paraId="62C33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406" w:type="pct"/>
                  <w:vMerge w:val="restart"/>
                  <w:tcBorders>
                    <w:top w:val="single" w:color="auto" w:sz="2" w:space="0"/>
                    <w:left w:val="single" w:color="auto" w:sz="4" w:space="0"/>
                    <w:right w:val="single" w:color="auto" w:sz="4" w:space="0"/>
                  </w:tcBorders>
                  <w:noWrap w:val="0"/>
                  <w:vAlign w:val="center"/>
                </w:tcPr>
                <w:p w14:paraId="6C408E3C">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烧制</w:t>
                  </w:r>
                  <w:r>
                    <w:rPr>
                      <w:rFonts w:hint="default" w:ascii="Times New Roman" w:hAnsi="Times New Roman" w:eastAsia="宋体" w:cs="Times New Roman"/>
                      <w:color w:val="auto"/>
                      <w:sz w:val="18"/>
                      <w:szCs w:val="18"/>
                      <w:highlight w:val="none"/>
                      <w:lang w:val="en-US" w:eastAsia="zh-CN"/>
                    </w:rPr>
                    <w:t>工序</w:t>
                  </w:r>
                  <w:r>
                    <w:rPr>
                      <w:rFonts w:hint="eastAsia" w:cs="Times New Roman"/>
                      <w:color w:val="auto"/>
                      <w:sz w:val="18"/>
                      <w:szCs w:val="18"/>
                      <w:highlight w:val="none"/>
                      <w:lang w:val="en-US" w:eastAsia="zh-CN"/>
                    </w:rPr>
                    <w:t>和</w:t>
                  </w:r>
                  <w:r>
                    <w:rPr>
                      <w:rFonts w:hint="default" w:ascii="Times New Roman" w:hAnsi="Times New Roman" w:eastAsia="宋体" w:cs="Times New Roman"/>
                      <w:color w:val="auto"/>
                      <w:sz w:val="18"/>
                      <w:szCs w:val="18"/>
                      <w:highlight w:val="none"/>
                      <w:lang w:val="en-US" w:eastAsia="zh-CN"/>
                    </w:rPr>
                    <w:t>天然气燃烧</w:t>
                  </w:r>
                </w:p>
              </w:tc>
              <w:tc>
                <w:tcPr>
                  <w:tcW w:w="404" w:type="pct"/>
                  <w:tcBorders>
                    <w:top w:val="single" w:color="auto" w:sz="4" w:space="0"/>
                    <w:left w:val="single" w:color="auto" w:sz="4" w:space="0"/>
                    <w:bottom w:val="single" w:color="auto" w:sz="4" w:space="0"/>
                    <w:right w:val="single" w:color="auto" w:sz="4" w:space="0"/>
                  </w:tcBorders>
                  <w:noWrap w:val="0"/>
                  <w:vAlign w:val="center"/>
                </w:tcPr>
                <w:p w14:paraId="3D5AC8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default" w:ascii="Times New Roman" w:hAnsi="Times New Roman" w:eastAsia="宋体" w:cs="Times New Roman"/>
                      <w:bCs/>
                      <w:color w:val="auto"/>
                      <w:kern w:val="2"/>
                      <w:sz w:val="18"/>
                      <w:szCs w:val="18"/>
                      <w:highlight w:val="none"/>
                      <w:vertAlign w:val="baseline"/>
                      <w:lang w:val="en-US" w:eastAsia="zh-CN" w:bidi="ar-SA"/>
                    </w:rPr>
                    <w:t>颗粒物</w:t>
                  </w:r>
                </w:p>
              </w:tc>
              <w:tc>
                <w:tcPr>
                  <w:tcW w:w="437" w:type="pct"/>
                  <w:tcBorders>
                    <w:top w:val="single" w:color="auto" w:sz="4" w:space="0"/>
                    <w:left w:val="single" w:color="auto" w:sz="4" w:space="0"/>
                    <w:bottom w:val="single" w:color="auto" w:sz="4" w:space="0"/>
                    <w:right w:val="single" w:color="auto" w:sz="4" w:space="0"/>
                  </w:tcBorders>
                  <w:noWrap w:val="0"/>
                  <w:vAlign w:val="center"/>
                </w:tcPr>
                <w:p w14:paraId="56F627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0.764</w:t>
                  </w:r>
                </w:p>
              </w:tc>
              <w:tc>
                <w:tcPr>
                  <w:tcW w:w="45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3C3A3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0.764</w:t>
                  </w:r>
                </w:p>
              </w:tc>
              <w:tc>
                <w:tcPr>
                  <w:tcW w:w="322" w:type="pct"/>
                  <w:tcBorders>
                    <w:top w:val="single" w:color="auto" w:sz="4" w:space="0"/>
                    <w:left w:val="single" w:color="auto" w:sz="4" w:space="0"/>
                    <w:bottom w:val="single" w:color="auto" w:sz="4" w:space="0"/>
                    <w:right w:val="single" w:color="auto" w:sz="4" w:space="0"/>
                  </w:tcBorders>
                  <w:noWrap w:val="0"/>
                  <w:vAlign w:val="center"/>
                </w:tcPr>
                <w:p w14:paraId="1702A580">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53.1</w:t>
                  </w:r>
                </w:p>
              </w:tc>
              <w:tc>
                <w:tcPr>
                  <w:tcW w:w="364" w:type="pct"/>
                  <w:tcBorders>
                    <w:top w:val="single" w:color="auto" w:sz="4" w:space="0"/>
                    <w:left w:val="single" w:color="auto" w:sz="4" w:space="0"/>
                    <w:right w:val="single" w:color="auto" w:sz="4" w:space="0"/>
                  </w:tcBorders>
                  <w:noWrap w:val="0"/>
                  <w:vAlign w:val="center"/>
                </w:tcPr>
                <w:p w14:paraId="0EFF85B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0.106</w:t>
                  </w:r>
                </w:p>
              </w:tc>
              <w:tc>
                <w:tcPr>
                  <w:tcW w:w="294" w:type="pct"/>
                  <w:vMerge w:val="restart"/>
                  <w:tcBorders>
                    <w:top w:val="single" w:color="auto" w:sz="4" w:space="0"/>
                    <w:left w:val="single" w:color="auto" w:sz="4" w:space="0"/>
                    <w:right w:val="single" w:color="auto" w:sz="4" w:space="0"/>
                  </w:tcBorders>
                  <w:noWrap w:val="0"/>
                  <w:vAlign w:val="center"/>
                </w:tcPr>
                <w:p w14:paraId="7C339F08">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2000</w:t>
                  </w:r>
                </w:p>
              </w:tc>
              <w:tc>
                <w:tcPr>
                  <w:tcW w:w="203" w:type="pct"/>
                  <w:tcBorders>
                    <w:top w:val="single" w:color="auto" w:sz="4" w:space="0"/>
                    <w:left w:val="single" w:color="auto" w:sz="4" w:space="0"/>
                    <w:right w:val="single" w:color="auto" w:sz="4" w:space="0"/>
                  </w:tcBorders>
                  <w:noWrap w:val="0"/>
                  <w:vAlign w:val="center"/>
                </w:tcPr>
                <w:p w14:paraId="5C622678">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c>
                <w:tcPr>
                  <w:tcW w:w="287" w:type="pct"/>
                  <w:tcBorders>
                    <w:top w:val="single" w:color="auto" w:sz="4" w:space="0"/>
                    <w:left w:val="single" w:color="auto" w:sz="4" w:space="0"/>
                    <w:right w:val="single" w:color="auto" w:sz="4" w:space="0"/>
                  </w:tcBorders>
                  <w:noWrap w:val="0"/>
                  <w:vAlign w:val="center"/>
                </w:tcPr>
                <w:p w14:paraId="78CE49C1">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lang w:val="en-US" w:eastAsia="zh-CN"/>
                    </w:rPr>
                    <w:t>布袋除尘器</w:t>
                  </w:r>
                </w:p>
              </w:tc>
              <w:tc>
                <w:tcPr>
                  <w:tcW w:w="203" w:type="pct"/>
                  <w:tcBorders>
                    <w:top w:val="single" w:color="auto" w:sz="4" w:space="0"/>
                    <w:left w:val="single" w:color="auto" w:sz="4" w:space="0"/>
                    <w:right w:val="single" w:color="auto" w:sz="4" w:space="0"/>
                  </w:tcBorders>
                  <w:noWrap w:val="0"/>
                  <w:vAlign w:val="center"/>
                </w:tcPr>
                <w:p w14:paraId="619BC302">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w:t>
                  </w:r>
                  <w:r>
                    <w:rPr>
                      <w:rFonts w:hint="eastAsia" w:cs="Times New Roman"/>
                      <w:color w:val="auto"/>
                      <w:sz w:val="18"/>
                      <w:szCs w:val="18"/>
                      <w:highlight w:val="none"/>
                      <w:lang w:val="en-US" w:eastAsia="zh-CN"/>
                    </w:rPr>
                    <w:t>8</w:t>
                  </w:r>
                </w:p>
              </w:tc>
              <w:tc>
                <w:tcPr>
                  <w:tcW w:w="231" w:type="pct"/>
                  <w:tcBorders>
                    <w:top w:val="single" w:color="auto" w:sz="4" w:space="0"/>
                    <w:left w:val="single" w:color="auto" w:sz="4" w:space="0"/>
                    <w:right w:val="single" w:color="auto" w:sz="4" w:space="0"/>
                  </w:tcBorders>
                  <w:noWrap w:val="0"/>
                  <w:vAlign w:val="center"/>
                </w:tcPr>
                <w:p w14:paraId="53F90FFF">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是</w:t>
                  </w:r>
                </w:p>
              </w:tc>
              <w:tc>
                <w:tcPr>
                  <w:tcW w:w="251" w:type="pct"/>
                  <w:tcBorders>
                    <w:top w:val="single" w:color="auto" w:sz="4" w:space="0"/>
                    <w:left w:val="single" w:color="auto" w:sz="4" w:space="0"/>
                    <w:right w:val="single" w:color="auto" w:sz="4" w:space="0"/>
                  </w:tcBorders>
                  <w:shd w:val="clear" w:color="auto" w:fill="auto"/>
                  <w:noWrap w:val="0"/>
                  <w:vAlign w:val="center"/>
                </w:tcPr>
                <w:p w14:paraId="611AE2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0.015</w:t>
                  </w:r>
                </w:p>
              </w:tc>
              <w:tc>
                <w:tcPr>
                  <w:tcW w:w="292" w:type="pct"/>
                  <w:tcBorders>
                    <w:top w:val="single" w:color="auto" w:sz="4" w:space="0"/>
                    <w:left w:val="single" w:color="auto" w:sz="4" w:space="0"/>
                    <w:right w:val="single" w:color="auto" w:sz="4" w:space="0"/>
                  </w:tcBorders>
                  <w:shd w:val="clear" w:color="auto" w:fill="auto"/>
                  <w:noWrap w:val="0"/>
                  <w:vAlign w:val="center"/>
                </w:tcPr>
                <w:p w14:paraId="008155E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1.04</w:t>
                  </w:r>
                </w:p>
              </w:tc>
              <w:tc>
                <w:tcPr>
                  <w:tcW w:w="301" w:type="pct"/>
                  <w:tcBorders>
                    <w:top w:val="single" w:color="auto" w:sz="4" w:space="0"/>
                    <w:left w:val="single" w:color="auto" w:sz="4" w:space="0"/>
                    <w:right w:val="single" w:color="auto" w:sz="4" w:space="0"/>
                  </w:tcBorders>
                  <w:shd w:val="clear" w:color="auto" w:fill="auto"/>
                  <w:noWrap w:val="0"/>
                  <w:vAlign w:val="center"/>
                </w:tcPr>
                <w:p w14:paraId="4F299FE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0.002</w:t>
                  </w:r>
                </w:p>
              </w:tc>
              <w:tc>
                <w:tcPr>
                  <w:tcW w:w="221" w:type="pct"/>
                  <w:vMerge w:val="restart"/>
                  <w:tcBorders>
                    <w:top w:val="single" w:color="auto" w:sz="4" w:space="0"/>
                    <w:left w:val="single" w:color="auto" w:sz="4" w:space="0"/>
                    <w:right w:val="single" w:color="auto" w:sz="4" w:space="0"/>
                  </w:tcBorders>
                  <w:noWrap w:val="0"/>
                  <w:vAlign w:val="center"/>
                </w:tcPr>
                <w:p w14:paraId="75F1A8B9">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72</w:t>
                  </w:r>
                  <w:r>
                    <w:rPr>
                      <w:rFonts w:hint="default" w:ascii="Times New Roman" w:hAnsi="Times New Roman" w:eastAsia="宋体" w:cs="Times New Roman"/>
                      <w:color w:val="auto"/>
                      <w:sz w:val="18"/>
                      <w:szCs w:val="18"/>
                      <w:highlight w:val="none"/>
                      <w:lang w:val="en-US" w:eastAsia="zh-CN"/>
                    </w:rPr>
                    <w:t>00</w:t>
                  </w:r>
                </w:p>
              </w:tc>
              <w:tc>
                <w:tcPr>
                  <w:tcW w:w="329" w:type="pct"/>
                  <w:vMerge w:val="restart"/>
                  <w:tcBorders>
                    <w:top w:val="single" w:color="auto" w:sz="4" w:space="0"/>
                    <w:left w:val="single" w:color="auto" w:sz="4" w:space="0"/>
                    <w:right w:val="single" w:color="auto" w:sz="4" w:space="0"/>
                  </w:tcBorders>
                  <w:noWrap w:val="0"/>
                  <w:vAlign w:val="center"/>
                </w:tcPr>
                <w:p w14:paraId="6BE4030C">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有组织DA00</w:t>
                  </w:r>
                  <w:r>
                    <w:rPr>
                      <w:rFonts w:hint="eastAsia" w:cs="Times New Roman"/>
                      <w:color w:val="auto"/>
                      <w:sz w:val="18"/>
                      <w:szCs w:val="18"/>
                      <w:highlight w:val="none"/>
                      <w:lang w:val="en-US" w:eastAsia="zh-CN"/>
                    </w:rPr>
                    <w:t>1</w:t>
                  </w:r>
                </w:p>
              </w:tc>
            </w:tr>
            <w:tr w14:paraId="435B6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406" w:type="pct"/>
                  <w:vMerge w:val="continue"/>
                  <w:tcBorders>
                    <w:left w:val="single" w:color="auto" w:sz="4" w:space="0"/>
                    <w:right w:val="single" w:color="auto" w:sz="4" w:space="0"/>
                  </w:tcBorders>
                  <w:noWrap w:val="0"/>
                  <w:vAlign w:val="center"/>
                </w:tcPr>
                <w:p w14:paraId="39C92277">
                  <w:pPr>
                    <w:spacing w:line="240" w:lineRule="auto"/>
                    <w:jc w:val="center"/>
                    <w:rPr>
                      <w:rFonts w:hint="default" w:ascii="Times New Roman" w:hAnsi="Times New Roman" w:eastAsia="宋体" w:cs="Times New Roman"/>
                      <w:color w:val="auto"/>
                      <w:sz w:val="18"/>
                      <w:szCs w:val="18"/>
                      <w:highlight w:val="yellow"/>
                      <w:lang w:val="en-US" w:eastAsia="zh-CN"/>
                    </w:rPr>
                  </w:pPr>
                </w:p>
              </w:tc>
              <w:tc>
                <w:tcPr>
                  <w:tcW w:w="404" w:type="pct"/>
                  <w:tcBorders>
                    <w:top w:val="single" w:color="auto" w:sz="4" w:space="0"/>
                    <w:left w:val="single" w:color="auto" w:sz="4" w:space="0"/>
                    <w:bottom w:val="single" w:color="auto" w:sz="4" w:space="0"/>
                    <w:right w:val="single" w:color="auto" w:sz="4" w:space="0"/>
                  </w:tcBorders>
                  <w:noWrap w:val="0"/>
                  <w:vAlign w:val="center"/>
                </w:tcPr>
                <w:p w14:paraId="4ACC4D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SO</w:t>
                  </w:r>
                  <w:r>
                    <w:rPr>
                      <w:rFonts w:hint="eastAsia" w:cs="Times New Roman"/>
                      <w:bCs/>
                      <w:color w:val="auto"/>
                      <w:kern w:val="2"/>
                      <w:sz w:val="18"/>
                      <w:szCs w:val="18"/>
                      <w:highlight w:val="none"/>
                      <w:vertAlign w:val="subscript"/>
                      <w:lang w:val="en-US" w:eastAsia="zh-CN" w:bidi="ar-SA"/>
                    </w:rPr>
                    <w:t>2</w:t>
                  </w:r>
                </w:p>
              </w:tc>
              <w:tc>
                <w:tcPr>
                  <w:tcW w:w="437" w:type="pct"/>
                  <w:tcBorders>
                    <w:top w:val="single" w:color="auto" w:sz="4" w:space="0"/>
                    <w:left w:val="single" w:color="auto" w:sz="4" w:space="0"/>
                    <w:bottom w:val="single" w:color="auto" w:sz="4" w:space="0"/>
                    <w:right w:val="single" w:color="auto" w:sz="4" w:space="0"/>
                  </w:tcBorders>
                  <w:noWrap w:val="0"/>
                  <w:vAlign w:val="center"/>
                </w:tcPr>
                <w:p w14:paraId="3C8486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0.044</w:t>
                  </w:r>
                </w:p>
              </w:tc>
              <w:tc>
                <w:tcPr>
                  <w:tcW w:w="45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315D4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0.044</w:t>
                  </w:r>
                </w:p>
              </w:tc>
              <w:tc>
                <w:tcPr>
                  <w:tcW w:w="322" w:type="pct"/>
                  <w:tcBorders>
                    <w:top w:val="single" w:color="auto" w:sz="4" w:space="0"/>
                    <w:left w:val="single" w:color="auto" w:sz="4" w:space="0"/>
                    <w:bottom w:val="single" w:color="auto" w:sz="4" w:space="0"/>
                    <w:right w:val="single" w:color="auto" w:sz="4" w:space="0"/>
                  </w:tcBorders>
                  <w:noWrap w:val="0"/>
                  <w:vAlign w:val="center"/>
                </w:tcPr>
                <w:p w14:paraId="69205180">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3.06</w:t>
                  </w:r>
                </w:p>
              </w:tc>
              <w:tc>
                <w:tcPr>
                  <w:tcW w:w="364" w:type="pct"/>
                  <w:tcBorders>
                    <w:top w:val="single" w:color="auto" w:sz="4" w:space="0"/>
                    <w:left w:val="single" w:color="auto" w:sz="4" w:space="0"/>
                    <w:right w:val="single" w:color="auto" w:sz="4" w:space="0"/>
                  </w:tcBorders>
                  <w:noWrap w:val="0"/>
                  <w:vAlign w:val="center"/>
                </w:tcPr>
                <w:p w14:paraId="06F0044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0.006</w:t>
                  </w:r>
                </w:p>
              </w:tc>
              <w:tc>
                <w:tcPr>
                  <w:tcW w:w="294" w:type="pct"/>
                  <w:vMerge w:val="continue"/>
                  <w:tcBorders>
                    <w:left w:val="single" w:color="auto" w:sz="4" w:space="0"/>
                    <w:right w:val="single" w:color="auto" w:sz="4" w:space="0"/>
                  </w:tcBorders>
                  <w:noWrap w:val="0"/>
                  <w:vAlign w:val="center"/>
                </w:tcPr>
                <w:p w14:paraId="15AFAB9F">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03" w:type="pct"/>
                  <w:tcBorders>
                    <w:top w:val="single" w:color="auto" w:sz="4" w:space="0"/>
                    <w:left w:val="single" w:color="auto" w:sz="4" w:space="0"/>
                    <w:right w:val="single" w:color="auto" w:sz="4" w:space="0"/>
                  </w:tcBorders>
                  <w:noWrap w:val="0"/>
                  <w:vAlign w:val="center"/>
                </w:tcPr>
                <w:p w14:paraId="129E9DD6">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c>
                <w:tcPr>
                  <w:tcW w:w="287" w:type="pct"/>
                  <w:tcBorders>
                    <w:top w:val="single" w:color="auto" w:sz="4" w:space="0"/>
                    <w:left w:val="single" w:color="auto" w:sz="4" w:space="0"/>
                    <w:right w:val="single" w:color="auto" w:sz="4" w:space="0"/>
                  </w:tcBorders>
                  <w:noWrap w:val="0"/>
                  <w:vAlign w:val="center"/>
                </w:tcPr>
                <w:p w14:paraId="57DB5E10">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03" w:type="pct"/>
                  <w:tcBorders>
                    <w:top w:val="single" w:color="auto" w:sz="4" w:space="0"/>
                    <w:left w:val="single" w:color="auto" w:sz="4" w:space="0"/>
                    <w:right w:val="single" w:color="auto" w:sz="4" w:space="0"/>
                  </w:tcBorders>
                  <w:noWrap w:val="0"/>
                  <w:vAlign w:val="center"/>
                </w:tcPr>
                <w:p w14:paraId="7FDE6D80">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31" w:type="pct"/>
                  <w:tcBorders>
                    <w:top w:val="single" w:color="auto" w:sz="4" w:space="0"/>
                    <w:left w:val="single" w:color="auto" w:sz="4" w:space="0"/>
                    <w:right w:val="single" w:color="auto" w:sz="4" w:space="0"/>
                  </w:tcBorders>
                  <w:noWrap w:val="0"/>
                  <w:vAlign w:val="center"/>
                </w:tcPr>
                <w:p w14:paraId="6A017C21">
                  <w:pPr>
                    <w:spacing w:line="240" w:lineRule="auto"/>
                    <w:jc w:val="center"/>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w:t>
                  </w:r>
                </w:p>
              </w:tc>
              <w:tc>
                <w:tcPr>
                  <w:tcW w:w="251" w:type="pct"/>
                  <w:tcBorders>
                    <w:top w:val="single" w:color="auto" w:sz="4" w:space="0"/>
                    <w:left w:val="single" w:color="auto" w:sz="4" w:space="0"/>
                    <w:right w:val="single" w:color="auto" w:sz="4" w:space="0"/>
                  </w:tcBorders>
                  <w:shd w:val="clear" w:color="auto" w:fill="auto"/>
                  <w:noWrap w:val="0"/>
                  <w:vAlign w:val="center"/>
                </w:tcPr>
                <w:p w14:paraId="48D3B8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0.044</w:t>
                  </w:r>
                </w:p>
              </w:tc>
              <w:tc>
                <w:tcPr>
                  <w:tcW w:w="292" w:type="pct"/>
                  <w:tcBorders>
                    <w:top w:val="single" w:color="auto" w:sz="4" w:space="0"/>
                    <w:left w:val="single" w:color="auto" w:sz="4" w:space="0"/>
                    <w:right w:val="single" w:color="auto" w:sz="4" w:space="0"/>
                  </w:tcBorders>
                  <w:shd w:val="clear" w:color="auto" w:fill="auto"/>
                  <w:noWrap w:val="0"/>
                  <w:vAlign w:val="center"/>
                </w:tcPr>
                <w:p w14:paraId="2BE897F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3.06</w:t>
                  </w:r>
                </w:p>
              </w:tc>
              <w:tc>
                <w:tcPr>
                  <w:tcW w:w="301" w:type="pct"/>
                  <w:tcBorders>
                    <w:top w:val="single" w:color="auto" w:sz="4" w:space="0"/>
                    <w:left w:val="single" w:color="auto" w:sz="4" w:space="0"/>
                    <w:right w:val="single" w:color="auto" w:sz="4" w:space="0"/>
                  </w:tcBorders>
                  <w:shd w:val="clear" w:color="auto" w:fill="auto"/>
                  <w:noWrap w:val="0"/>
                  <w:vAlign w:val="center"/>
                </w:tcPr>
                <w:p w14:paraId="77CC71D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0.006</w:t>
                  </w:r>
                </w:p>
              </w:tc>
              <w:tc>
                <w:tcPr>
                  <w:tcW w:w="221" w:type="pct"/>
                  <w:vMerge w:val="continue"/>
                  <w:tcBorders>
                    <w:left w:val="single" w:color="auto" w:sz="4" w:space="0"/>
                    <w:right w:val="single" w:color="auto" w:sz="4" w:space="0"/>
                  </w:tcBorders>
                  <w:noWrap w:val="0"/>
                  <w:vAlign w:val="center"/>
                </w:tcPr>
                <w:p w14:paraId="00564600">
                  <w:pPr>
                    <w:spacing w:line="240" w:lineRule="auto"/>
                    <w:jc w:val="center"/>
                    <w:rPr>
                      <w:rFonts w:hint="default" w:ascii="Times New Roman" w:hAnsi="Times New Roman" w:eastAsia="宋体" w:cs="Times New Roman"/>
                      <w:color w:val="auto"/>
                      <w:sz w:val="18"/>
                      <w:szCs w:val="18"/>
                      <w:highlight w:val="yellow"/>
                      <w:lang w:val="en-US" w:eastAsia="zh-CN"/>
                    </w:rPr>
                  </w:pPr>
                </w:p>
              </w:tc>
              <w:tc>
                <w:tcPr>
                  <w:tcW w:w="329" w:type="pct"/>
                  <w:vMerge w:val="continue"/>
                  <w:tcBorders>
                    <w:left w:val="single" w:color="auto" w:sz="4" w:space="0"/>
                    <w:right w:val="single" w:color="auto" w:sz="4" w:space="0"/>
                  </w:tcBorders>
                  <w:noWrap w:val="0"/>
                  <w:vAlign w:val="center"/>
                </w:tcPr>
                <w:p w14:paraId="2045057A">
                  <w:pPr>
                    <w:spacing w:line="240" w:lineRule="auto"/>
                    <w:jc w:val="center"/>
                    <w:rPr>
                      <w:rFonts w:hint="default" w:ascii="Times New Roman" w:hAnsi="Times New Roman" w:eastAsia="宋体" w:cs="Times New Roman"/>
                      <w:color w:val="auto"/>
                      <w:sz w:val="18"/>
                      <w:szCs w:val="18"/>
                      <w:highlight w:val="yellow"/>
                      <w:lang w:val="en-US" w:eastAsia="zh-CN"/>
                    </w:rPr>
                  </w:pPr>
                </w:p>
              </w:tc>
            </w:tr>
            <w:tr w14:paraId="797FC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406" w:type="pct"/>
                  <w:vMerge w:val="continue"/>
                  <w:tcBorders>
                    <w:left w:val="single" w:color="auto" w:sz="4" w:space="0"/>
                    <w:right w:val="single" w:color="auto" w:sz="4" w:space="0"/>
                  </w:tcBorders>
                  <w:noWrap w:val="0"/>
                  <w:vAlign w:val="center"/>
                </w:tcPr>
                <w:p w14:paraId="2608DF37">
                  <w:pPr>
                    <w:spacing w:line="240" w:lineRule="auto"/>
                    <w:jc w:val="center"/>
                    <w:rPr>
                      <w:rFonts w:hint="default" w:ascii="Times New Roman" w:hAnsi="Times New Roman" w:eastAsia="宋体" w:cs="Times New Roman"/>
                      <w:color w:val="auto"/>
                      <w:sz w:val="18"/>
                      <w:szCs w:val="18"/>
                      <w:highlight w:val="yellow"/>
                      <w:lang w:val="en-US" w:eastAsia="zh-CN"/>
                    </w:rPr>
                  </w:pPr>
                </w:p>
              </w:tc>
              <w:tc>
                <w:tcPr>
                  <w:tcW w:w="404" w:type="pct"/>
                  <w:tcBorders>
                    <w:top w:val="single" w:color="auto" w:sz="4" w:space="0"/>
                    <w:left w:val="single" w:color="auto" w:sz="4" w:space="0"/>
                    <w:bottom w:val="single" w:color="auto" w:sz="4" w:space="0"/>
                    <w:right w:val="single" w:color="auto" w:sz="4" w:space="0"/>
                  </w:tcBorders>
                  <w:noWrap w:val="0"/>
                  <w:vAlign w:val="center"/>
                </w:tcPr>
                <w:p w14:paraId="649B47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NOx</w:t>
                  </w:r>
                </w:p>
              </w:tc>
              <w:tc>
                <w:tcPr>
                  <w:tcW w:w="437" w:type="pct"/>
                  <w:tcBorders>
                    <w:top w:val="single" w:color="auto" w:sz="4" w:space="0"/>
                    <w:left w:val="single" w:color="auto" w:sz="4" w:space="0"/>
                    <w:bottom w:val="single" w:color="auto" w:sz="4" w:space="0"/>
                    <w:right w:val="single" w:color="auto" w:sz="4" w:space="0"/>
                  </w:tcBorders>
                  <w:noWrap w:val="0"/>
                  <w:vAlign w:val="center"/>
                </w:tcPr>
                <w:p w14:paraId="4E57FE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0.66</w:t>
                  </w:r>
                </w:p>
              </w:tc>
              <w:tc>
                <w:tcPr>
                  <w:tcW w:w="45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91347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0.66</w:t>
                  </w:r>
                </w:p>
              </w:tc>
              <w:tc>
                <w:tcPr>
                  <w:tcW w:w="322" w:type="pct"/>
                  <w:tcBorders>
                    <w:top w:val="single" w:color="auto" w:sz="4" w:space="0"/>
                    <w:left w:val="single" w:color="auto" w:sz="4" w:space="0"/>
                    <w:bottom w:val="single" w:color="auto" w:sz="4" w:space="0"/>
                    <w:right w:val="single" w:color="auto" w:sz="4" w:space="0"/>
                  </w:tcBorders>
                  <w:noWrap w:val="0"/>
                  <w:vAlign w:val="center"/>
                </w:tcPr>
                <w:p w14:paraId="5FCE2021">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45.8</w:t>
                  </w:r>
                </w:p>
              </w:tc>
              <w:tc>
                <w:tcPr>
                  <w:tcW w:w="364" w:type="pct"/>
                  <w:tcBorders>
                    <w:top w:val="single" w:color="auto" w:sz="4" w:space="0"/>
                    <w:left w:val="single" w:color="auto" w:sz="4" w:space="0"/>
                    <w:bottom w:val="single" w:color="auto" w:sz="4" w:space="0"/>
                    <w:right w:val="single" w:color="auto" w:sz="4" w:space="0"/>
                  </w:tcBorders>
                  <w:noWrap w:val="0"/>
                  <w:vAlign w:val="center"/>
                </w:tcPr>
                <w:p w14:paraId="124BBD8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0.09</w:t>
                  </w:r>
                </w:p>
              </w:tc>
              <w:tc>
                <w:tcPr>
                  <w:tcW w:w="294" w:type="pct"/>
                  <w:vMerge w:val="continue"/>
                  <w:tcBorders>
                    <w:left w:val="single" w:color="auto" w:sz="4" w:space="0"/>
                    <w:right w:val="single" w:color="auto" w:sz="4" w:space="0"/>
                  </w:tcBorders>
                  <w:noWrap w:val="0"/>
                  <w:vAlign w:val="center"/>
                </w:tcPr>
                <w:p w14:paraId="4A81BDD8">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03" w:type="pct"/>
                  <w:tcBorders>
                    <w:top w:val="single" w:color="auto" w:sz="4" w:space="0"/>
                    <w:left w:val="single" w:color="auto" w:sz="4" w:space="0"/>
                    <w:bottom w:val="single" w:color="auto" w:sz="4" w:space="0"/>
                    <w:right w:val="single" w:color="auto" w:sz="4" w:space="0"/>
                  </w:tcBorders>
                  <w:noWrap w:val="0"/>
                  <w:vAlign w:val="center"/>
                </w:tcPr>
                <w:p w14:paraId="15E76D77">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c>
                <w:tcPr>
                  <w:tcW w:w="287" w:type="pct"/>
                  <w:tcBorders>
                    <w:top w:val="single" w:color="auto" w:sz="4" w:space="0"/>
                    <w:left w:val="single" w:color="auto" w:sz="4" w:space="0"/>
                    <w:bottom w:val="single" w:color="auto" w:sz="4" w:space="0"/>
                    <w:right w:val="single" w:color="auto" w:sz="4" w:space="0"/>
                  </w:tcBorders>
                  <w:noWrap w:val="0"/>
                  <w:vAlign w:val="center"/>
                </w:tcPr>
                <w:p w14:paraId="7C8A8C60">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SNCR脱硝</w:t>
                  </w:r>
                </w:p>
              </w:tc>
              <w:tc>
                <w:tcPr>
                  <w:tcW w:w="203" w:type="pct"/>
                  <w:tcBorders>
                    <w:top w:val="single" w:color="auto" w:sz="4" w:space="0"/>
                    <w:left w:val="single" w:color="auto" w:sz="4" w:space="0"/>
                    <w:bottom w:val="single" w:color="auto" w:sz="4" w:space="0"/>
                    <w:right w:val="single" w:color="auto" w:sz="4" w:space="0"/>
                  </w:tcBorders>
                  <w:noWrap w:val="0"/>
                  <w:vAlign w:val="center"/>
                </w:tcPr>
                <w:p w14:paraId="39EA6DE9">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c>
                <w:tcPr>
                  <w:tcW w:w="231" w:type="pct"/>
                  <w:tcBorders>
                    <w:top w:val="single" w:color="auto" w:sz="4" w:space="0"/>
                    <w:left w:val="single" w:color="auto" w:sz="4" w:space="0"/>
                    <w:bottom w:val="single" w:color="auto" w:sz="4" w:space="0"/>
                    <w:right w:val="single" w:color="auto" w:sz="4" w:space="0"/>
                  </w:tcBorders>
                  <w:noWrap w:val="0"/>
                  <w:vAlign w:val="center"/>
                </w:tcPr>
                <w:p w14:paraId="22E50EE2">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是</w:t>
                  </w:r>
                </w:p>
              </w:tc>
              <w:tc>
                <w:tcPr>
                  <w:tcW w:w="251" w:type="pct"/>
                  <w:tcBorders>
                    <w:top w:val="single" w:color="auto" w:sz="4" w:space="0"/>
                    <w:left w:val="single" w:color="auto" w:sz="4" w:space="0"/>
                    <w:bottom w:val="single" w:color="auto" w:sz="4" w:space="0"/>
                    <w:right w:val="single" w:color="auto" w:sz="4" w:space="0"/>
                  </w:tcBorders>
                  <w:noWrap w:val="0"/>
                  <w:vAlign w:val="center"/>
                </w:tcPr>
                <w:p w14:paraId="20C18B11">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0.33</w:t>
                  </w:r>
                </w:p>
              </w:tc>
              <w:tc>
                <w:tcPr>
                  <w:tcW w:w="292" w:type="pct"/>
                  <w:tcBorders>
                    <w:top w:val="single" w:color="auto" w:sz="4" w:space="0"/>
                    <w:left w:val="single" w:color="auto" w:sz="4" w:space="0"/>
                    <w:bottom w:val="single" w:color="auto" w:sz="4" w:space="0"/>
                    <w:right w:val="single" w:color="auto" w:sz="4" w:space="0"/>
                  </w:tcBorders>
                  <w:noWrap w:val="0"/>
                  <w:vAlign w:val="center"/>
                </w:tcPr>
                <w:p w14:paraId="45D6389B">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22.9</w:t>
                  </w:r>
                </w:p>
              </w:tc>
              <w:tc>
                <w:tcPr>
                  <w:tcW w:w="301" w:type="pct"/>
                  <w:tcBorders>
                    <w:top w:val="single" w:color="auto" w:sz="4" w:space="0"/>
                    <w:left w:val="single" w:color="auto" w:sz="4" w:space="0"/>
                    <w:bottom w:val="single" w:color="auto" w:sz="4" w:space="0"/>
                    <w:right w:val="single" w:color="auto" w:sz="4" w:space="0"/>
                  </w:tcBorders>
                  <w:noWrap w:val="0"/>
                  <w:vAlign w:val="center"/>
                </w:tcPr>
                <w:p w14:paraId="5FB3CD25">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0.046</w:t>
                  </w:r>
                </w:p>
              </w:tc>
              <w:tc>
                <w:tcPr>
                  <w:tcW w:w="221" w:type="pct"/>
                  <w:vMerge w:val="continue"/>
                  <w:tcBorders>
                    <w:left w:val="single" w:color="auto" w:sz="4" w:space="0"/>
                    <w:right w:val="single" w:color="auto" w:sz="4" w:space="0"/>
                  </w:tcBorders>
                  <w:noWrap w:val="0"/>
                  <w:vAlign w:val="center"/>
                </w:tcPr>
                <w:p w14:paraId="090F0871">
                  <w:pPr>
                    <w:spacing w:line="240" w:lineRule="auto"/>
                    <w:jc w:val="center"/>
                    <w:rPr>
                      <w:rFonts w:hint="default" w:ascii="Times New Roman" w:hAnsi="Times New Roman" w:eastAsia="宋体" w:cs="Times New Roman"/>
                      <w:color w:val="auto"/>
                      <w:sz w:val="18"/>
                      <w:szCs w:val="18"/>
                      <w:highlight w:val="yellow"/>
                      <w:lang w:val="en-US" w:eastAsia="zh-CN"/>
                    </w:rPr>
                  </w:pPr>
                </w:p>
              </w:tc>
              <w:tc>
                <w:tcPr>
                  <w:tcW w:w="329" w:type="pct"/>
                  <w:vMerge w:val="continue"/>
                  <w:tcBorders>
                    <w:left w:val="single" w:color="auto" w:sz="4" w:space="0"/>
                    <w:right w:val="single" w:color="auto" w:sz="4" w:space="0"/>
                  </w:tcBorders>
                  <w:noWrap w:val="0"/>
                  <w:vAlign w:val="center"/>
                </w:tcPr>
                <w:p w14:paraId="64163BBB">
                  <w:pPr>
                    <w:spacing w:line="240" w:lineRule="auto"/>
                    <w:jc w:val="center"/>
                    <w:rPr>
                      <w:rFonts w:hint="default" w:ascii="Times New Roman" w:hAnsi="Times New Roman" w:eastAsia="宋体" w:cs="Times New Roman"/>
                      <w:color w:val="auto"/>
                      <w:sz w:val="18"/>
                      <w:szCs w:val="18"/>
                      <w:highlight w:val="yellow"/>
                      <w:lang w:val="en-US" w:eastAsia="zh-CN"/>
                    </w:rPr>
                  </w:pPr>
                </w:p>
              </w:tc>
            </w:tr>
            <w:tr w14:paraId="0DEEC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406" w:type="pct"/>
                  <w:vMerge w:val="continue"/>
                  <w:tcBorders>
                    <w:left w:val="single" w:color="auto" w:sz="4" w:space="0"/>
                    <w:right w:val="single" w:color="auto" w:sz="4" w:space="0"/>
                  </w:tcBorders>
                  <w:noWrap w:val="0"/>
                  <w:vAlign w:val="center"/>
                </w:tcPr>
                <w:p w14:paraId="67F85FCE">
                  <w:pPr>
                    <w:spacing w:line="240" w:lineRule="auto"/>
                    <w:jc w:val="center"/>
                    <w:rPr>
                      <w:rFonts w:hint="default" w:ascii="Times New Roman" w:hAnsi="Times New Roman" w:eastAsia="宋体" w:cs="Times New Roman"/>
                      <w:color w:val="auto"/>
                      <w:sz w:val="18"/>
                      <w:szCs w:val="18"/>
                      <w:highlight w:val="yellow"/>
                      <w:lang w:val="en-US" w:eastAsia="zh-CN"/>
                    </w:rPr>
                  </w:pPr>
                </w:p>
              </w:tc>
              <w:tc>
                <w:tcPr>
                  <w:tcW w:w="404" w:type="pct"/>
                  <w:tcBorders>
                    <w:top w:val="single" w:color="auto" w:sz="4" w:space="0"/>
                    <w:left w:val="single" w:color="auto" w:sz="4" w:space="0"/>
                    <w:bottom w:val="single" w:color="auto" w:sz="4" w:space="0"/>
                    <w:right w:val="single" w:color="auto" w:sz="4" w:space="0"/>
                  </w:tcBorders>
                  <w:noWrap w:val="0"/>
                  <w:vAlign w:val="center"/>
                </w:tcPr>
                <w:p w14:paraId="11983D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氨</w:t>
                  </w:r>
                </w:p>
              </w:tc>
              <w:tc>
                <w:tcPr>
                  <w:tcW w:w="437" w:type="pct"/>
                  <w:tcBorders>
                    <w:top w:val="single" w:color="auto" w:sz="4" w:space="0"/>
                    <w:left w:val="single" w:color="auto" w:sz="4" w:space="0"/>
                    <w:bottom w:val="single" w:color="auto" w:sz="4" w:space="0"/>
                    <w:right w:val="single" w:color="auto" w:sz="4" w:space="0"/>
                  </w:tcBorders>
                  <w:noWrap w:val="0"/>
                  <w:vAlign w:val="center"/>
                </w:tcPr>
                <w:p w14:paraId="101369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0.115</w:t>
                  </w:r>
                </w:p>
              </w:tc>
              <w:tc>
                <w:tcPr>
                  <w:tcW w:w="45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24E58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0.115</w:t>
                  </w:r>
                </w:p>
              </w:tc>
              <w:tc>
                <w:tcPr>
                  <w:tcW w:w="322" w:type="pct"/>
                  <w:tcBorders>
                    <w:top w:val="single" w:color="auto" w:sz="4" w:space="0"/>
                    <w:left w:val="single" w:color="auto" w:sz="4" w:space="0"/>
                    <w:bottom w:val="single" w:color="auto" w:sz="4" w:space="0"/>
                    <w:right w:val="single" w:color="auto" w:sz="4" w:space="0"/>
                  </w:tcBorders>
                  <w:noWrap w:val="0"/>
                  <w:vAlign w:val="center"/>
                </w:tcPr>
                <w:p w14:paraId="2BE89630">
                  <w:pPr>
                    <w:keepNext w:val="0"/>
                    <w:keepLines w:val="0"/>
                    <w:widowControl/>
                    <w:suppressLineNumbers w:val="0"/>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364" w:type="pct"/>
                  <w:tcBorders>
                    <w:top w:val="single" w:color="auto" w:sz="4" w:space="0"/>
                    <w:left w:val="single" w:color="auto" w:sz="4" w:space="0"/>
                    <w:bottom w:val="single" w:color="auto" w:sz="4" w:space="0"/>
                    <w:right w:val="single" w:color="auto" w:sz="4" w:space="0"/>
                  </w:tcBorders>
                  <w:noWrap w:val="0"/>
                  <w:vAlign w:val="center"/>
                </w:tcPr>
                <w:p w14:paraId="7EFE4E13">
                  <w:pPr>
                    <w:keepNext w:val="0"/>
                    <w:keepLines w:val="0"/>
                    <w:widowControl/>
                    <w:suppressLineNumbers w:val="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0.048</w:t>
                  </w:r>
                </w:p>
              </w:tc>
              <w:tc>
                <w:tcPr>
                  <w:tcW w:w="294" w:type="pct"/>
                  <w:vMerge w:val="continue"/>
                  <w:tcBorders>
                    <w:left w:val="single" w:color="auto" w:sz="4" w:space="0"/>
                    <w:right w:val="single" w:color="auto" w:sz="4" w:space="0"/>
                  </w:tcBorders>
                  <w:noWrap w:val="0"/>
                  <w:vAlign w:val="center"/>
                </w:tcPr>
                <w:p w14:paraId="374A3601">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03" w:type="pct"/>
                  <w:tcBorders>
                    <w:top w:val="single" w:color="auto" w:sz="4" w:space="0"/>
                    <w:left w:val="single" w:color="auto" w:sz="4" w:space="0"/>
                    <w:bottom w:val="single" w:color="auto" w:sz="4" w:space="0"/>
                    <w:right w:val="single" w:color="auto" w:sz="4" w:space="0"/>
                  </w:tcBorders>
                  <w:noWrap w:val="0"/>
                  <w:vAlign w:val="center"/>
                </w:tcPr>
                <w:p w14:paraId="06584AB7">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87" w:type="pct"/>
                  <w:tcBorders>
                    <w:top w:val="single" w:color="auto" w:sz="4" w:space="0"/>
                    <w:left w:val="single" w:color="auto" w:sz="4" w:space="0"/>
                    <w:bottom w:val="single" w:color="auto" w:sz="4" w:space="0"/>
                    <w:right w:val="single" w:color="auto" w:sz="4" w:space="0"/>
                  </w:tcBorders>
                  <w:noWrap w:val="0"/>
                  <w:vAlign w:val="center"/>
                </w:tcPr>
                <w:p w14:paraId="118B04F6">
                  <w:pPr>
                    <w:spacing w:line="240" w:lineRule="auto"/>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03" w:type="pct"/>
                  <w:tcBorders>
                    <w:top w:val="single" w:color="auto" w:sz="4" w:space="0"/>
                    <w:left w:val="single" w:color="auto" w:sz="4" w:space="0"/>
                    <w:bottom w:val="single" w:color="auto" w:sz="4" w:space="0"/>
                    <w:right w:val="single" w:color="auto" w:sz="4" w:space="0"/>
                  </w:tcBorders>
                  <w:noWrap w:val="0"/>
                  <w:vAlign w:val="center"/>
                </w:tcPr>
                <w:p w14:paraId="3A76B5A8">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31" w:type="pct"/>
                  <w:tcBorders>
                    <w:top w:val="single" w:color="auto" w:sz="4" w:space="0"/>
                    <w:left w:val="single" w:color="auto" w:sz="4" w:space="0"/>
                    <w:bottom w:val="single" w:color="auto" w:sz="4" w:space="0"/>
                    <w:right w:val="single" w:color="auto" w:sz="4" w:space="0"/>
                  </w:tcBorders>
                  <w:noWrap w:val="0"/>
                  <w:vAlign w:val="center"/>
                </w:tcPr>
                <w:p w14:paraId="69DD8617">
                  <w:pPr>
                    <w:spacing w:line="240" w:lineRule="auto"/>
                    <w:jc w:val="center"/>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w:t>
                  </w:r>
                </w:p>
              </w:tc>
              <w:tc>
                <w:tcPr>
                  <w:tcW w:w="25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7FF87A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w:t>
                  </w:r>
                  <w:r>
                    <w:rPr>
                      <w:rFonts w:hint="eastAsia" w:cs="Times New Roman"/>
                      <w:color w:val="auto"/>
                      <w:kern w:val="2"/>
                      <w:sz w:val="18"/>
                      <w:szCs w:val="18"/>
                      <w:highlight w:val="none"/>
                      <w:lang w:val="en-US" w:eastAsia="zh-CN" w:bidi="ar-SA"/>
                    </w:rPr>
                    <w:t>115</w:t>
                  </w:r>
                </w:p>
              </w:tc>
              <w:tc>
                <w:tcPr>
                  <w:tcW w:w="29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ECB9DB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8</w:t>
                  </w:r>
                </w:p>
              </w:tc>
              <w:tc>
                <w:tcPr>
                  <w:tcW w:w="30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BB2AD5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w:t>
                  </w:r>
                  <w:r>
                    <w:rPr>
                      <w:rFonts w:hint="eastAsia" w:cs="Times New Roman"/>
                      <w:color w:val="auto"/>
                      <w:kern w:val="2"/>
                      <w:sz w:val="18"/>
                      <w:szCs w:val="18"/>
                      <w:highlight w:val="none"/>
                      <w:lang w:val="en-US" w:eastAsia="zh-CN" w:bidi="ar-SA"/>
                    </w:rPr>
                    <w:t>048</w:t>
                  </w:r>
                  <w:r>
                    <w:rPr>
                      <w:rFonts w:hint="eastAsia" w:ascii="Times New Roman" w:hAnsi="Times New Roman" w:eastAsia="宋体" w:cs="Times New Roman"/>
                      <w:color w:val="auto"/>
                      <w:kern w:val="2"/>
                      <w:sz w:val="18"/>
                      <w:szCs w:val="18"/>
                      <w:highlight w:val="none"/>
                      <w:lang w:val="en-US" w:eastAsia="zh-CN" w:bidi="ar-SA"/>
                    </w:rPr>
                    <w:t>4</w:t>
                  </w:r>
                </w:p>
              </w:tc>
              <w:tc>
                <w:tcPr>
                  <w:tcW w:w="221" w:type="pct"/>
                  <w:vMerge w:val="continue"/>
                  <w:tcBorders>
                    <w:left w:val="single" w:color="auto" w:sz="4" w:space="0"/>
                    <w:right w:val="single" w:color="auto" w:sz="4" w:space="0"/>
                  </w:tcBorders>
                  <w:noWrap w:val="0"/>
                  <w:vAlign w:val="center"/>
                </w:tcPr>
                <w:p w14:paraId="4609D814">
                  <w:pPr>
                    <w:spacing w:line="240" w:lineRule="auto"/>
                    <w:jc w:val="center"/>
                    <w:rPr>
                      <w:rFonts w:hint="default" w:ascii="Times New Roman" w:hAnsi="Times New Roman" w:eastAsia="宋体" w:cs="Times New Roman"/>
                      <w:color w:val="auto"/>
                      <w:sz w:val="18"/>
                      <w:szCs w:val="18"/>
                      <w:highlight w:val="yellow"/>
                      <w:lang w:val="en-US" w:eastAsia="zh-CN"/>
                    </w:rPr>
                  </w:pPr>
                </w:p>
              </w:tc>
              <w:tc>
                <w:tcPr>
                  <w:tcW w:w="329" w:type="pct"/>
                  <w:vMerge w:val="continue"/>
                  <w:tcBorders>
                    <w:left w:val="single" w:color="auto" w:sz="4" w:space="0"/>
                    <w:right w:val="single" w:color="auto" w:sz="4" w:space="0"/>
                  </w:tcBorders>
                  <w:noWrap w:val="0"/>
                  <w:vAlign w:val="center"/>
                </w:tcPr>
                <w:p w14:paraId="6C68A82E">
                  <w:pPr>
                    <w:spacing w:line="240" w:lineRule="auto"/>
                    <w:jc w:val="center"/>
                    <w:rPr>
                      <w:rFonts w:hint="default" w:ascii="Times New Roman" w:hAnsi="Times New Roman" w:eastAsia="宋体" w:cs="Times New Roman"/>
                      <w:color w:val="auto"/>
                      <w:sz w:val="18"/>
                      <w:szCs w:val="18"/>
                      <w:highlight w:val="yellow"/>
                      <w:lang w:val="en-US" w:eastAsia="zh-CN"/>
                    </w:rPr>
                  </w:pPr>
                </w:p>
              </w:tc>
            </w:tr>
            <w:tr w14:paraId="44D7D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406" w:type="pct"/>
                  <w:vMerge w:val="continue"/>
                  <w:tcBorders>
                    <w:left w:val="single" w:color="auto" w:sz="4" w:space="0"/>
                    <w:right w:val="single" w:color="auto" w:sz="4" w:space="0"/>
                  </w:tcBorders>
                  <w:noWrap w:val="0"/>
                  <w:vAlign w:val="center"/>
                </w:tcPr>
                <w:p w14:paraId="563937EE">
                  <w:pPr>
                    <w:spacing w:line="240" w:lineRule="auto"/>
                    <w:jc w:val="center"/>
                    <w:rPr>
                      <w:rFonts w:hint="default" w:ascii="Times New Roman" w:hAnsi="Times New Roman" w:eastAsia="宋体" w:cs="Times New Roman"/>
                      <w:color w:val="auto"/>
                      <w:sz w:val="18"/>
                      <w:szCs w:val="18"/>
                      <w:highlight w:val="yellow"/>
                      <w:lang w:val="en-US" w:eastAsia="zh-CN"/>
                    </w:rPr>
                  </w:pPr>
                </w:p>
              </w:tc>
              <w:tc>
                <w:tcPr>
                  <w:tcW w:w="404" w:type="pct"/>
                  <w:tcBorders>
                    <w:top w:val="single" w:color="auto" w:sz="4" w:space="0"/>
                    <w:left w:val="single" w:color="auto" w:sz="4" w:space="0"/>
                    <w:bottom w:val="single" w:color="auto" w:sz="4" w:space="0"/>
                    <w:right w:val="single" w:color="auto" w:sz="4" w:space="0"/>
                  </w:tcBorders>
                  <w:noWrap w:val="0"/>
                  <w:vAlign w:val="center"/>
                </w:tcPr>
                <w:p w14:paraId="1012DD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臭气浓度</w:t>
                  </w:r>
                </w:p>
              </w:tc>
              <w:tc>
                <w:tcPr>
                  <w:tcW w:w="437" w:type="pct"/>
                  <w:tcBorders>
                    <w:top w:val="single" w:color="auto" w:sz="4" w:space="0"/>
                    <w:left w:val="single" w:color="auto" w:sz="4" w:space="0"/>
                    <w:bottom w:val="single" w:color="auto" w:sz="4" w:space="0"/>
                    <w:right w:val="single" w:color="auto" w:sz="4" w:space="0"/>
                  </w:tcBorders>
                  <w:noWrap w:val="0"/>
                  <w:vAlign w:val="center"/>
                </w:tcPr>
                <w:p w14:paraId="5FDFE1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auto"/>
                      <w:kern w:val="2"/>
                      <w:sz w:val="18"/>
                      <w:szCs w:val="18"/>
                      <w:highlight w:val="none"/>
                      <w:vertAlign w:val="baseline"/>
                      <w:lang w:val="en-US" w:eastAsia="zh-CN" w:bidi="ar-SA"/>
                    </w:rPr>
                  </w:pPr>
                  <w:r>
                    <w:rPr>
                      <w:rFonts w:hint="eastAsia" w:cs="Times New Roman"/>
                      <w:color w:val="auto"/>
                      <w:sz w:val="18"/>
                      <w:szCs w:val="18"/>
                      <w:highlight w:val="none"/>
                      <w:lang w:val="en-US" w:eastAsia="zh-CN"/>
                    </w:rPr>
                    <w:t>/</w:t>
                  </w:r>
                </w:p>
              </w:tc>
              <w:tc>
                <w:tcPr>
                  <w:tcW w:w="450" w:type="pct"/>
                  <w:tcBorders>
                    <w:top w:val="single" w:color="auto" w:sz="4" w:space="0"/>
                    <w:left w:val="single" w:color="auto" w:sz="4" w:space="0"/>
                    <w:bottom w:val="single" w:color="auto" w:sz="4" w:space="0"/>
                    <w:right w:val="single" w:color="auto" w:sz="4" w:space="0"/>
                  </w:tcBorders>
                  <w:noWrap w:val="0"/>
                  <w:vAlign w:val="center"/>
                </w:tcPr>
                <w:p w14:paraId="228DEC7B">
                  <w:pPr>
                    <w:keepNext w:val="0"/>
                    <w:keepLines w:val="0"/>
                    <w:widowControl/>
                    <w:suppressLineNumbers w:val="0"/>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2000（无量纲）</w:t>
                  </w:r>
                </w:p>
              </w:tc>
              <w:tc>
                <w:tcPr>
                  <w:tcW w:w="322" w:type="pct"/>
                  <w:tcBorders>
                    <w:top w:val="single" w:color="auto" w:sz="4" w:space="0"/>
                    <w:left w:val="single" w:color="auto" w:sz="4" w:space="0"/>
                    <w:bottom w:val="single" w:color="auto" w:sz="4" w:space="0"/>
                    <w:right w:val="single" w:color="auto" w:sz="4" w:space="0"/>
                  </w:tcBorders>
                  <w:noWrap w:val="0"/>
                  <w:vAlign w:val="center"/>
                </w:tcPr>
                <w:p w14:paraId="7EDC1393">
                  <w:pPr>
                    <w:keepNext w:val="0"/>
                    <w:keepLines w:val="0"/>
                    <w:widowControl/>
                    <w:suppressLineNumbers w:val="0"/>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364" w:type="pct"/>
                  <w:tcBorders>
                    <w:top w:val="single" w:color="auto" w:sz="4" w:space="0"/>
                    <w:left w:val="single" w:color="auto" w:sz="4" w:space="0"/>
                    <w:right w:val="single" w:color="auto" w:sz="4" w:space="0"/>
                  </w:tcBorders>
                  <w:noWrap w:val="0"/>
                  <w:vAlign w:val="center"/>
                </w:tcPr>
                <w:p w14:paraId="01F2A0C3">
                  <w:pPr>
                    <w:keepNext w:val="0"/>
                    <w:keepLines w:val="0"/>
                    <w:widowControl/>
                    <w:suppressLineNumbers w:val="0"/>
                    <w:jc w:val="center"/>
                    <w:textAlignment w:val="center"/>
                    <w:rPr>
                      <w:rFonts w:hint="eastAsia"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294" w:type="pct"/>
                  <w:vMerge w:val="continue"/>
                  <w:tcBorders>
                    <w:left w:val="single" w:color="auto" w:sz="4" w:space="0"/>
                    <w:right w:val="single" w:color="auto" w:sz="4" w:space="0"/>
                  </w:tcBorders>
                  <w:noWrap w:val="0"/>
                  <w:vAlign w:val="center"/>
                </w:tcPr>
                <w:p w14:paraId="365275CC">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03" w:type="pct"/>
                  <w:tcBorders>
                    <w:top w:val="single" w:color="auto" w:sz="4" w:space="0"/>
                    <w:left w:val="single" w:color="auto" w:sz="4" w:space="0"/>
                    <w:right w:val="single" w:color="auto" w:sz="4" w:space="0"/>
                  </w:tcBorders>
                  <w:noWrap w:val="0"/>
                  <w:vAlign w:val="center"/>
                </w:tcPr>
                <w:p w14:paraId="5DCF5B6C">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87" w:type="pct"/>
                  <w:tcBorders>
                    <w:top w:val="single" w:color="auto" w:sz="4" w:space="0"/>
                    <w:left w:val="single" w:color="auto" w:sz="4" w:space="0"/>
                    <w:right w:val="single" w:color="auto" w:sz="4" w:space="0"/>
                  </w:tcBorders>
                  <w:noWrap w:val="0"/>
                  <w:vAlign w:val="center"/>
                </w:tcPr>
                <w:p w14:paraId="03C51733">
                  <w:pPr>
                    <w:spacing w:line="240" w:lineRule="auto"/>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03" w:type="pct"/>
                  <w:tcBorders>
                    <w:top w:val="single" w:color="auto" w:sz="4" w:space="0"/>
                    <w:left w:val="single" w:color="auto" w:sz="4" w:space="0"/>
                    <w:right w:val="single" w:color="auto" w:sz="4" w:space="0"/>
                  </w:tcBorders>
                  <w:noWrap w:val="0"/>
                  <w:vAlign w:val="center"/>
                </w:tcPr>
                <w:p w14:paraId="3A03EF33">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31" w:type="pct"/>
                  <w:tcBorders>
                    <w:top w:val="single" w:color="auto" w:sz="4" w:space="0"/>
                    <w:left w:val="single" w:color="auto" w:sz="4" w:space="0"/>
                    <w:right w:val="single" w:color="auto" w:sz="4" w:space="0"/>
                  </w:tcBorders>
                  <w:noWrap w:val="0"/>
                  <w:vAlign w:val="center"/>
                </w:tcPr>
                <w:p w14:paraId="234EA1CC">
                  <w:pPr>
                    <w:spacing w:line="240" w:lineRule="auto"/>
                    <w:jc w:val="center"/>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w:t>
                  </w:r>
                </w:p>
              </w:tc>
              <w:tc>
                <w:tcPr>
                  <w:tcW w:w="251" w:type="pct"/>
                  <w:tcBorders>
                    <w:top w:val="single" w:color="auto" w:sz="4" w:space="0"/>
                    <w:left w:val="single" w:color="auto" w:sz="4" w:space="0"/>
                    <w:right w:val="single" w:color="auto" w:sz="4" w:space="0"/>
                  </w:tcBorders>
                  <w:noWrap w:val="0"/>
                  <w:vAlign w:val="center"/>
                </w:tcPr>
                <w:p w14:paraId="09B9B2FB">
                  <w:pPr>
                    <w:keepNext w:val="0"/>
                    <w:keepLines w:val="0"/>
                    <w:widowControl/>
                    <w:suppressLineNumbers w:val="0"/>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2000（无量纲）</w:t>
                  </w:r>
                </w:p>
              </w:tc>
              <w:tc>
                <w:tcPr>
                  <w:tcW w:w="292" w:type="pct"/>
                  <w:tcBorders>
                    <w:top w:val="single" w:color="auto" w:sz="4" w:space="0"/>
                    <w:left w:val="single" w:color="auto" w:sz="4" w:space="0"/>
                    <w:right w:val="single" w:color="auto" w:sz="4" w:space="0"/>
                  </w:tcBorders>
                  <w:noWrap w:val="0"/>
                  <w:vAlign w:val="center"/>
                </w:tcPr>
                <w:p w14:paraId="2F59A795">
                  <w:pPr>
                    <w:keepNext w:val="0"/>
                    <w:keepLines w:val="0"/>
                    <w:widowControl/>
                    <w:suppressLineNumbers w:val="0"/>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301" w:type="pct"/>
                  <w:tcBorders>
                    <w:top w:val="single" w:color="auto" w:sz="4" w:space="0"/>
                    <w:left w:val="single" w:color="auto" w:sz="4" w:space="0"/>
                    <w:right w:val="single" w:color="auto" w:sz="4" w:space="0"/>
                  </w:tcBorders>
                  <w:noWrap w:val="0"/>
                  <w:vAlign w:val="center"/>
                </w:tcPr>
                <w:p w14:paraId="41847513">
                  <w:pPr>
                    <w:keepNext w:val="0"/>
                    <w:keepLines w:val="0"/>
                    <w:widowControl/>
                    <w:suppressLineNumbers w:val="0"/>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21" w:type="pct"/>
                  <w:vMerge w:val="continue"/>
                  <w:tcBorders>
                    <w:left w:val="single" w:color="auto" w:sz="4" w:space="0"/>
                    <w:right w:val="single" w:color="auto" w:sz="4" w:space="0"/>
                  </w:tcBorders>
                  <w:noWrap w:val="0"/>
                  <w:vAlign w:val="center"/>
                </w:tcPr>
                <w:p w14:paraId="1B93A150">
                  <w:pPr>
                    <w:spacing w:line="240" w:lineRule="auto"/>
                    <w:jc w:val="center"/>
                    <w:rPr>
                      <w:rFonts w:hint="default" w:ascii="Times New Roman" w:hAnsi="Times New Roman" w:eastAsia="宋体" w:cs="Times New Roman"/>
                      <w:color w:val="auto"/>
                      <w:sz w:val="18"/>
                      <w:szCs w:val="18"/>
                      <w:highlight w:val="yellow"/>
                      <w:lang w:val="en-US" w:eastAsia="zh-CN"/>
                    </w:rPr>
                  </w:pPr>
                </w:p>
              </w:tc>
              <w:tc>
                <w:tcPr>
                  <w:tcW w:w="329" w:type="pct"/>
                  <w:vMerge w:val="continue"/>
                  <w:tcBorders>
                    <w:left w:val="single" w:color="auto" w:sz="4" w:space="0"/>
                    <w:right w:val="single" w:color="auto" w:sz="4" w:space="0"/>
                  </w:tcBorders>
                  <w:noWrap w:val="0"/>
                  <w:vAlign w:val="center"/>
                </w:tcPr>
                <w:p w14:paraId="624C1F94">
                  <w:pPr>
                    <w:spacing w:line="240" w:lineRule="auto"/>
                    <w:jc w:val="center"/>
                    <w:rPr>
                      <w:rFonts w:hint="default" w:ascii="Times New Roman" w:hAnsi="Times New Roman" w:eastAsia="宋体" w:cs="Times New Roman"/>
                      <w:color w:val="auto"/>
                      <w:sz w:val="18"/>
                      <w:szCs w:val="18"/>
                      <w:highlight w:val="yellow"/>
                      <w:lang w:val="en-US" w:eastAsia="zh-CN"/>
                    </w:rPr>
                  </w:pPr>
                </w:p>
              </w:tc>
            </w:tr>
          </w:tbl>
          <w:p w14:paraId="2BF912F3">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由上表可知，DA00</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排气筒</w:t>
            </w:r>
            <w:r>
              <w:rPr>
                <w:rFonts w:hint="default" w:ascii="Times New Roman" w:hAnsi="Times New Roman" w:cs="Times New Roman"/>
                <w:color w:val="auto"/>
                <w:highlight w:val="none"/>
              </w:rPr>
              <w:t>颗粒物有组织排放浓度为</w:t>
            </w:r>
            <w:r>
              <w:rPr>
                <w:rFonts w:hint="eastAsia" w:cs="Times New Roman"/>
                <w:color w:val="auto"/>
                <w:highlight w:val="none"/>
                <w:lang w:val="en-US" w:eastAsia="zh-CN"/>
              </w:rPr>
              <w:t>1.45</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DA00</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排气筒</w:t>
            </w:r>
            <w:r>
              <w:rPr>
                <w:rFonts w:hint="default" w:ascii="Times New Roman" w:hAnsi="Times New Roman" w:cs="Times New Roman"/>
                <w:color w:val="auto"/>
                <w:highlight w:val="none"/>
              </w:rPr>
              <w:t>颗粒物有组织排放浓度为</w:t>
            </w:r>
            <w:r>
              <w:rPr>
                <w:rFonts w:hint="eastAsia" w:cs="Times New Roman"/>
                <w:color w:val="auto"/>
                <w:highlight w:val="none"/>
                <w:lang w:val="en-US" w:eastAsia="zh-CN"/>
              </w:rPr>
              <w:t>7.6</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eastAsia" w:cs="Times New Roman"/>
                <w:color w:val="auto"/>
                <w:highlight w:val="none"/>
                <w:lang w:val="en-US" w:eastAsia="zh-CN"/>
              </w:rPr>
              <w:t>SO</w:t>
            </w:r>
            <w:r>
              <w:rPr>
                <w:rFonts w:hint="eastAsia" w:cs="Times New Roman"/>
                <w:color w:val="auto"/>
                <w:highlight w:val="none"/>
                <w:vertAlign w:val="subscript"/>
                <w:lang w:val="en-US" w:eastAsia="zh-CN"/>
              </w:rPr>
              <w:t>2</w:t>
            </w:r>
            <w:r>
              <w:rPr>
                <w:rFonts w:hint="default" w:ascii="Times New Roman" w:hAnsi="Times New Roman" w:cs="Times New Roman"/>
                <w:color w:val="auto"/>
                <w:highlight w:val="none"/>
              </w:rPr>
              <w:t>有组织排放浓度为</w:t>
            </w:r>
            <w:r>
              <w:rPr>
                <w:rFonts w:hint="eastAsia" w:cs="Times New Roman"/>
                <w:color w:val="auto"/>
                <w:highlight w:val="none"/>
                <w:lang w:val="en-US" w:eastAsia="zh-CN"/>
              </w:rPr>
              <w:t>14.7</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NOx</w:t>
            </w:r>
            <w:r>
              <w:rPr>
                <w:rFonts w:hint="default" w:ascii="Times New Roman" w:hAnsi="Times New Roman" w:cs="Times New Roman"/>
                <w:color w:val="auto"/>
                <w:highlight w:val="none"/>
              </w:rPr>
              <w:t>有组织排放浓度为</w:t>
            </w:r>
            <w:r>
              <w:rPr>
                <w:rFonts w:hint="eastAsia" w:cs="Times New Roman"/>
                <w:color w:val="auto"/>
                <w:highlight w:val="none"/>
                <w:lang w:val="en-US" w:eastAsia="zh-CN"/>
              </w:rPr>
              <w:t>55</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cs="Times New Roman"/>
                <w:color w:val="auto"/>
                <w:szCs w:val="16"/>
                <w:highlight w:val="none"/>
              </w:rPr>
              <w:t>满足</w:t>
            </w:r>
            <w:r>
              <w:rPr>
                <w:rFonts w:hint="default" w:ascii="Times New Roman" w:hAnsi="Times New Roman" w:cs="Times New Roman"/>
                <w:color w:val="auto"/>
                <w:sz w:val="21"/>
                <w:szCs w:val="21"/>
                <w:highlight w:val="none"/>
              </w:rPr>
              <w:t>《区域性大气污染物综合排放标准》（DB37/2376-2019）表1中“重点控制区”标准限值（</w:t>
            </w:r>
            <w:r>
              <w:rPr>
                <w:rFonts w:hint="default" w:ascii="Times New Roman" w:hAnsi="Times New Roman" w:eastAsia="宋体" w:cs="Times New Roman"/>
                <w:color w:val="auto"/>
                <w:spacing w:val="0"/>
                <w:sz w:val="21"/>
                <w:szCs w:val="21"/>
                <w:highlight w:val="none"/>
                <w:lang w:val="en-US" w:eastAsia="zh-CN"/>
              </w:rPr>
              <w:t>颗粒物</w:t>
            </w:r>
            <w:r>
              <w:rPr>
                <w:rFonts w:hint="default" w:ascii="Times New Roman" w:hAnsi="Times New Roman" w:eastAsia="宋体" w:cs="Times New Roman"/>
                <w:color w:val="auto"/>
                <w:spacing w:val="0"/>
                <w:sz w:val="21"/>
                <w:szCs w:val="21"/>
                <w:highlight w:val="none"/>
              </w:rPr>
              <w:t>10mg/m</w:t>
            </w:r>
            <w:r>
              <w:rPr>
                <w:rFonts w:hint="default" w:ascii="Times New Roman" w:hAnsi="Times New Roman" w:eastAsia="宋体" w:cs="Times New Roman"/>
                <w:color w:val="auto"/>
                <w:spacing w:val="0"/>
                <w:sz w:val="21"/>
                <w:szCs w:val="21"/>
                <w:highlight w:val="none"/>
                <w:vertAlign w:val="superscript"/>
              </w:rPr>
              <w:t>3</w:t>
            </w:r>
            <w:r>
              <w:rPr>
                <w:rFonts w:hint="default" w:ascii="Times New Roman" w:hAnsi="Times New Roman" w:eastAsia="宋体" w:cs="Times New Roman"/>
                <w:color w:val="auto"/>
                <w:spacing w:val="0"/>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vertAlign w:val="baseline"/>
                <w:lang w:val="en-US" w:eastAsia="zh-CN"/>
              </w:rPr>
              <w:t>二氧化硫50mg/m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vertAlign w:val="baseline"/>
                <w:lang w:val="en-US" w:eastAsia="zh-CN"/>
              </w:rPr>
              <w:t>、氮氧化物100mg/m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DA001排气筒</w:t>
            </w:r>
            <w:r>
              <w:rPr>
                <w:rFonts w:hint="eastAsia" w:ascii="Times New Roman" w:hAnsi="Times New Roman" w:cs="Times New Roman"/>
                <w:color w:val="auto"/>
                <w:sz w:val="21"/>
                <w:szCs w:val="21"/>
                <w:highlight w:val="none"/>
                <w:lang w:val="en-US" w:eastAsia="zh-CN"/>
              </w:rPr>
              <w:t>新增</w:t>
            </w:r>
            <w:r>
              <w:rPr>
                <w:rFonts w:hint="default" w:ascii="Times New Roman" w:hAnsi="Times New Roman" w:cs="Times New Roman"/>
                <w:color w:val="auto"/>
                <w:sz w:val="21"/>
                <w:szCs w:val="21"/>
                <w:highlight w:val="none"/>
                <w:lang w:val="en-US" w:eastAsia="zh-CN"/>
              </w:rPr>
              <w:t>烟气量为</w:t>
            </w:r>
            <w:r>
              <w:rPr>
                <w:rFonts w:hint="eastAsia" w:cs="Times New Roman"/>
                <w:color w:val="auto"/>
                <w:sz w:val="21"/>
                <w:szCs w:val="21"/>
                <w:highlight w:val="none"/>
                <w:lang w:val="en-US" w:eastAsia="zh-CN"/>
              </w:rPr>
              <w:t>510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cs="Times New Roman"/>
                <w:color w:val="auto"/>
                <w:sz w:val="21"/>
                <w:szCs w:val="21"/>
                <w:highlight w:val="none"/>
                <w:lang w:val="en-US" w:eastAsia="zh-CN"/>
              </w:rPr>
              <w:t>，则氨的排放量为0.</w:t>
            </w:r>
            <w:r>
              <w:rPr>
                <w:rFonts w:hint="eastAsia"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29</w:t>
            </w:r>
            <w:r>
              <w:rPr>
                <w:rFonts w:hint="default" w:ascii="Times New Roman" w:hAnsi="Times New Roman" w:cs="Times New Roman"/>
                <w:color w:val="auto"/>
                <w:sz w:val="21"/>
                <w:szCs w:val="21"/>
                <w:highlight w:val="none"/>
                <w:lang w:val="en-US" w:eastAsia="zh-CN"/>
              </w:rPr>
              <w:t>t/a，经计算，氨有组织排放速率为0.0</w:t>
            </w:r>
            <w:r>
              <w:rPr>
                <w:rFonts w:hint="eastAsia"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kg/h</w:t>
            </w:r>
            <w:r>
              <w:rPr>
                <w:rFonts w:hint="eastAsia" w:cs="Times New Roman"/>
                <w:color w:val="auto"/>
                <w:sz w:val="21"/>
                <w:szCs w:val="21"/>
                <w:highlight w:val="none"/>
                <w:lang w:val="en-US" w:eastAsia="zh-CN"/>
              </w:rPr>
              <w:t>，排放浓度为8</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cs="Times New Roman"/>
                <w:color w:val="auto"/>
                <w:sz w:val="21"/>
                <w:szCs w:val="21"/>
                <w:highlight w:val="none"/>
                <w:vertAlign w:val="baseline"/>
                <w:lang w:eastAsia="zh-CN"/>
              </w:rPr>
              <w:t>，</w:t>
            </w:r>
            <w:r>
              <w:rPr>
                <w:color w:val="auto"/>
                <w:highlight w:val="none"/>
              </w:rPr>
              <w:t>氨</w:t>
            </w:r>
            <w:r>
              <w:rPr>
                <w:rFonts w:hint="eastAsia"/>
                <w:color w:val="auto"/>
                <w:highlight w:val="none"/>
                <w:lang w:eastAsia="zh-CN"/>
              </w:rPr>
              <w:t>、</w:t>
            </w:r>
            <w:r>
              <w:rPr>
                <w:rFonts w:hint="eastAsia"/>
                <w:color w:val="auto"/>
                <w:highlight w:val="none"/>
                <w:lang w:val="en-US" w:eastAsia="zh-CN"/>
              </w:rPr>
              <w:t>臭气浓度</w:t>
            </w:r>
            <w:r>
              <w:rPr>
                <w:color w:val="auto"/>
                <w:highlight w:val="none"/>
              </w:rPr>
              <w:t>有组织排放执行《恶臭污染物排放标准》（GB14554-93）表2中标准（</w:t>
            </w:r>
            <w:r>
              <w:rPr>
                <w:rFonts w:hint="eastAsia"/>
                <w:color w:val="auto"/>
                <w:highlight w:val="none"/>
                <w:lang w:val="en-US" w:eastAsia="zh-CN"/>
              </w:rPr>
              <w:t>15</w:t>
            </w:r>
            <w:r>
              <w:rPr>
                <w:color w:val="auto"/>
                <w:highlight w:val="none"/>
              </w:rPr>
              <w:t>m排气筒，</w:t>
            </w:r>
            <w:r>
              <w:rPr>
                <w:rFonts w:hint="eastAsia"/>
                <w:color w:val="auto"/>
                <w:highlight w:val="none"/>
                <w:lang w:val="en-US" w:eastAsia="zh-CN"/>
              </w:rPr>
              <w:t>氨4.9</w:t>
            </w:r>
            <w:r>
              <w:rPr>
                <w:color w:val="auto"/>
                <w:highlight w:val="none"/>
              </w:rPr>
              <w:t>kg/h</w:t>
            </w:r>
            <w:r>
              <w:rPr>
                <w:rFonts w:hint="eastAsia"/>
                <w:color w:val="auto"/>
                <w:highlight w:val="none"/>
                <w:lang w:eastAsia="zh-CN"/>
              </w:rPr>
              <w:t>；</w:t>
            </w:r>
            <w:r>
              <w:rPr>
                <w:rFonts w:hint="eastAsia"/>
                <w:color w:val="auto"/>
                <w:highlight w:val="none"/>
                <w:lang w:val="en-US" w:eastAsia="zh-CN"/>
              </w:rPr>
              <w:t>臭气浓度2000无量纲</w:t>
            </w:r>
            <w:r>
              <w:rPr>
                <w:color w:val="auto"/>
                <w:highlight w:val="none"/>
              </w:rPr>
              <w:t>）</w:t>
            </w:r>
            <w:r>
              <w:rPr>
                <w:rFonts w:hint="default" w:ascii="Times New Roman" w:hAnsi="Times New Roman" w:cs="Times New Roman"/>
                <w:color w:val="auto"/>
                <w:sz w:val="21"/>
                <w:szCs w:val="21"/>
                <w:highlight w:val="none"/>
                <w:lang w:eastAsia="zh-CN"/>
              </w:rPr>
              <w:t>。</w:t>
            </w:r>
          </w:p>
          <w:p w14:paraId="033212CC">
            <w:pPr>
              <w:adjustRightInd w:val="0"/>
              <w:snapToGrid w:val="0"/>
              <w:spacing w:line="360" w:lineRule="auto"/>
              <w:ind w:left="420" w:left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（2）无组织废气</w:t>
            </w:r>
          </w:p>
          <w:p w14:paraId="699ECF69">
            <w:pPr>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无组织废气主要为</w:t>
            </w:r>
            <w:r>
              <w:rPr>
                <w:rFonts w:hint="default" w:ascii="Times New Roman" w:hAnsi="Times New Roman" w:cs="Times New Roman"/>
                <w:bCs/>
                <w:color w:val="auto"/>
                <w:sz w:val="21"/>
                <w:szCs w:val="21"/>
                <w:highlight w:val="none"/>
              </w:rPr>
              <w:t>集气罩未收集的颗粒物。</w:t>
            </w:r>
          </w:p>
          <w:p w14:paraId="2BA55C3A">
            <w:pPr>
              <w:pStyle w:val="2"/>
              <w:adjustRightInd w:val="0"/>
              <w:snapToGrid w:val="0"/>
              <w:spacing w:after="0" w:line="360" w:lineRule="auto"/>
              <w:ind w:left="0" w:leftChars="0"/>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本项目</w:t>
            </w:r>
            <w:r>
              <w:rPr>
                <w:rFonts w:hint="eastAsia" w:cs="Times New Roman"/>
                <w:bCs/>
                <w:color w:val="auto"/>
                <w:sz w:val="21"/>
                <w:szCs w:val="21"/>
                <w:highlight w:val="none"/>
                <w:lang w:val="en-US" w:eastAsia="zh-CN"/>
              </w:rPr>
              <w:t>进料、</w:t>
            </w:r>
            <w:r>
              <w:rPr>
                <w:rFonts w:hint="eastAsia" w:ascii="Times New Roman" w:hAnsi="Times New Roman" w:cs="Times New Roman"/>
                <w:bCs/>
                <w:color w:val="auto"/>
                <w:sz w:val="21"/>
                <w:szCs w:val="21"/>
                <w:highlight w:val="none"/>
                <w:lang w:val="en-US" w:eastAsia="zh-CN"/>
              </w:rPr>
              <w:t>筛分、上料、混料、装料、包装过程粉尘产生总量为</w:t>
            </w:r>
            <w:r>
              <w:rPr>
                <w:rFonts w:hint="eastAsia" w:cs="Times New Roman"/>
                <w:bCs/>
                <w:color w:val="auto"/>
                <w:sz w:val="21"/>
                <w:szCs w:val="21"/>
                <w:highlight w:val="none"/>
                <w:lang w:val="en-US" w:eastAsia="zh-CN"/>
              </w:rPr>
              <w:t>3.359</w:t>
            </w:r>
            <w:r>
              <w:rPr>
                <w:rFonts w:hint="eastAsia" w:ascii="Times New Roman" w:hAnsi="Times New Roman" w:cs="Times New Roman"/>
                <w:bCs/>
                <w:color w:val="auto"/>
                <w:sz w:val="21"/>
                <w:szCs w:val="21"/>
                <w:highlight w:val="none"/>
                <w:lang w:val="en-US" w:eastAsia="zh-CN"/>
              </w:rPr>
              <w:t>t/a，集气罩收集效率为95%，5%未收集，则集气罩未收集粉尘量为0.</w:t>
            </w:r>
            <w:r>
              <w:rPr>
                <w:rFonts w:hint="eastAsia" w:cs="Times New Roman"/>
                <w:bCs/>
                <w:color w:val="auto"/>
                <w:sz w:val="21"/>
                <w:szCs w:val="21"/>
                <w:highlight w:val="none"/>
                <w:lang w:val="en-US" w:eastAsia="zh-CN"/>
              </w:rPr>
              <w:t>168</w:t>
            </w:r>
            <w:r>
              <w:rPr>
                <w:rFonts w:hint="eastAsia" w:ascii="Times New Roman" w:hAnsi="Times New Roman" w:cs="Times New Roman"/>
                <w:bCs/>
                <w:color w:val="auto"/>
                <w:sz w:val="21"/>
                <w:szCs w:val="21"/>
                <w:highlight w:val="none"/>
                <w:lang w:val="en-US" w:eastAsia="zh-CN"/>
              </w:rPr>
              <w:t>t/a</w:t>
            </w:r>
            <w:r>
              <w:rPr>
                <w:rFonts w:hint="eastAsia"/>
                <w:color w:val="auto"/>
                <w:sz w:val="21"/>
                <w:szCs w:val="21"/>
                <w:highlight w:val="none"/>
                <w:lang w:val="en-US" w:eastAsia="zh-CN"/>
              </w:rPr>
              <w:t>，排放速率0.023kg/h</w:t>
            </w:r>
            <w:r>
              <w:rPr>
                <w:rFonts w:hint="eastAsia" w:ascii="Times New Roman" w:hAnsi="Times New Roman" w:cs="Times New Roman"/>
                <w:bCs/>
                <w:color w:val="auto"/>
                <w:sz w:val="21"/>
                <w:szCs w:val="21"/>
                <w:highlight w:val="none"/>
                <w:lang w:val="en-US" w:eastAsia="zh-CN"/>
              </w:rPr>
              <w:t>。</w:t>
            </w:r>
          </w:p>
          <w:p w14:paraId="31F65C19">
            <w:pPr>
              <w:adjustRightInd w:val="0"/>
              <w:snapToGrid w:val="0"/>
              <w:spacing w:line="360" w:lineRule="auto"/>
              <w:ind w:firstLine="420" w:firstLineChars="200"/>
              <w:rPr>
                <w:rFonts w:hint="default"/>
                <w:bCs/>
                <w:color w:val="auto"/>
                <w:highlight w:val="none"/>
                <w:lang w:val="en-US" w:eastAsia="zh-CN"/>
              </w:rPr>
            </w:pPr>
            <w:r>
              <w:rPr>
                <w:rFonts w:hint="eastAsia" w:ascii="Times New Roman" w:hAnsi="Times New Roman" w:cs="Times New Roman"/>
                <w:color w:val="auto"/>
                <w:highlight w:val="none"/>
                <w:lang w:val="en-US" w:eastAsia="zh-CN"/>
              </w:rPr>
              <w:t>综上所述，</w:t>
            </w:r>
            <w:r>
              <w:rPr>
                <w:rFonts w:hint="eastAsia" w:cs="Times New Roman"/>
                <w:color w:val="auto"/>
                <w:highlight w:val="none"/>
                <w:lang w:val="en-US" w:eastAsia="zh-CN"/>
              </w:rPr>
              <w:t>本项目</w:t>
            </w:r>
            <w:r>
              <w:rPr>
                <w:rFonts w:hint="eastAsia" w:ascii="Times New Roman" w:hAnsi="Times New Roman" w:cs="Times New Roman"/>
                <w:color w:val="auto"/>
                <w:highlight w:val="none"/>
                <w:lang w:val="en-US" w:eastAsia="zh-CN"/>
              </w:rPr>
              <w:t>颗粒物无组织排放量为</w:t>
            </w:r>
            <w:r>
              <w:rPr>
                <w:rFonts w:hint="eastAsia" w:ascii="Times New Roman" w:hAnsi="Times New Roman" w:cs="Times New Roman"/>
                <w:bCs/>
                <w:color w:val="auto"/>
                <w:sz w:val="21"/>
                <w:szCs w:val="21"/>
                <w:highlight w:val="none"/>
                <w:lang w:val="en-US" w:eastAsia="zh-CN"/>
              </w:rPr>
              <w:t>0.</w:t>
            </w:r>
            <w:r>
              <w:rPr>
                <w:rFonts w:hint="eastAsia" w:cs="Times New Roman"/>
                <w:bCs/>
                <w:color w:val="auto"/>
                <w:sz w:val="21"/>
                <w:szCs w:val="21"/>
                <w:highlight w:val="none"/>
                <w:lang w:val="en-US" w:eastAsia="zh-CN"/>
              </w:rPr>
              <w:t>168</w:t>
            </w:r>
            <w:r>
              <w:rPr>
                <w:rFonts w:hint="eastAsia" w:ascii="Times New Roman" w:hAnsi="Times New Roman" w:cs="Times New Roman"/>
                <w:bCs/>
                <w:color w:val="auto"/>
                <w:sz w:val="21"/>
                <w:szCs w:val="21"/>
                <w:highlight w:val="none"/>
                <w:lang w:val="en-US" w:eastAsia="zh-CN"/>
              </w:rPr>
              <w:t>t/a</w:t>
            </w:r>
            <w:r>
              <w:rPr>
                <w:rFonts w:hint="eastAsia"/>
                <w:color w:val="auto"/>
                <w:sz w:val="21"/>
                <w:szCs w:val="21"/>
                <w:highlight w:val="none"/>
                <w:lang w:val="en-US" w:eastAsia="zh-CN"/>
              </w:rPr>
              <w:t>，排放速率0.023kg/h</w:t>
            </w:r>
            <w:r>
              <w:rPr>
                <w:rFonts w:hint="eastAsia" w:ascii="Times New Roman" w:hAnsi="Times New Roman" w:cs="Times New Roman"/>
                <w:bCs/>
                <w:color w:val="auto"/>
                <w:sz w:val="21"/>
                <w:szCs w:val="21"/>
                <w:highlight w:val="none"/>
                <w:lang w:val="en-US" w:eastAsia="zh-CN"/>
              </w:rPr>
              <w:t>。</w:t>
            </w:r>
          </w:p>
          <w:p w14:paraId="77FA9723">
            <w:pPr>
              <w:pStyle w:val="381"/>
              <w:ind w:firstLine="422"/>
              <w:rPr>
                <w:b/>
                <w:bCs/>
                <w:color w:val="auto"/>
                <w:sz w:val="21"/>
                <w:highlight w:val="none"/>
              </w:rPr>
            </w:pPr>
            <w:r>
              <w:rPr>
                <w:b/>
                <w:bCs/>
                <w:color w:val="auto"/>
                <w:sz w:val="21"/>
                <w:highlight w:val="none"/>
                <w:lang w:val="en-US"/>
              </w:rPr>
              <w:t>2、污染治理设施的可行性分析</w:t>
            </w:r>
          </w:p>
          <w:p w14:paraId="6ED09060">
            <w:pPr>
              <w:pStyle w:val="1389"/>
              <w:ind w:firstLine="420"/>
              <w:rPr>
                <w:rFonts w:ascii="Times New Roman" w:hAnsi="Times New Roman" w:eastAsia="宋体" w:cs="Times New Roman"/>
                <w:color w:val="auto"/>
                <w:highlight w:val="none"/>
              </w:rPr>
            </w:pPr>
            <w:r>
              <w:rPr>
                <w:rFonts w:ascii="Times New Roman" w:hAnsi="Times New Roman" w:eastAsia="宋体" w:cs="Times New Roman"/>
                <w:color w:val="auto"/>
                <w:highlight w:val="none"/>
              </w:rPr>
              <w:t>1）废气排放量核算：</w:t>
            </w:r>
          </w:p>
          <w:p w14:paraId="5165714B">
            <w:pPr>
              <w:pStyle w:val="1389"/>
              <w:ind w:firstLine="420"/>
              <w:rPr>
                <w:rFonts w:ascii="Times New Roman" w:hAnsi="Times New Roman" w:eastAsia="宋体" w:cs="Times New Roman"/>
                <w:color w:val="auto"/>
                <w:highlight w:val="none"/>
              </w:rPr>
            </w:pPr>
            <w:r>
              <w:rPr>
                <w:rFonts w:hint="eastAsia" w:ascii="宋体" w:hAnsi="宋体" w:cs="宋体"/>
                <w:color w:val="auto"/>
                <w:highlight w:val="none"/>
                <w:lang w:val="en-US" w:eastAsia="zh-CN"/>
              </w:rPr>
              <w:t>DA002排气筒2#</w:t>
            </w:r>
            <w:r>
              <w:rPr>
                <w:rFonts w:hint="eastAsia" w:ascii="宋体" w:hAnsi="宋体" w:eastAsia="宋体" w:cs="宋体"/>
                <w:color w:val="auto"/>
                <w:highlight w:val="none"/>
                <w:lang w:val="en-US" w:eastAsia="zh-CN"/>
              </w:rPr>
              <w:t>布袋除尘器</w:t>
            </w:r>
            <w:r>
              <w:rPr>
                <w:rFonts w:ascii="Times New Roman" w:hAnsi="Times New Roman" w:eastAsia="宋体" w:cs="Times New Roman"/>
                <w:color w:val="auto"/>
                <w:highlight w:val="none"/>
              </w:rPr>
              <w:t>集气罩排风量：根据《环境工程设计手册》（主编：魏先勋）中有关集气罩排风量的计算公式，结合本项目拟建设有边集气罩，本项目集气罩所需的排风量L（m</w:t>
            </w:r>
            <w:r>
              <w:rPr>
                <w:rFonts w:ascii="Times New Roman" w:hAnsi="Times New Roman" w:eastAsia="宋体" w:cs="Times New Roman"/>
                <w:color w:val="auto"/>
                <w:highlight w:val="none"/>
                <w:vertAlign w:val="superscript"/>
              </w:rPr>
              <w:t>3</w:t>
            </w:r>
            <w:r>
              <w:rPr>
                <w:rFonts w:ascii="Times New Roman" w:hAnsi="Times New Roman" w:eastAsia="宋体" w:cs="Times New Roman"/>
                <w:color w:val="auto"/>
                <w:highlight w:val="none"/>
              </w:rPr>
              <w:t>/h）计算公式如下。</w:t>
            </w:r>
          </w:p>
          <w:p w14:paraId="0ADE265D">
            <w:pPr>
              <w:pStyle w:val="1389"/>
              <w:ind w:firstLine="420"/>
              <w:jc w:val="center"/>
              <w:rPr>
                <w:color w:val="auto"/>
                <w:highlight w:val="none"/>
              </w:rPr>
            </w:pPr>
            <w:r>
              <w:rPr>
                <w:color w:val="auto"/>
                <w:highlight w:val="none"/>
              </w:rPr>
              <w:t>L=3600×0.75×（10X</w:t>
            </w:r>
            <w:r>
              <w:rPr>
                <w:color w:val="auto"/>
                <w:highlight w:val="none"/>
                <w:vertAlign w:val="superscript"/>
              </w:rPr>
              <w:t>2</w:t>
            </w:r>
            <w:r>
              <w:rPr>
                <w:color w:val="auto"/>
                <w:highlight w:val="none"/>
              </w:rPr>
              <w:t>+A）×Vx</w:t>
            </w:r>
          </w:p>
          <w:p w14:paraId="182E0BCB">
            <w:pPr>
              <w:pStyle w:val="1389"/>
              <w:ind w:firstLine="420"/>
              <w:rPr>
                <w:color w:val="auto"/>
                <w:highlight w:val="none"/>
              </w:rPr>
            </w:pPr>
            <w:r>
              <w:rPr>
                <w:color w:val="auto"/>
                <w:highlight w:val="none"/>
              </w:rPr>
              <w:t>式中：L——集气罩的排风量，m</w:t>
            </w:r>
            <w:r>
              <w:rPr>
                <w:color w:val="auto"/>
                <w:highlight w:val="none"/>
                <w:vertAlign w:val="superscript"/>
              </w:rPr>
              <w:t>3</w:t>
            </w:r>
            <w:r>
              <w:rPr>
                <w:color w:val="auto"/>
                <w:highlight w:val="none"/>
              </w:rPr>
              <w:t>/h；</w:t>
            </w:r>
          </w:p>
          <w:p w14:paraId="54FD67EE">
            <w:pPr>
              <w:pStyle w:val="1389"/>
              <w:ind w:firstLine="420"/>
              <w:rPr>
                <w:color w:val="auto"/>
                <w:highlight w:val="none"/>
              </w:rPr>
            </w:pPr>
            <w:r>
              <w:rPr>
                <w:color w:val="auto"/>
                <w:highlight w:val="none"/>
              </w:rPr>
              <w:t>X——污染物产生点至罩口的距离，m；</w:t>
            </w:r>
          </w:p>
          <w:p w14:paraId="07F4B8FF">
            <w:pPr>
              <w:pStyle w:val="1389"/>
              <w:ind w:firstLine="420"/>
              <w:rPr>
                <w:color w:val="auto"/>
                <w:highlight w:val="none"/>
              </w:rPr>
            </w:pPr>
            <w:r>
              <w:rPr>
                <w:color w:val="auto"/>
                <w:highlight w:val="none"/>
              </w:rPr>
              <w:t>A——罩口面积，m</w:t>
            </w:r>
            <w:r>
              <w:rPr>
                <w:color w:val="auto"/>
                <w:highlight w:val="none"/>
                <w:vertAlign w:val="superscript"/>
              </w:rPr>
              <w:t>2</w:t>
            </w:r>
            <w:r>
              <w:rPr>
                <w:color w:val="auto"/>
                <w:highlight w:val="none"/>
              </w:rPr>
              <w:t>；</w:t>
            </w:r>
          </w:p>
          <w:p w14:paraId="05FEFA85">
            <w:pPr>
              <w:pStyle w:val="1389"/>
              <w:ind w:firstLine="420"/>
              <w:rPr>
                <w:color w:val="auto"/>
                <w:highlight w:val="none"/>
              </w:rPr>
            </w:pPr>
            <w:r>
              <w:rPr>
                <w:color w:val="auto"/>
                <w:highlight w:val="none"/>
              </w:rPr>
              <w:t>Vx——最小控制风速，m/s。集气罩废气风速按照风速</w:t>
            </w:r>
            <w:r>
              <w:rPr>
                <w:rFonts w:hint="eastAsia"/>
                <w:color w:val="auto"/>
                <w:highlight w:val="none"/>
                <w:lang w:val="en-US" w:eastAsia="zh-CN"/>
              </w:rPr>
              <w:t>0.3~</w:t>
            </w:r>
            <w:r>
              <w:rPr>
                <w:color w:val="auto"/>
                <w:highlight w:val="none"/>
              </w:rPr>
              <w:t>0.</w:t>
            </w:r>
            <w:r>
              <w:rPr>
                <w:rFonts w:hint="eastAsia"/>
                <w:color w:val="auto"/>
                <w:highlight w:val="none"/>
                <w:lang w:val="en-US" w:eastAsia="zh-CN"/>
              </w:rPr>
              <w:t>5</w:t>
            </w:r>
            <w:r>
              <w:rPr>
                <w:color w:val="auto"/>
                <w:highlight w:val="none"/>
              </w:rPr>
              <w:t>m/s计算。</w:t>
            </w:r>
          </w:p>
          <w:p w14:paraId="6F06AB98">
            <w:pPr>
              <w:pStyle w:val="1389"/>
              <w:ind w:firstLine="422"/>
              <w:jc w:val="center"/>
              <w:rPr>
                <w:b/>
                <w:bCs/>
                <w:color w:val="auto"/>
                <w:highlight w:val="none"/>
              </w:rPr>
            </w:pPr>
            <w:r>
              <w:rPr>
                <w:b/>
                <w:bCs/>
                <w:color w:val="auto"/>
                <w:highlight w:val="none"/>
              </w:rPr>
              <w:t>表4-</w:t>
            </w:r>
            <w:r>
              <w:rPr>
                <w:rFonts w:hint="eastAsia"/>
                <w:b/>
                <w:bCs/>
                <w:color w:val="auto"/>
                <w:highlight w:val="none"/>
                <w:lang w:val="en-US" w:eastAsia="zh-CN"/>
              </w:rPr>
              <w:t>6 DA002排气筒2#</w:t>
            </w:r>
            <w:r>
              <w:rPr>
                <w:b/>
                <w:bCs/>
                <w:color w:val="auto"/>
                <w:highlight w:val="none"/>
              </w:rPr>
              <w:t>布袋除尘器废气收集风量核算</w:t>
            </w:r>
          </w:p>
          <w:tbl>
            <w:tblPr>
              <w:tblStyle w:val="8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32"/>
              <w:gridCol w:w="1002"/>
              <w:gridCol w:w="982"/>
              <w:gridCol w:w="862"/>
              <w:gridCol w:w="609"/>
              <w:gridCol w:w="611"/>
              <w:gridCol w:w="736"/>
              <w:gridCol w:w="477"/>
              <w:gridCol w:w="874"/>
              <w:gridCol w:w="875"/>
            </w:tblGrid>
            <w:tr w14:paraId="79457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96" w:type="pct"/>
                  <w:noWrap w:val="0"/>
                  <w:vAlign w:val="center"/>
                </w:tcPr>
                <w:p w14:paraId="2D8179C7">
                  <w:pPr>
                    <w:pStyle w:val="200"/>
                    <w:spacing w:before="24" w:after="24"/>
                    <w:rPr>
                      <w:rFonts w:ascii="Times New Roman"/>
                      <w:color w:val="auto"/>
                      <w:sz w:val="18"/>
                      <w:szCs w:val="18"/>
                      <w:highlight w:val="none"/>
                    </w:rPr>
                  </w:pPr>
                  <w:r>
                    <w:rPr>
                      <w:rFonts w:ascii="Times New Roman"/>
                      <w:color w:val="auto"/>
                      <w:sz w:val="18"/>
                      <w:szCs w:val="18"/>
                      <w:highlight w:val="none"/>
                    </w:rPr>
                    <w:t>编号</w:t>
                  </w:r>
                </w:p>
              </w:tc>
              <w:tc>
                <w:tcPr>
                  <w:tcW w:w="599" w:type="pct"/>
                  <w:noWrap w:val="0"/>
                  <w:vAlign w:val="center"/>
                </w:tcPr>
                <w:p w14:paraId="3D12E97A">
                  <w:pPr>
                    <w:pStyle w:val="200"/>
                    <w:spacing w:before="24" w:after="24"/>
                    <w:rPr>
                      <w:rFonts w:ascii="Times New Roman"/>
                      <w:color w:val="auto"/>
                      <w:sz w:val="18"/>
                      <w:szCs w:val="18"/>
                      <w:highlight w:val="none"/>
                    </w:rPr>
                  </w:pPr>
                  <w:r>
                    <w:rPr>
                      <w:rFonts w:ascii="Times New Roman"/>
                      <w:color w:val="auto"/>
                      <w:sz w:val="18"/>
                      <w:szCs w:val="18"/>
                      <w:highlight w:val="none"/>
                    </w:rPr>
                    <w:t>设备</w:t>
                  </w:r>
                </w:p>
              </w:tc>
              <w:tc>
                <w:tcPr>
                  <w:tcW w:w="587" w:type="pct"/>
                  <w:noWrap w:val="0"/>
                  <w:vAlign w:val="center"/>
                </w:tcPr>
                <w:p w14:paraId="340DB563">
                  <w:pPr>
                    <w:pStyle w:val="200"/>
                    <w:spacing w:before="24" w:after="24"/>
                    <w:rPr>
                      <w:rFonts w:ascii="Times New Roman"/>
                      <w:color w:val="auto"/>
                      <w:sz w:val="18"/>
                      <w:szCs w:val="18"/>
                      <w:highlight w:val="none"/>
                    </w:rPr>
                  </w:pPr>
                  <w:r>
                    <w:rPr>
                      <w:rFonts w:ascii="Times New Roman"/>
                      <w:color w:val="auto"/>
                      <w:sz w:val="18"/>
                      <w:szCs w:val="18"/>
                      <w:highlight w:val="none"/>
                    </w:rPr>
                    <w:t>距离m</w:t>
                  </w:r>
                </w:p>
              </w:tc>
              <w:tc>
                <w:tcPr>
                  <w:tcW w:w="515" w:type="pct"/>
                  <w:noWrap w:val="0"/>
                  <w:vAlign w:val="center"/>
                </w:tcPr>
                <w:p w14:paraId="55AF8CA2">
                  <w:pPr>
                    <w:pStyle w:val="200"/>
                    <w:spacing w:before="24" w:after="24"/>
                    <w:rPr>
                      <w:rFonts w:ascii="Times New Roman"/>
                      <w:color w:val="auto"/>
                      <w:sz w:val="18"/>
                      <w:szCs w:val="18"/>
                      <w:highlight w:val="none"/>
                    </w:rPr>
                  </w:pPr>
                  <w:r>
                    <w:rPr>
                      <w:rFonts w:ascii="Times New Roman"/>
                      <w:color w:val="auto"/>
                      <w:sz w:val="18"/>
                      <w:szCs w:val="18"/>
                      <w:highlight w:val="none"/>
                    </w:rPr>
                    <w:t>集气罩长度m</w:t>
                  </w:r>
                </w:p>
              </w:tc>
              <w:tc>
                <w:tcPr>
                  <w:tcW w:w="364" w:type="pct"/>
                  <w:noWrap w:val="0"/>
                  <w:vAlign w:val="center"/>
                </w:tcPr>
                <w:p w14:paraId="3FBEECF6">
                  <w:pPr>
                    <w:pStyle w:val="200"/>
                    <w:spacing w:before="24" w:after="24"/>
                    <w:rPr>
                      <w:rFonts w:ascii="Times New Roman"/>
                      <w:color w:val="auto"/>
                      <w:sz w:val="18"/>
                      <w:szCs w:val="18"/>
                      <w:highlight w:val="none"/>
                    </w:rPr>
                  </w:pPr>
                  <w:r>
                    <w:rPr>
                      <w:rFonts w:ascii="Times New Roman"/>
                      <w:color w:val="auto"/>
                      <w:sz w:val="18"/>
                      <w:szCs w:val="18"/>
                      <w:highlight w:val="none"/>
                    </w:rPr>
                    <w:t>集气罩面积m</w:t>
                  </w:r>
                  <w:r>
                    <w:rPr>
                      <w:rFonts w:ascii="Times New Roman"/>
                      <w:color w:val="auto"/>
                      <w:sz w:val="18"/>
                      <w:szCs w:val="18"/>
                      <w:highlight w:val="none"/>
                      <w:vertAlign w:val="superscript"/>
                    </w:rPr>
                    <w:t>2</w:t>
                  </w:r>
                </w:p>
              </w:tc>
              <w:tc>
                <w:tcPr>
                  <w:tcW w:w="365" w:type="pct"/>
                  <w:noWrap w:val="0"/>
                  <w:vAlign w:val="center"/>
                </w:tcPr>
                <w:p w14:paraId="53438FFE">
                  <w:pPr>
                    <w:pStyle w:val="200"/>
                    <w:spacing w:before="24" w:after="24"/>
                    <w:rPr>
                      <w:rFonts w:ascii="Times New Roman"/>
                      <w:color w:val="auto"/>
                      <w:sz w:val="18"/>
                      <w:szCs w:val="18"/>
                      <w:highlight w:val="none"/>
                    </w:rPr>
                  </w:pPr>
                  <w:r>
                    <w:rPr>
                      <w:rFonts w:ascii="Times New Roman"/>
                      <w:color w:val="auto"/>
                      <w:sz w:val="18"/>
                      <w:szCs w:val="18"/>
                      <w:highlight w:val="none"/>
                    </w:rPr>
                    <w:t>风速</w:t>
                  </w:r>
                </w:p>
                <w:p w14:paraId="40F426D4">
                  <w:pPr>
                    <w:jc w:val="center"/>
                    <w:rPr>
                      <w:color w:val="auto"/>
                      <w:sz w:val="18"/>
                      <w:szCs w:val="18"/>
                      <w:highlight w:val="none"/>
                    </w:rPr>
                  </w:pPr>
                  <w:r>
                    <w:rPr>
                      <w:color w:val="auto"/>
                      <w:sz w:val="18"/>
                      <w:szCs w:val="18"/>
                      <w:highlight w:val="none"/>
                    </w:rPr>
                    <w:t>m/s</w:t>
                  </w:r>
                </w:p>
              </w:tc>
              <w:tc>
                <w:tcPr>
                  <w:tcW w:w="440" w:type="pct"/>
                  <w:noWrap w:val="0"/>
                  <w:vAlign w:val="center"/>
                </w:tcPr>
                <w:p w14:paraId="48B96840">
                  <w:pPr>
                    <w:pStyle w:val="200"/>
                    <w:spacing w:before="24" w:after="24"/>
                    <w:rPr>
                      <w:rFonts w:ascii="Times New Roman"/>
                      <w:color w:val="auto"/>
                      <w:sz w:val="18"/>
                      <w:szCs w:val="18"/>
                      <w:highlight w:val="none"/>
                    </w:rPr>
                  </w:pPr>
                  <w:r>
                    <w:rPr>
                      <w:rFonts w:ascii="Times New Roman"/>
                      <w:color w:val="auto"/>
                      <w:sz w:val="18"/>
                      <w:szCs w:val="18"/>
                      <w:highlight w:val="none"/>
                    </w:rPr>
                    <w:t>单集气罩风量m</w:t>
                  </w:r>
                  <w:r>
                    <w:rPr>
                      <w:rFonts w:ascii="Times New Roman"/>
                      <w:color w:val="auto"/>
                      <w:sz w:val="18"/>
                      <w:szCs w:val="18"/>
                      <w:highlight w:val="none"/>
                      <w:vertAlign w:val="superscript"/>
                    </w:rPr>
                    <w:t>3</w:t>
                  </w:r>
                  <w:r>
                    <w:rPr>
                      <w:rFonts w:ascii="Times New Roman"/>
                      <w:color w:val="auto"/>
                      <w:sz w:val="18"/>
                      <w:szCs w:val="18"/>
                      <w:highlight w:val="none"/>
                    </w:rPr>
                    <w:t>/h</w:t>
                  </w:r>
                </w:p>
              </w:tc>
              <w:tc>
                <w:tcPr>
                  <w:tcW w:w="285" w:type="pct"/>
                  <w:noWrap w:val="0"/>
                  <w:vAlign w:val="center"/>
                </w:tcPr>
                <w:p w14:paraId="7F59B1FE">
                  <w:pPr>
                    <w:pStyle w:val="200"/>
                    <w:spacing w:before="24" w:after="24"/>
                    <w:rPr>
                      <w:rFonts w:ascii="Times New Roman"/>
                      <w:color w:val="auto"/>
                      <w:sz w:val="18"/>
                      <w:szCs w:val="18"/>
                      <w:highlight w:val="none"/>
                    </w:rPr>
                  </w:pPr>
                  <w:r>
                    <w:rPr>
                      <w:rFonts w:ascii="Times New Roman"/>
                      <w:color w:val="auto"/>
                      <w:sz w:val="18"/>
                      <w:szCs w:val="18"/>
                      <w:highlight w:val="none"/>
                    </w:rPr>
                    <w:t>数量</w:t>
                  </w:r>
                </w:p>
                <w:p w14:paraId="41EA2871">
                  <w:pPr>
                    <w:jc w:val="center"/>
                    <w:rPr>
                      <w:color w:val="auto"/>
                      <w:sz w:val="18"/>
                      <w:szCs w:val="18"/>
                      <w:highlight w:val="none"/>
                    </w:rPr>
                  </w:pPr>
                  <w:r>
                    <w:rPr>
                      <w:color w:val="auto"/>
                      <w:sz w:val="18"/>
                      <w:szCs w:val="18"/>
                      <w:highlight w:val="none"/>
                    </w:rPr>
                    <w:t>台</w:t>
                  </w:r>
                </w:p>
              </w:tc>
              <w:tc>
                <w:tcPr>
                  <w:tcW w:w="522" w:type="pct"/>
                  <w:noWrap w:val="0"/>
                  <w:vAlign w:val="center"/>
                </w:tcPr>
                <w:p w14:paraId="1E8CFDE3">
                  <w:pPr>
                    <w:pStyle w:val="200"/>
                    <w:spacing w:before="24" w:after="24"/>
                    <w:rPr>
                      <w:rFonts w:ascii="Times New Roman"/>
                      <w:color w:val="auto"/>
                      <w:sz w:val="18"/>
                      <w:szCs w:val="18"/>
                      <w:highlight w:val="none"/>
                    </w:rPr>
                  </w:pPr>
                  <w:r>
                    <w:rPr>
                      <w:rFonts w:ascii="Times New Roman"/>
                      <w:color w:val="auto"/>
                      <w:sz w:val="18"/>
                      <w:szCs w:val="18"/>
                      <w:highlight w:val="none"/>
                    </w:rPr>
                    <w:t>总风量</w:t>
                  </w:r>
                </w:p>
                <w:p w14:paraId="63504A54">
                  <w:pPr>
                    <w:jc w:val="center"/>
                    <w:rPr>
                      <w:color w:val="auto"/>
                      <w:sz w:val="18"/>
                      <w:szCs w:val="18"/>
                      <w:highlight w:val="none"/>
                    </w:rPr>
                  </w:pPr>
                  <w:r>
                    <w:rPr>
                      <w:color w:val="auto"/>
                      <w:sz w:val="18"/>
                      <w:szCs w:val="18"/>
                      <w:highlight w:val="none"/>
                    </w:rPr>
                    <w:t>m</w:t>
                  </w:r>
                  <w:r>
                    <w:rPr>
                      <w:color w:val="auto"/>
                      <w:sz w:val="18"/>
                      <w:szCs w:val="18"/>
                      <w:highlight w:val="none"/>
                      <w:vertAlign w:val="superscript"/>
                    </w:rPr>
                    <w:t>3</w:t>
                  </w:r>
                  <w:r>
                    <w:rPr>
                      <w:color w:val="auto"/>
                      <w:sz w:val="18"/>
                      <w:szCs w:val="18"/>
                      <w:highlight w:val="none"/>
                    </w:rPr>
                    <w:t>/h</w:t>
                  </w:r>
                </w:p>
              </w:tc>
              <w:tc>
                <w:tcPr>
                  <w:tcW w:w="523" w:type="pct"/>
                  <w:noWrap w:val="0"/>
                  <w:vAlign w:val="center"/>
                </w:tcPr>
                <w:p w14:paraId="31E4E5EB">
                  <w:pPr>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布袋除尘器配套风机</w:t>
                  </w:r>
                </w:p>
              </w:tc>
            </w:tr>
            <w:tr w14:paraId="29E63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96" w:type="pct"/>
                  <w:noWrap w:val="0"/>
                  <w:vAlign w:val="center"/>
                </w:tcPr>
                <w:p w14:paraId="00532CA2">
                  <w:pPr>
                    <w:pStyle w:val="200"/>
                    <w:spacing w:before="24" w:after="24"/>
                    <w:rPr>
                      <w:rFonts w:hint="eastAsia" w:ascii="Times New Roman" w:eastAsia="宋体"/>
                      <w:color w:val="auto"/>
                      <w:sz w:val="18"/>
                      <w:szCs w:val="18"/>
                      <w:highlight w:val="none"/>
                      <w:lang w:val="en-US" w:eastAsia="zh-CN"/>
                    </w:rPr>
                  </w:pPr>
                  <w:r>
                    <w:rPr>
                      <w:rFonts w:hint="eastAsia" w:ascii="Times New Roman"/>
                      <w:color w:val="auto"/>
                      <w:sz w:val="18"/>
                      <w:szCs w:val="18"/>
                      <w:highlight w:val="none"/>
                      <w:lang w:val="en-US" w:eastAsia="zh-CN"/>
                    </w:rPr>
                    <w:t>1</w:t>
                  </w:r>
                </w:p>
              </w:tc>
              <w:tc>
                <w:tcPr>
                  <w:tcW w:w="599" w:type="pct"/>
                  <w:shd w:val="clear" w:color="auto" w:fill="auto"/>
                  <w:noWrap w:val="0"/>
                  <w:vAlign w:val="center"/>
                </w:tcPr>
                <w:p w14:paraId="324635D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振动筛</w:t>
                  </w:r>
                </w:p>
              </w:tc>
              <w:tc>
                <w:tcPr>
                  <w:tcW w:w="587" w:type="pct"/>
                  <w:noWrap w:val="0"/>
                  <w:vAlign w:val="center"/>
                </w:tcPr>
                <w:p w14:paraId="3F657EF7">
                  <w:pPr>
                    <w:pStyle w:val="200"/>
                    <w:spacing w:before="24" w:after="24"/>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ascii="Times New Roman" w:cs="Times New Roman"/>
                      <w:color w:val="auto"/>
                      <w:sz w:val="18"/>
                      <w:szCs w:val="18"/>
                      <w:highlight w:val="none"/>
                      <w:lang w:val="en-US" w:eastAsia="zh-CN"/>
                    </w:rPr>
                    <w:t>2</w:t>
                  </w:r>
                </w:p>
              </w:tc>
              <w:tc>
                <w:tcPr>
                  <w:tcW w:w="515" w:type="pct"/>
                  <w:noWrap w:val="0"/>
                  <w:vAlign w:val="center"/>
                </w:tcPr>
                <w:p w14:paraId="587F46DC">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0.5</w:t>
                  </w:r>
                  <w:r>
                    <w:rPr>
                      <w:rFonts w:hint="eastAsia" w:ascii="Times New Roman" w:hAnsi="Times New Roman" w:eastAsia="宋体" w:cs="Times New Roman"/>
                      <w:color w:val="auto"/>
                      <w:sz w:val="18"/>
                      <w:szCs w:val="18"/>
                      <w:highlight w:val="none"/>
                      <w:lang w:val="en-US" w:eastAsia="zh-CN"/>
                    </w:rPr>
                    <w:t>×1</w:t>
                  </w:r>
                </w:p>
              </w:tc>
              <w:tc>
                <w:tcPr>
                  <w:tcW w:w="364" w:type="pct"/>
                  <w:noWrap w:val="0"/>
                  <w:vAlign w:val="center"/>
                </w:tcPr>
                <w:p w14:paraId="1A202489">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0.5</w:t>
                  </w:r>
                </w:p>
              </w:tc>
              <w:tc>
                <w:tcPr>
                  <w:tcW w:w="365" w:type="pct"/>
                  <w:noWrap w:val="0"/>
                  <w:vAlign w:val="center"/>
                </w:tcPr>
                <w:p w14:paraId="4F132D9C">
                  <w:pPr>
                    <w:pStyle w:val="200"/>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ascii="Times New Roman" w:cs="Times New Roman"/>
                      <w:color w:val="auto"/>
                      <w:sz w:val="18"/>
                      <w:szCs w:val="18"/>
                      <w:highlight w:val="none"/>
                      <w:lang w:val="en-US" w:eastAsia="zh-CN"/>
                    </w:rPr>
                    <w:t>3</w:t>
                  </w:r>
                </w:p>
              </w:tc>
              <w:tc>
                <w:tcPr>
                  <w:tcW w:w="440" w:type="pct"/>
                  <w:noWrap w:val="0"/>
                  <w:vAlign w:val="center"/>
                </w:tcPr>
                <w:p w14:paraId="658C179C">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729</w:t>
                  </w:r>
                </w:p>
              </w:tc>
              <w:tc>
                <w:tcPr>
                  <w:tcW w:w="285" w:type="pct"/>
                  <w:noWrap w:val="0"/>
                  <w:vAlign w:val="center"/>
                </w:tcPr>
                <w:p w14:paraId="187A9A5F">
                  <w:pPr>
                    <w:pStyle w:val="200"/>
                    <w:spacing w:before="24" w:after="24"/>
                    <w:rPr>
                      <w:rFonts w:hint="eastAsia"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w:t>
                  </w:r>
                </w:p>
              </w:tc>
              <w:tc>
                <w:tcPr>
                  <w:tcW w:w="522" w:type="pct"/>
                  <w:noWrap w:val="0"/>
                  <w:vAlign w:val="center"/>
                </w:tcPr>
                <w:p w14:paraId="64A426BB">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2187</w:t>
                  </w:r>
                </w:p>
              </w:tc>
              <w:tc>
                <w:tcPr>
                  <w:tcW w:w="523" w:type="pct"/>
                  <w:vMerge w:val="restart"/>
                  <w:noWrap w:val="0"/>
                  <w:vAlign w:val="center"/>
                </w:tcPr>
                <w:p w14:paraId="59650438">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5872.5</w:t>
                  </w:r>
                </w:p>
              </w:tc>
            </w:tr>
            <w:tr w14:paraId="4E8F8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96" w:type="pct"/>
                  <w:noWrap w:val="0"/>
                  <w:vAlign w:val="center"/>
                </w:tcPr>
                <w:p w14:paraId="3D1B362A">
                  <w:pPr>
                    <w:spacing w:before="24" w:after="24"/>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2</w:t>
                  </w:r>
                </w:p>
              </w:tc>
              <w:tc>
                <w:tcPr>
                  <w:tcW w:w="599" w:type="pct"/>
                  <w:shd w:val="clear" w:color="auto" w:fill="auto"/>
                  <w:noWrap w:val="0"/>
                  <w:vAlign w:val="center"/>
                </w:tcPr>
                <w:p w14:paraId="6BB4454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螺旋上料机</w:t>
                  </w:r>
                </w:p>
              </w:tc>
              <w:tc>
                <w:tcPr>
                  <w:tcW w:w="587" w:type="pct"/>
                  <w:noWrap w:val="0"/>
                  <w:vAlign w:val="center"/>
                </w:tcPr>
                <w:p w14:paraId="7FCE9D1E">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ascii="Times New Roman" w:cs="Times New Roman"/>
                      <w:color w:val="auto"/>
                      <w:sz w:val="18"/>
                      <w:szCs w:val="18"/>
                      <w:highlight w:val="none"/>
                      <w:lang w:val="en-US" w:eastAsia="zh-CN"/>
                    </w:rPr>
                    <w:t>2</w:t>
                  </w:r>
                </w:p>
              </w:tc>
              <w:tc>
                <w:tcPr>
                  <w:tcW w:w="515" w:type="pct"/>
                  <w:noWrap w:val="0"/>
                  <w:vAlign w:val="center"/>
                </w:tcPr>
                <w:p w14:paraId="4DD21F49">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0.5</w:t>
                  </w:r>
                  <w:r>
                    <w:rPr>
                      <w:rFonts w:hint="eastAsia" w:ascii="Times New Roman" w:hAnsi="Times New Roman" w:eastAsia="宋体" w:cs="Times New Roman"/>
                      <w:color w:val="auto"/>
                      <w:sz w:val="18"/>
                      <w:szCs w:val="18"/>
                      <w:highlight w:val="none"/>
                      <w:lang w:val="en-US" w:eastAsia="zh-CN"/>
                    </w:rPr>
                    <w:t>×0.5</w:t>
                  </w:r>
                </w:p>
              </w:tc>
              <w:tc>
                <w:tcPr>
                  <w:tcW w:w="364" w:type="pct"/>
                  <w:noWrap w:val="0"/>
                  <w:vAlign w:val="center"/>
                </w:tcPr>
                <w:p w14:paraId="4ADDF07F">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0.25</w:t>
                  </w:r>
                </w:p>
              </w:tc>
              <w:tc>
                <w:tcPr>
                  <w:tcW w:w="365" w:type="pct"/>
                  <w:noWrap w:val="0"/>
                  <w:vAlign w:val="center"/>
                </w:tcPr>
                <w:p w14:paraId="71E5F1A5">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ascii="Times New Roman" w:cs="Times New Roman"/>
                      <w:color w:val="auto"/>
                      <w:sz w:val="18"/>
                      <w:szCs w:val="18"/>
                      <w:highlight w:val="none"/>
                      <w:lang w:val="en-US" w:eastAsia="zh-CN"/>
                    </w:rPr>
                    <w:t>3</w:t>
                  </w:r>
                </w:p>
              </w:tc>
              <w:tc>
                <w:tcPr>
                  <w:tcW w:w="440" w:type="pct"/>
                  <w:noWrap w:val="0"/>
                  <w:vAlign w:val="center"/>
                </w:tcPr>
                <w:p w14:paraId="07B9458B">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526.5</w:t>
                  </w:r>
                </w:p>
              </w:tc>
              <w:tc>
                <w:tcPr>
                  <w:tcW w:w="285" w:type="pct"/>
                  <w:noWrap w:val="0"/>
                  <w:vAlign w:val="center"/>
                </w:tcPr>
                <w:p w14:paraId="02BAE50B">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3</w:t>
                  </w:r>
                </w:p>
              </w:tc>
              <w:tc>
                <w:tcPr>
                  <w:tcW w:w="522" w:type="pct"/>
                  <w:noWrap w:val="0"/>
                  <w:vAlign w:val="center"/>
                </w:tcPr>
                <w:p w14:paraId="018975D4">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1579.5</w:t>
                  </w:r>
                </w:p>
              </w:tc>
              <w:tc>
                <w:tcPr>
                  <w:tcW w:w="523" w:type="pct"/>
                  <w:vMerge w:val="continue"/>
                  <w:noWrap w:val="0"/>
                  <w:vAlign w:val="center"/>
                </w:tcPr>
                <w:p w14:paraId="497F6015">
                  <w:pPr>
                    <w:pStyle w:val="200"/>
                    <w:spacing w:before="24" w:after="24"/>
                    <w:rPr>
                      <w:rFonts w:hint="eastAsia" w:ascii="Times New Roman" w:hAnsi="Times New Roman" w:eastAsia="宋体" w:cs="Times New Roman"/>
                      <w:color w:val="auto"/>
                      <w:sz w:val="18"/>
                      <w:szCs w:val="18"/>
                      <w:highlight w:val="none"/>
                      <w:lang w:val="en-US" w:eastAsia="zh-CN"/>
                    </w:rPr>
                  </w:pPr>
                </w:p>
              </w:tc>
            </w:tr>
            <w:tr w14:paraId="136C7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96" w:type="pct"/>
                  <w:noWrap w:val="0"/>
                  <w:vAlign w:val="center"/>
                </w:tcPr>
                <w:p w14:paraId="601ECBCD">
                  <w:pPr>
                    <w:spacing w:before="24" w:after="24"/>
                    <w:jc w:val="center"/>
                    <w:rPr>
                      <w:rFonts w:hint="default"/>
                      <w:color w:val="auto"/>
                      <w:sz w:val="18"/>
                      <w:szCs w:val="18"/>
                      <w:highlight w:val="none"/>
                      <w:lang w:val="en-US" w:eastAsia="zh-CN"/>
                    </w:rPr>
                  </w:pPr>
                  <w:r>
                    <w:rPr>
                      <w:rFonts w:hint="eastAsia"/>
                      <w:color w:val="auto"/>
                      <w:sz w:val="18"/>
                      <w:szCs w:val="18"/>
                      <w:highlight w:val="none"/>
                      <w:lang w:val="en-US" w:eastAsia="zh-CN"/>
                    </w:rPr>
                    <w:t>3</w:t>
                  </w:r>
                </w:p>
              </w:tc>
              <w:tc>
                <w:tcPr>
                  <w:tcW w:w="599" w:type="pct"/>
                  <w:shd w:val="clear" w:color="auto" w:fill="auto"/>
                  <w:noWrap w:val="0"/>
                  <w:vAlign w:val="center"/>
                </w:tcPr>
                <w:p w14:paraId="3745727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行星混料机</w:t>
                  </w:r>
                </w:p>
              </w:tc>
              <w:tc>
                <w:tcPr>
                  <w:tcW w:w="587" w:type="pct"/>
                  <w:noWrap w:val="0"/>
                  <w:vAlign w:val="center"/>
                </w:tcPr>
                <w:p w14:paraId="2ED33E18">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ascii="Times New Roman" w:cs="Times New Roman"/>
                      <w:color w:val="auto"/>
                      <w:sz w:val="18"/>
                      <w:szCs w:val="18"/>
                      <w:highlight w:val="none"/>
                      <w:lang w:val="en-US" w:eastAsia="zh-CN"/>
                    </w:rPr>
                    <w:t>2</w:t>
                  </w:r>
                </w:p>
              </w:tc>
              <w:tc>
                <w:tcPr>
                  <w:tcW w:w="515" w:type="pct"/>
                  <w:noWrap w:val="0"/>
                  <w:vAlign w:val="center"/>
                </w:tcPr>
                <w:p w14:paraId="11F3AF9E">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0.5</w:t>
                  </w:r>
                  <w:r>
                    <w:rPr>
                      <w:rFonts w:hint="eastAsia" w:ascii="Times New Roman" w:hAnsi="Times New Roman" w:eastAsia="宋体" w:cs="Times New Roman"/>
                      <w:color w:val="auto"/>
                      <w:sz w:val="18"/>
                      <w:szCs w:val="18"/>
                      <w:highlight w:val="none"/>
                      <w:lang w:val="en-US" w:eastAsia="zh-CN"/>
                    </w:rPr>
                    <w:t>×0.5</w:t>
                  </w:r>
                </w:p>
              </w:tc>
              <w:tc>
                <w:tcPr>
                  <w:tcW w:w="364" w:type="pct"/>
                  <w:noWrap w:val="0"/>
                  <w:vAlign w:val="center"/>
                </w:tcPr>
                <w:p w14:paraId="5BA920A7">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0.25</w:t>
                  </w:r>
                </w:p>
              </w:tc>
              <w:tc>
                <w:tcPr>
                  <w:tcW w:w="365" w:type="pct"/>
                  <w:noWrap w:val="0"/>
                  <w:vAlign w:val="center"/>
                </w:tcPr>
                <w:p w14:paraId="364D5CB4">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ascii="Times New Roman" w:cs="Times New Roman"/>
                      <w:color w:val="auto"/>
                      <w:sz w:val="18"/>
                      <w:szCs w:val="18"/>
                      <w:highlight w:val="none"/>
                      <w:lang w:val="en-US" w:eastAsia="zh-CN"/>
                    </w:rPr>
                    <w:t>3</w:t>
                  </w:r>
                </w:p>
              </w:tc>
              <w:tc>
                <w:tcPr>
                  <w:tcW w:w="440" w:type="pct"/>
                  <w:noWrap w:val="0"/>
                  <w:vAlign w:val="center"/>
                </w:tcPr>
                <w:p w14:paraId="5E531406">
                  <w:pPr>
                    <w:pStyle w:val="200"/>
                    <w:spacing w:before="24" w:after="24"/>
                    <w:rPr>
                      <w:rFonts w:hint="eastAsia"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526.5</w:t>
                  </w:r>
                </w:p>
              </w:tc>
              <w:tc>
                <w:tcPr>
                  <w:tcW w:w="285" w:type="pct"/>
                  <w:noWrap w:val="0"/>
                  <w:vAlign w:val="center"/>
                </w:tcPr>
                <w:p w14:paraId="2D4AA69E">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w:t>
                  </w:r>
                </w:p>
              </w:tc>
              <w:tc>
                <w:tcPr>
                  <w:tcW w:w="522" w:type="pct"/>
                  <w:noWrap w:val="0"/>
                  <w:vAlign w:val="center"/>
                </w:tcPr>
                <w:p w14:paraId="61DCB567">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1053</w:t>
                  </w:r>
                </w:p>
              </w:tc>
              <w:tc>
                <w:tcPr>
                  <w:tcW w:w="523" w:type="pct"/>
                  <w:vMerge w:val="continue"/>
                  <w:noWrap w:val="0"/>
                  <w:vAlign w:val="center"/>
                </w:tcPr>
                <w:p w14:paraId="55DD067E">
                  <w:pPr>
                    <w:pStyle w:val="200"/>
                    <w:spacing w:before="24" w:after="24"/>
                    <w:rPr>
                      <w:rFonts w:hint="eastAsia" w:ascii="Times New Roman" w:hAnsi="Times New Roman" w:eastAsia="宋体" w:cs="Times New Roman"/>
                      <w:color w:val="auto"/>
                      <w:sz w:val="18"/>
                      <w:szCs w:val="18"/>
                      <w:highlight w:val="none"/>
                      <w:lang w:val="en-US" w:eastAsia="zh-CN"/>
                    </w:rPr>
                  </w:pPr>
                </w:p>
              </w:tc>
            </w:tr>
            <w:tr w14:paraId="5A7A3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96" w:type="pct"/>
                  <w:noWrap w:val="0"/>
                  <w:vAlign w:val="center"/>
                </w:tcPr>
                <w:p w14:paraId="1B38687B">
                  <w:pPr>
                    <w:spacing w:before="24" w:after="24"/>
                    <w:jc w:val="center"/>
                    <w:rPr>
                      <w:rFonts w:hint="default"/>
                      <w:color w:val="auto"/>
                      <w:sz w:val="18"/>
                      <w:szCs w:val="18"/>
                      <w:highlight w:val="none"/>
                      <w:lang w:val="en-US" w:eastAsia="zh-CN"/>
                    </w:rPr>
                  </w:pPr>
                  <w:r>
                    <w:rPr>
                      <w:rFonts w:hint="eastAsia"/>
                      <w:color w:val="auto"/>
                      <w:sz w:val="18"/>
                      <w:szCs w:val="18"/>
                      <w:highlight w:val="none"/>
                      <w:lang w:val="en-US" w:eastAsia="zh-CN"/>
                    </w:rPr>
                    <w:t>4</w:t>
                  </w:r>
                </w:p>
              </w:tc>
              <w:tc>
                <w:tcPr>
                  <w:tcW w:w="599" w:type="pct"/>
                  <w:shd w:val="clear" w:color="auto" w:fill="auto"/>
                  <w:noWrap w:val="0"/>
                  <w:vAlign w:val="center"/>
                </w:tcPr>
                <w:p w14:paraId="513F0B8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装粉机</w:t>
                  </w:r>
                </w:p>
              </w:tc>
              <w:tc>
                <w:tcPr>
                  <w:tcW w:w="587" w:type="pct"/>
                  <w:noWrap w:val="0"/>
                  <w:vAlign w:val="center"/>
                </w:tcPr>
                <w:p w14:paraId="24454933">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ascii="Times New Roman" w:cs="Times New Roman"/>
                      <w:color w:val="auto"/>
                      <w:sz w:val="18"/>
                      <w:szCs w:val="18"/>
                      <w:highlight w:val="none"/>
                      <w:lang w:val="en-US" w:eastAsia="zh-CN"/>
                    </w:rPr>
                    <w:t>2</w:t>
                  </w:r>
                </w:p>
              </w:tc>
              <w:tc>
                <w:tcPr>
                  <w:tcW w:w="515" w:type="pct"/>
                  <w:noWrap w:val="0"/>
                  <w:vAlign w:val="center"/>
                </w:tcPr>
                <w:p w14:paraId="312680FB">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0.5</w:t>
                  </w:r>
                  <w:r>
                    <w:rPr>
                      <w:rFonts w:hint="eastAsia" w:ascii="Times New Roman" w:hAnsi="Times New Roman" w:eastAsia="宋体" w:cs="Times New Roman"/>
                      <w:color w:val="auto"/>
                      <w:sz w:val="18"/>
                      <w:szCs w:val="18"/>
                      <w:highlight w:val="none"/>
                      <w:lang w:val="en-US" w:eastAsia="zh-CN"/>
                    </w:rPr>
                    <w:t>×0.5</w:t>
                  </w:r>
                </w:p>
              </w:tc>
              <w:tc>
                <w:tcPr>
                  <w:tcW w:w="364" w:type="pct"/>
                  <w:noWrap w:val="0"/>
                  <w:vAlign w:val="center"/>
                </w:tcPr>
                <w:p w14:paraId="1EB4BE82">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0.25</w:t>
                  </w:r>
                </w:p>
              </w:tc>
              <w:tc>
                <w:tcPr>
                  <w:tcW w:w="365" w:type="pct"/>
                  <w:noWrap w:val="0"/>
                  <w:vAlign w:val="center"/>
                </w:tcPr>
                <w:p w14:paraId="42372816">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ascii="Times New Roman" w:cs="Times New Roman"/>
                      <w:color w:val="auto"/>
                      <w:sz w:val="18"/>
                      <w:szCs w:val="18"/>
                      <w:highlight w:val="none"/>
                      <w:lang w:val="en-US" w:eastAsia="zh-CN"/>
                    </w:rPr>
                    <w:t>3</w:t>
                  </w:r>
                </w:p>
              </w:tc>
              <w:tc>
                <w:tcPr>
                  <w:tcW w:w="440" w:type="pct"/>
                  <w:noWrap w:val="0"/>
                  <w:vAlign w:val="center"/>
                </w:tcPr>
                <w:p w14:paraId="42B19061">
                  <w:pPr>
                    <w:pStyle w:val="200"/>
                    <w:spacing w:before="24" w:after="24"/>
                    <w:rPr>
                      <w:rFonts w:hint="eastAsia"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526.5</w:t>
                  </w:r>
                </w:p>
              </w:tc>
              <w:tc>
                <w:tcPr>
                  <w:tcW w:w="285" w:type="pct"/>
                  <w:noWrap w:val="0"/>
                  <w:vAlign w:val="center"/>
                </w:tcPr>
                <w:p w14:paraId="58B42C49">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w:t>
                  </w:r>
                </w:p>
              </w:tc>
              <w:tc>
                <w:tcPr>
                  <w:tcW w:w="522" w:type="pct"/>
                  <w:shd w:val="clear" w:color="auto" w:fill="auto"/>
                  <w:noWrap w:val="0"/>
                  <w:vAlign w:val="center"/>
                </w:tcPr>
                <w:p w14:paraId="33236CDC">
                  <w:pPr>
                    <w:pStyle w:val="200"/>
                    <w:spacing w:before="24" w:after="24"/>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cs="Times New Roman"/>
                      <w:color w:val="auto"/>
                      <w:sz w:val="18"/>
                      <w:szCs w:val="18"/>
                      <w:highlight w:val="none"/>
                      <w:lang w:val="en-US" w:eastAsia="zh-CN"/>
                    </w:rPr>
                    <w:t>526.5</w:t>
                  </w:r>
                </w:p>
              </w:tc>
              <w:tc>
                <w:tcPr>
                  <w:tcW w:w="523" w:type="pct"/>
                  <w:vMerge w:val="continue"/>
                  <w:noWrap w:val="0"/>
                  <w:vAlign w:val="center"/>
                </w:tcPr>
                <w:p w14:paraId="60D053C5">
                  <w:pPr>
                    <w:pStyle w:val="200"/>
                    <w:spacing w:before="24" w:after="24"/>
                    <w:rPr>
                      <w:rFonts w:hint="eastAsia" w:ascii="Times New Roman" w:hAnsi="Times New Roman" w:eastAsia="宋体" w:cs="Times New Roman"/>
                      <w:color w:val="auto"/>
                      <w:sz w:val="18"/>
                      <w:szCs w:val="18"/>
                      <w:highlight w:val="none"/>
                      <w:lang w:val="en-US" w:eastAsia="zh-CN"/>
                    </w:rPr>
                  </w:pPr>
                </w:p>
              </w:tc>
            </w:tr>
            <w:tr w14:paraId="27E71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96" w:type="pct"/>
                  <w:noWrap w:val="0"/>
                  <w:vAlign w:val="center"/>
                </w:tcPr>
                <w:p w14:paraId="7C6BEFF6">
                  <w:pPr>
                    <w:spacing w:before="24" w:after="24"/>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5</w:t>
                  </w:r>
                </w:p>
              </w:tc>
              <w:tc>
                <w:tcPr>
                  <w:tcW w:w="599" w:type="pct"/>
                  <w:shd w:val="clear" w:color="auto" w:fill="auto"/>
                  <w:noWrap w:val="0"/>
                  <w:vAlign w:val="center"/>
                </w:tcPr>
                <w:p w14:paraId="09B784D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窑炉进料口</w:t>
                  </w:r>
                </w:p>
              </w:tc>
              <w:tc>
                <w:tcPr>
                  <w:tcW w:w="587" w:type="pct"/>
                  <w:noWrap w:val="0"/>
                  <w:vAlign w:val="center"/>
                </w:tcPr>
                <w:p w14:paraId="348E8BA6">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ascii="Times New Roman" w:cs="Times New Roman"/>
                      <w:color w:val="auto"/>
                      <w:sz w:val="18"/>
                      <w:szCs w:val="18"/>
                      <w:highlight w:val="none"/>
                      <w:lang w:val="en-US" w:eastAsia="zh-CN"/>
                    </w:rPr>
                    <w:t>2</w:t>
                  </w:r>
                </w:p>
              </w:tc>
              <w:tc>
                <w:tcPr>
                  <w:tcW w:w="515" w:type="pct"/>
                  <w:noWrap w:val="0"/>
                  <w:vAlign w:val="center"/>
                </w:tcPr>
                <w:p w14:paraId="156E6D58">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0.5</w:t>
                  </w:r>
                  <w:r>
                    <w:rPr>
                      <w:rFonts w:hint="eastAsia" w:ascii="Times New Roman" w:hAnsi="Times New Roman" w:eastAsia="宋体" w:cs="Times New Roman"/>
                      <w:color w:val="auto"/>
                      <w:sz w:val="18"/>
                      <w:szCs w:val="18"/>
                      <w:highlight w:val="none"/>
                      <w:lang w:val="en-US" w:eastAsia="zh-CN"/>
                    </w:rPr>
                    <w:t>×0.5</w:t>
                  </w:r>
                </w:p>
              </w:tc>
              <w:tc>
                <w:tcPr>
                  <w:tcW w:w="364" w:type="pct"/>
                  <w:noWrap w:val="0"/>
                  <w:vAlign w:val="center"/>
                </w:tcPr>
                <w:p w14:paraId="2DB941FD">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0.25</w:t>
                  </w:r>
                </w:p>
              </w:tc>
              <w:tc>
                <w:tcPr>
                  <w:tcW w:w="365" w:type="pct"/>
                  <w:noWrap w:val="0"/>
                  <w:vAlign w:val="center"/>
                </w:tcPr>
                <w:p w14:paraId="09408BA5">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ascii="Times New Roman" w:cs="Times New Roman"/>
                      <w:color w:val="auto"/>
                      <w:sz w:val="18"/>
                      <w:szCs w:val="18"/>
                      <w:highlight w:val="none"/>
                      <w:lang w:val="en-US" w:eastAsia="zh-CN"/>
                    </w:rPr>
                    <w:t>3</w:t>
                  </w:r>
                </w:p>
              </w:tc>
              <w:tc>
                <w:tcPr>
                  <w:tcW w:w="440" w:type="pct"/>
                  <w:noWrap w:val="0"/>
                  <w:vAlign w:val="center"/>
                </w:tcPr>
                <w:p w14:paraId="0957055E">
                  <w:pPr>
                    <w:pStyle w:val="200"/>
                    <w:spacing w:before="24" w:after="24"/>
                    <w:rPr>
                      <w:rFonts w:hint="eastAsia"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526.5</w:t>
                  </w:r>
                </w:p>
              </w:tc>
              <w:tc>
                <w:tcPr>
                  <w:tcW w:w="285" w:type="pct"/>
                  <w:noWrap w:val="0"/>
                  <w:vAlign w:val="center"/>
                </w:tcPr>
                <w:p w14:paraId="7B6CFF77">
                  <w:pPr>
                    <w:pStyle w:val="200"/>
                    <w:spacing w:before="24" w:after="24"/>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w:t>
                  </w:r>
                </w:p>
              </w:tc>
              <w:tc>
                <w:tcPr>
                  <w:tcW w:w="522" w:type="pct"/>
                  <w:shd w:val="clear" w:color="auto" w:fill="auto"/>
                  <w:noWrap w:val="0"/>
                  <w:vAlign w:val="center"/>
                </w:tcPr>
                <w:p w14:paraId="68443962">
                  <w:pPr>
                    <w:pStyle w:val="200"/>
                    <w:spacing w:before="24" w:after="24"/>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cs="Times New Roman"/>
                      <w:color w:val="auto"/>
                      <w:sz w:val="18"/>
                      <w:szCs w:val="18"/>
                      <w:highlight w:val="none"/>
                      <w:lang w:val="en-US" w:eastAsia="zh-CN"/>
                    </w:rPr>
                    <w:t>526.5</w:t>
                  </w:r>
                </w:p>
              </w:tc>
              <w:tc>
                <w:tcPr>
                  <w:tcW w:w="523" w:type="pct"/>
                  <w:vMerge w:val="continue"/>
                  <w:noWrap w:val="0"/>
                  <w:vAlign w:val="center"/>
                </w:tcPr>
                <w:p w14:paraId="70C92739">
                  <w:pPr>
                    <w:pStyle w:val="200"/>
                    <w:spacing w:before="24" w:after="24"/>
                    <w:rPr>
                      <w:rFonts w:hint="eastAsia" w:ascii="Times New Roman" w:hAnsi="Times New Roman" w:eastAsia="宋体" w:cs="Times New Roman"/>
                      <w:color w:val="auto"/>
                      <w:sz w:val="18"/>
                      <w:szCs w:val="18"/>
                      <w:highlight w:val="none"/>
                      <w:lang w:val="en-US" w:eastAsia="zh-CN"/>
                    </w:rPr>
                  </w:pPr>
                </w:p>
              </w:tc>
            </w:tr>
          </w:tbl>
          <w:p w14:paraId="6C7A94DD">
            <w:pPr>
              <w:adjustRightInd w:val="0"/>
              <w:snapToGrid w:val="0"/>
              <w:spacing w:line="360" w:lineRule="auto"/>
              <w:ind w:firstLine="420" w:firstLineChars="200"/>
              <w:rPr>
                <w:rFonts w:hint="default"/>
                <w:color w:val="auto"/>
                <w:sz w:val="21"/>
                <w:szCs w:val="21"/>
                <w:highlight w:val="none"/>
                <w:lang w:val="en-US" w:eastAsia="zh-CN"/>
              </w:rPr>
            </w:pPr>
            <w:r>
              <w:rPr>
                <w:rFonts w:hint="eastAsia" w:cs="Times New Roman"/>
                <w:b w:val="0"/>
                <w:bCs w:val="0"/>
                <w:color w:val="auto"/>
                <w:sz w:val="21"/>
                <w:szCs w:val="21"/>
                <w:highlight w:val="none"/>
                <w:lang w:val="en-US" w:eastAsia="zh-CN"/>
              </w:rPr>
              <w:t>由上述计算可知，风机风量至少为5872.5</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/h</w:t>
            </w:r>
            <w:r>
              <w:rPr>
                <w:rFonts w:hint="eastAsia" w:ascii="Times New Roman" w:hAnsi="Times New Roman" w:cs="Times New Roman"/>
                <w:color w:val="auto"/>
                <w:sz w:val="21"/>
                <w:szCs w:val="21"/>
                <w:highlight w:val="none"/>
                <w:lang w:val="en-US" w:eastAsia="zh-CN"/>
              </w:rPr>
              <w:t>，</w:t>
            </w:r>
            <w:r>
              <w:rPr>
                <w:rFonts w:hint="eastAsia" w:cs="Times New Roman"/>
                <w:b w:val="0"/>
                <w:bCs w:val="0"/>
                <w:color w:val="auto"/>
                <w:sz w:val="21"/>
                <w:szCs w:val="21"/>
                <w:highlight w:val="none"/>
                <w:lang w:val="en-US" w:eastAsia="zh-CN"/>
              </w:rPr>
              <w:t>DA002排气筒</w:t>
            </w:r>
            <w:r>
              <w:rPr>
                <w:rFonts w:hint="default" w:ascii="Times New Roman" w:hAnsi="Times New Roman" w:cs="Times New Roman"/>
                <w:color w:val="auto"/>
                <w:sz w:val="21"/>
                <w:szCs w:val="21"/>
                <w:highlight w:val="none"/>
                <w:lang w:val="en-US" w:eastAsia="zh-CN"/>
              </w:rPr>
              <w:t>设置总风机风量为</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000m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/h，可满足风机风量要求</w:t>
            </w:r>
            <w:r>
              <w:rPr>
                <w:rFonts w:hint="eastAsia" w:ascii="Times New Roman" w:hAnsi="Times New Roman" w:cs="Times New Roman"/>
                <w:color w:val="auto"/>
                <w:sz w:val="21"/>
                <w:szCs w:val="21"/>
                <w:highlight w:val="none"/>
                <w:lang w:val="en-US" w:eastAsia="zh-CN"/>
              </w:rPr>
              <w:t>。</w:t>
            </w:r>
          </w:p>
          <w:p w14:paraId="1B25029D">
            <w:pPr>
              <w:pStyle w:val="2"/>
              <w:spacing w:after="0" w:line="360" w:lineRule="auto"/>
              <w:ind w:left="0" w:leftChars="0"/>
              <w:rPr>
                <w:rFonts w:hint="default" w:ascii="Times New Roman" w:hAnsi="Times New Roman" w:cs="Times New Roman"/>
                <w:color w:val="auto"/>
                <w:sz w:val="21"/>
                <w:szCs w:val="21"/>
                <w:highlight w:val="none"/>
              </w:rPr>
            </w:pPr>
            <w:r>
              <w:rPr>
                <w:rFonts w:hint="eastAsia" w:cs="Times New Roman"/>
                <w:snapToGrid w:val="0"/>
                <w:color w:val="auto"/>
                <w:kern w:val="0"/>
                <w:sz w:val="21"/>
                <w:szCs w:val="21"/>
                <w:highlight w:val="none"/>
                <w:lang w:val="en-US" w:eastAsia="zh-CN"/>
              </w:rPr>
              <w:t>2</w:t>
            </w:r>
            <w:r>
              <w:rPr>
                <w:rFonts w:hint="default" w:ascii="Times New Roman" w:hAnsi="Times New Roman" w:cs="Times New Roman"/>
                <w:snapToGrid w:val="0"/>
                <w:color w:val="auto"/>
                <w:kern w:val="0"/>
                <w:sz w:val="21"/>
                <w:szCs w:val="21"/>
                <w:highlight w:val="none"/>
              </w:rPr>
              <w:t>）</w:t>
            </w:r>
            <w:r>
              <w:rPr>
                <w:rFonts w:hint="default" w:ascii="Times New Roman" w:hAnsi="Times New Roman" w:cs="Times New Roman"/>
                <w:snapToGrid w:val="0"/>
                <w:color w:val="auto"/>
                <w:kern w:val="0"/>
                <w:sz w:val="21"/>
                <w:szCs w:val="21"/>
                <w:highlight w:val="none"/>
                <w:lang w:val="en-US" w:eastAsia="zh-CN"/>
              </w:rPr>
              <w:t>DA00</w:t>
            </w:r>
            <w:r>
              <w:rPr>
                <w:rFonts w:hint="eastAsia" w:cs="Times New Roman"/>
                <w:snapToGrid w:val="0"/>
                <w:color w:val="auto"/>
                <w:kern w:val="0"/>
                <w:sz w:val="21"/>
                <w:szCs w:val="21"/>
                <w:highlight w:val="none"/>
                <w:lang w:val="en-US" w:eastAsia="zh-CN"/>
              </w:rPr>
              <w:t>1</w:t>
            </w:r>
            <w:r>
              <w:rPr>
                <w:rFonts w:hint="default" w:ascii="Times New Roman" w:hAnsi="Times New Roman" w:cs="Times New Roman"/>
                <w:snapToGrid w:val="0"/>
                <w:color w:val="auto"/>
                <w:kern w:val="0"/>
                <w:sz w:val="21"/>
                <w:szCs w:val="21"/>
                <w:highlight w:val="none"/>
                <w:lang w:val="en-US" w:eastAsia="zh-CN"/>
              </w:rPr>
              <w:t>排气筒</w:t>
            </w:r>
            <w:r>
              <w:rPr>
                <w:rFonts w:hint="default" w:ascii="Times New Roman" w:hAnsi="Times New Roman" w:cs="Times New Roman"/>
                <w:color w:val="auto"/>
                <w:sz w:val="21"/>
                <w:szCs w:val="21"/>
                <w:highlight w:val="none"/>
              </w:rPr>
              <w:t>废气排放量核算：</w:t>
            </w:r>
          </w:p>
          <w:p w14:paraId="74293F89">
            <w:pPr>
              <w:pStyle w:val="2"/>
              <w:spacing w:after="0" w:line="360" w:lineRule="auto"/>
              <w:ind w:left="0" w:leftChars="0"/>
              <w:rPr>
                <w:snapToGrid w:val="0"/>
                <w:color w:val="auto"/>
                <w:kern w:val="0"/>
                <w:sz w:val="21"/>
                <w:szCs w:val="21"/>
                <w:highlight w:val="none"/>
              </w:rPr>
            </w:pPr>
            <w:r>
              <w:rPr>
                <w:rFonts w:hint="eastAsia"/>
                <w:sz w:val="21"/>
                <w:szCs w:val="21"/>
                <w:highlight w:val="none"/>
                <w:lang w:val="en-US" w:eastAsia="zh-CN"/>
              </w:rPr>
              <w:t>隧道窑</w:t>
            </w:r>
            <w:r>
              <w:rPr>
                <w:rFonts w:hint="eastAsia"/>
                <w:b w:val="0"/>
                <w:color w:val="auto"/>
                <w:sz w:val="21"/>
                <w:szCs w:val="21"/>
                <w:highlight w:val="none"/>
              </w:rPr>
              <w:t>采用集气孔属于</w:t>
            </w:r>
            <w:r>
              <w:rPr>
                <w:b w:val="0"/>
                <w:color w:val="auto"/>
                <w:sz w:val="21"/>
                <w:szCs w:val="21"/>
                <w:highlight w:val="none"/>
              </w:rPr>
              <w:t>内部密闭罩</w:t>
            </w:r>
            <w:r>
              <w:rPr>
                <w:rFonts w:hint="eastAsia"/>
                <w:b w:val="0"/>
                <w:color w:val="auto"/>
                <w:sz w:val="21"/>
                <w:szCs w:val="21"/>
                <w:highlight w:val="none"/>
              </w:rPr>
              <w:t>，</w:t>
            </w:r>
            <w:r>
              <w:rPr>
                <w:color w:val="auto"/>
                <w:sz w:val="21"/>
                <w:szCs w:val="21"/>
                <w:highlight w:val="none"/>
              </w:rPr>
              <w:t>根据《环境工程设计手册》（主编：魏先勋）中</w:t>
            </w:r>
            <w:r>
              <w:rPr>
                <w:rFonts w:hint="eastAsia"/>
                <w:color w:val="auto"/>
                <w:sz w:val="21"/>
                <w:szCs w:val="21"/>
                <w:highlight w:val="none"/>
              </w:rPr>
              <w:t>内部密闭罩排风量</w:t>
            </w:r>
            <w:r>
              <w:rPr>
                <w:color w:val="auto"/>
                <w:sz w:val="21"/>
                <w:szCs w:val="21"/>
                <w:highlight w:val="none"/>
              </w:rPr>
              <w:t>计算公式如下。</w:t>
            </w:r>
          </w:p>
          <w:p w14:paraId="468C3415">
            <w:pPr>
              <w:pStyle w:val="1389"/>
              <w:ind w:firstLine="420"/>
              <w:jc w:val="center"/>
              <w:rPr>
                <w:color w:val="auto"/>
                <w:highlight w:val="none"/>
              </w:rPr>
            </w:pPr>
            <w:r>
              <w:rPr>
                <w:color w:val="auto"/>
                <w:highlight w:val="none"/>
              </w:rPr>
              <w:t>L=</w:t>
            </w:r>
            <w:r>
              <w:rPr>
                <w:rFonts w:hint="eastAsia"/>
                <w:color w:val="auto"/>
                <w:highlight w:val="none"/>
              </w:rPr>
              <w:t>L</w:t>
            </w:r>
            <w:r>
              <w:rPr>
                <w:rFonts w:hint="eastAsia"/>
                <w:color w:val="auto"/>
                <w:highlight w:val="none"/>
                <w:vertAlign w:val="subscript"/>
              </w:rPr>
              <w:t>1</w:t>
            </w:r>
            <w:r>
              <w:rPr>
                <w:rFonts w:hint="eastAsia"/>
                <w:color w:val="auto"/>
                <w:highlight w:val="none"/>
              </w:rPr>
              <w:t>+VF</w:t>
            </w:r>
          </w:p>
          <w:p w14:paraId="3090DD62">
            <w:pPr>
              <w:pStyle w:val="1389"/>
              <w:ind w:firstLine="420"/>
              <w:rPr>
                <w:color w:val="auto"/>
                <w:highlight w:val="none"/>
              </w:rPr>
            </w:pPr>
            <w:r>
              <w:rPr>
                <w:color w:val="auto"/>
                <w:highlight w:val="none"/>
              </w:rPr>
              <w:t>式中：L——集气罩的排风量，m</w:t>
            </w:r>
            <w:r>
              <w:rPr>
                <w:color w:val="auto"/>
                <w:highlight w:val="none"/>
                <w:vertAlign w:val="superscript"/>
              </w:rPr>
              <w:t>3</w:t>
            </w:r>
            <w:r>
              <w:rPr>
                <w:color w:val="auto"/>
                <w:highlight w:val="none"/>
              </w:rPr>
              <w:t>/h；</w:t>
            </w:r>
          </w:p>
          <w:p w14:paraId="1E9E140E">
            <w:pPr>
              <w:pStyle w:val="1389"/>
              <w:ind w:firstLine="1050" w:firstLineChars="500"/>
              <w:rPr>
                <w:color w:val="auto"/>
                <w:highlight w:val="none"/>
              </w:rPr>
            </w:pPr>
            <w:r>
              <w:rPr>
                <w:rFonts w:hint="eastAsia"/>
                <w:color w:val="auto"/>
                <w:highlight w:val="none"/>
              </w:rPr>
              <w:t>L</w:t>
            </w:r>
            <w:r>
              <w:rPr>
                <w:rFonts w:hint="eastAsia"/>
                <w:color w:val="auto"/>
                <w:highlight w:val="none"/>
                <w:vertAlign w:val="subscript"/>
              </w:rPr>
              <w:t>1</w:t>
            </w:r>
            <w:r>
              <w:rPr>
                <w:color w:val="auto"/>
                <w:highlight w:val="none"/>
              </w:rPr>
              <w:t>——</w:t>
            </w:r>
            <w:r>
              <w:rPr>
                <w:rFonts w:hint="eastAsia"/>
                <w:color w:val="auto"/>
                <w:highlight w:val="none"/>
              </w:rPr>
              <w:t>物料或者工艺设备带入罩内的空气量，m</w:t>
            </w:r>
            <w:r>
              <w:rPr>
                <w:rFonts w:hint="eastAsia"/>
                <w:color w:val="auto"/>
                <w:highlight w:val="none"/>
                <w:vertAlign w:val="superscript"/>
              </w:rPr>
              <w:t>3</w:t>
            </w:r>
            <w:r>
              <w:rPr>
                <w:rFonts w:hint="eastAsia"/>
                <w:color w:val="auto"/>
                <w:highlight w:val="none"/>
              </w:rPr>
              <w:t>/s</w:t>
            </w:r>
            <w:r>
              <w:rPr>
                <w:color w:val="auto"/>
                <w:highlight w:val="none"/>
              </w:rPr>
              <w:t>；</w:t>
            </w:r>
          </w:p>
          <w:p w14:paraId="7E675ACF">
            <w:pPr>
              <w:pStyle w:val="1389"/>
              <w:ind w:firstLine="1050" w:firstLineChars="500"/>
              <w:rPr>
                <w:color w:val="auto"/>
                <w:highlight w:val="none"/>
              </w:rPr>
            </w:pPr>
            <w:r>
              <w:rPr>
                <w:rFonts w:hint="eastAsia"/>
                <w:color w:val="auto"/>
                <w:highlight w:val="none"/>
              </w:rPr>
              <w:t>F</w:t>
            </w:r>
            <w:r>
              <w:rPr>
                <w:color w:val="auto"/>
                <w:highlight w:val="none"/>
              </w:rPr>
              <w:t>——</w:t>
            </w:r>
            <w:r>
              <w:rPr>
                <w:rFonts w:hint="eastAsia"/>
                <w:color w:val="auto"/>
                <w:highlight w:val="none"/>
              </w:rPr>
              <w:t>工作孔口和总缝隙面积</w:t>
            </w:r>
            <w:r>
              <w:rPr>
                <w:color w:val="auto"/>
                <w:highlight w:val="none"/>
              </w:rPr>
              <w:t>，m</w:t>
            </w:r>
            <w:r>
              <w:rPr>
                <w:color w:val="auto"/>
                <w:highlight w:val="none"/>
                <w:vertAlign w:val="superscript"/>
              </w:rPr>
              <w:t>2</w:t>
            </w:r>
            <w:r>
              <w:rPr>
                <w:color w:val="auto"/>
                <w:highlight w:val="none"/>
              </w:rPr>
              <w:t>；</w:t>
            </w:r>
          </w:p>
          <w:p w14:paraId="5AC5F537">
            <w:pPr>
              <w:pStyle w:val="1389"/>
              <w:ind w:firstLine="1050" w:firstLineChars="500"/>
              <w:rPr>
                <w:color w:val="auto"/>
                <w:highlight w:val="none"/>
              </w:rPr>
            </w:pPr>
            <w:r>
              <w:rPr>
                <w:color w:val="auto"/>
                <w:highlight w:val="none"/>
              </w:rPr>
              <w:t>V——</w:t>
            </w:r>
            <w:r>
              <w:rPr>
                <w:rFonts w:hint="eastAsia"/>
                <w:color w:val="auto"/>
                <w:highlight w:val="none"/>
              </w:rPr>
              <w:t>工作孔口和缝隙上吸入气流速，m/s；为防止把过多的物料吸入通风系统，粉状物料抽风口上流速应≤0.7m/s</w:t>
            </w:r>
            <w:r>
              <w:rPr>
                <w:color w:val="auto"/>
                <w:highlight w:val="none"/>
              </w:rPr>
              <w:t>。</w:t>
            </w:r>
          </w:p>
          <w:p w14:paraId="0F1B8616">
            <w:pPr>
              <w:pStyle w:val="1389"/>
              <w:ind w:firstLine="422"/>
              <w:jc w:val="center"/>
              <w:rPr>
                <w:b/>
                <w:bCs/>
                <w:color w:val="auto"/>
                <w:highlight w:val="none"/>
              </w:rPr>
            </w:pPr>
            <w:r>
              <w:rPr>
                <w:b/>
                <w:bCs/>
                <w:color w:val="auto"/>
                <w:highlight w:val="none"/>
              </w:rPr>
              <w:t>表4</w:t>
            </w:r>
            <w:r>
              <w:rPr>
                <w:rFonts w:hint="eastAsia"/>
                <w:b/>
                <w:bCs/>
                <w:color w:val="auto"/>
                <w:highlight w:val="none"/>
                <w:lang w:val="en-US" w:eastAsia="zh-CN"/>
              </w:rPr>
              <w:t>-7  DA001排气筒</w:t>
            </w:r>
            <w:r>
              <w:rPr>
                <w:b/>
                <w:bCs/>
                <w:color w:val="auto"/>
                <w:highlight w:val="none"/>
              </w:rPr>
              <w:t>废气收集风量核算</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02"/>
              <w:gridCol w:w="1419"/>
              <w:gridCol w:w="904"/>
              <w:gridCol w:w="1251"/>
              <w:gridCol w:w="904"/>
              <w:gridCol w:w="1000"/>
              <w:gridCol w:w="938"/>
              <w:gridCol w:w="1047"/>
            </w:tblGrid>
            <w:tr w14:paraId="213AF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9" w:type="pct"/>
                  <w:noWrap w:val="0"/>
                  <w:vAlign w:val="center"/>
                </w:tcPr>
                <w:p w14:paraId="331A5D0B">
                  <w:pPr>
                    <w:pStyle w:val="200"/>
                    <w:spacing w:before="24" w:after="24"/>
                    <w:rPr>
                      <w:rFonts w:ascii="Times New Roman"/>
                      <w:color w:val="auto"/>
                      <w:sz w:val="18"/>
                      <w:szCs w:val="18"/>
                      <w:highlight w:val="none"/>
                    </w:rPr>
                  </w:pPr>
                  <w:r>
                    <w:rPr>
                      <w:rFonts w:ascii="Times New Roman"/>
                      <w:color w:val="auto"/>
                      <w:sz w:val="18"/>
                      <w:szCs w:val="18"/>
                      <w:highlight w:val="none"/>
                    </w:rPr>
                    <w:t>设备</w:t>
                  </w:r>
                </w:p>
              </w:tc>
              <w:tc>
                <w:tcPr>
                  <w:tcW w:w="848" w:type="pct"/>
                  <w:noWrap w:val="0"/>
                  <w:vAlign w:val="center"/>
                </w:tcPr>
                <w:p w14:paraId="2436D98C">
                  <w:pPr>
                    <w:pStyle w:val="200"/>
                    <w:spacing w:before="24" w:after="24"/>
                    <w:rPr>
                      <w:rFonts w:ascii="Times New Roman"/>
                      <w:color w:val="auto"/>
                      <w:sz w:val="18"/>
                      <w:szCs w:val="18"/>
                      <w:highlight w:val="none"/>
                    </w:rPr>
                  </w:pPr>
                  <w:r>
                    <w:rPr>
                      <w:rFonts w:hint="eastAsia" w:ascii="Times New Roman"/>
                      <w:color w:val="auto"/>
                      <w:sz w:val="18"/>
                      <w:szCs w:val="16"/>
                      <w:highlight w:val="none"/>
                    </w:rPr>
                    <w:t>物料或者工艺设备带入罩内的空气量，m</w:t>
                  </w:r>
                  <w:r>
                    <w:rPr>
                      <w:rFonts w:hint="eastAsia" w:ascii="Times New Roman"/>
                      <w:color w:val="auto"/>
                      <w:sz w:val="18"/>
                      <w:szCs w:val="16"/>
                      <w:highlight w:val="none"/>
                      <w:vertAlign w:val="superscript"/>
                    </w:rPr>
                    <w:t>3</w:t>
                  </w:r>
                  <w:r>
                    <w:rPr>
                      <w:rFonts w:hint="eastAsia" w:ascii="Times New Roman"/>
                      <w:color w:val="auto"/>
                      <w:sz w:val="18"/>
                      <w:szCs w:val="16"/>
                      <w:highlight w:val="none"/>
                    </w:rPr>
                    <w:t>/s</w:t>
                  </w:r>
                </w:p>
              </w:tc>
              <w:tc>
                <w:tcPr>
                  <w:tcW w:w="540" w:type="pct"/>
                  <w:noWrap w:val="0"/>
                  <w:vAlign w:val="center"/>
                </w:tcPr>
                <w:p w14:paraId="71ED1EDC">
                  <w:pPr>
                    <w:pStyle w:val="200"/>
                    <w:spacing w:before="24" w:after="24"/>
                    <w:rPr>
                      <w:rFonts w:ascii="Times New Roman"/>
                      <w:color w:val="auto"/>
                      <w:sz w:val="18"/>
                      <w:szCs w:val="18"/>
                      <w:highlight w:val="none"/>
                    </w:rPr>
                  </w:pPr>
                  <w:r>
                    <w:rPr>
                      <w:rFonts w:hint="eastAsia" w:ascii="Times New Roman"/>
                      <w:color w:val="auto"/>
                      <w:sz w:val="18"/>
                      <w:szCs w:val="18"/>
                      <w:highlight w:val="none"/>
                    </w:rPr>
                    <w:t>总缝隙面积</w:t>
                  </w:r>
                  <w:r>
                    <w:rPr>
                      <w:rFonts w:ascii="Times New Roman"/>
                      <w:color w:val="auto"/>
                      <w:sz w:val="18"/>
                      <w:szCs w:val="18"/>
                      <w:highlight w:val="none"/>
                    </w:rPr>
                    <w:t>，m</w:t>
                  </w:r>
                  <w:r>
                    <w:rPr>
                      <w:rFonts w:ascii="Times New Roman"/>
                      <w:color w:val="auto"/>
                      <w:sz w:val="18"/>
                      <w:szCs w:val="18"/>
                      <w:highlight w:val="none"/>
                      <w:vertAlign w:val="superscript"/>
                    </w:rPr>
                    <w:t>2</w:t>
                  </w:r>
                </w:p>
              </w:tc>
              <w:tc>
                <w:tcPr>
                  <w:tcW w:w="747" w:type="pct"/>
                  <w:noWrap w:val="0"/>
                  <w:vAlign w:val="center"/>
                </w:tcPr>
                <w:p w14:paraId="7F409370">
                  <w:pPr>
                    <w:pStyle w:val="200"/>
                    <w:spacing w:before="24" w:after="24"/>
                    <w:rPr>
                      <w:rFonts w:ascii="Times New Roman"/>
                      <w:color w:val="auto"/>
                      <w:sz w:val="18"/>
                      <w:szCs w:val="18"/>
                      <w:highlight w:val="none"/>
                    </w:rPr>
                  </w:pPr>
                  <w:r>
                    <w:rPr>
                      <w:rFonts w:ascii="Times New Roman"/>
                      <w:color w:val="auto"/>
                      <w:sz w:val="18"/>
                      <w:szCs w:val="18"/>
                      <w:highlight w:val="none"/>
                    </w:rPr>
                    <w:t>工作孔口和缝隙上吸入气流速，m/s</w:t>
                  </w:r>
                </w:p>
              </w:tc>
              <w:tc>
                <w:tcPr>
                  <w:tcW w:w="540" w:type="pct"/>
                  <w:noWrap w:val="0"/>
                  <w:vAlign w:val="center"/>
                </w:tcPr>
                <w:p w14:paraId="5DC6C0E2">
                  <w:pPr>
                    <w:pStyle w:val="200"/>
                    <w:spacing w:before="24" w:after="24"/>
                    <w:rPr>
                      <w:rFonts w:ascii="Times New Roman"/>
                      <w:color w:val="auto"/>
                      <w:sz w:val="18"/>
                      <w:szCs w:val="18"/>
                      <w:highlight w:val="none"/>
                    </w:rPr>
                  </w:pPr>
                  <w:r>
                    <w:rPr>
                      <w:rFonts w:hint="eastAsia" w:ascii="Times New Roman"/>
                      <w:color w:val="auto"/>
                      <w:sz w:val="18"/>
                      <w:szCs w:val="18"/>
                      <w:highlight w:val="none"/>
                    </w:rPr>
                    <w:t>单设备总风量（</w:t>
                  </w:r>
                  <w:r>
                    <w:rPr>
                      <w:rFonts w:hint="eastAsia" w:ascii="Times New Roman"/>
                      <w:color w:val="auto"/>
                      <w:sz w:val="18"/>
                      <w:szCs w:val="16"/>
                      <w:highlight w:val="none"/>
                    </w:rPr>
                    <w:t>m</w:t>
                  </w:r>
                  <w:r>
                    <w:rPr>
                      <w:rFonts w:hint="eastAsia" w:ascii="Times New Roman"/>
                      <w:color w:val="auto"/>
                      <w:sz w:val="18"/>
                      <w:szCs w:val="16"/>
                      <w:highlight w:val="none"/>
                      <w:vertAlign w:val="superscript"/>
                    </w:rPr>
                    <w:t>3</w:t>
                  </w:r>
                  <w:r>
                    <w:rPr>
                      <w:rFonts w:hint="eastAsia" w:ascii="Times New Roman"/>
                      <w:color w:val="auto"/>
                      <w:sz w:val="18"/>
                      <w:szCs w:val="16"/>
                      <w:highlight w:val="none"/>
                    </w:rPr>
                    <w:t>/s</w:t>
                  </w:r>
                  <w:r>
                    <w:rPr>
                      <w:rFonts w:hint="eastAsia" w:ascii="Times New Roman"/>
                      <w:color w:val="auto"/>
                      <w:sz w:val="18"/>
                      <w:szCs w:val="18"/>
                      <w:highlight w:val="none"/>
                    </w:rPr>
                    <w:t>）</w:t>
                  </w:r>
                </w:p>
              </w:tc>
              <w:tc>
                <w:tcPr>
                  <w:tcW w:w="597" w:type="pct"/>
                  <w:noWrap w:val="0"/>
                  <w:vAlign w:val="center"/>
                </w:tcPr>
                <w:p w14:paraId="4C657651">
                  <w:pPr>
                    <w:jc w:val="center"/>
                    <w:rPr>
                      <w:color w:val="auto"/>
                      <w:sz w:val="18"/>
                      <w:szCs w:val="18"/>
                      <w:highlight w:val="none"/>
                    </w:rPr>
                  </w:pPr>
                  <w:r>
                    <w:rPr>
                      <w:rFonts w:hint="eastAsia"/>
                      <w:color w:val="auto"/>
                      <w:sz w:val="18"/>
                      <w:szCs w:val="18"/>
                      <w:highlight w:val="none"/>
                    </w:rPr>
                    <w:t>设备数量（台）</w:t>
                  </w:r>
                </w:p>
              </w:tc>
              <w:tc>
                <w:tcPr>
                  <w:tcW w:w="560" w:type="pct"/>
                  <w:noWrap w:val="0"/>
                  <w:vAlign w:val="center"/>
                </w:tcPr>
                <w:p w14:paraId="676222B0">
                  <w:pPr>
                    <w:jc w:val="center"/>
                    <w:rPr>
                      <w:color w:val="auto"/>
                      <w:sz w:val="18"/>
                      <w:szCs w:val="18"/>
                      <w:highlight w:val="none"/>
                    </w:rPr>
                  </w:pPr>
                  <w:r>
                    <w:rPr>
                      <w:rFonts w:hint="eastAsia"/>
                      <w:color w:val="auto"/>
                      <w:sz w:val="18"/>
                      <w:szCs w:val="18"/>
                      <w:highlight w:val="none"/>
                    </w:rPr>
                    <w:t>总风机风量（</w:t>
                  </w:r>
                  <w:r>
                    <w:rPr>
                      <w:rFonts w:hint="eastAsia"/>
                      <w:color w:val="auto"/>
                      <w:sz w:val="18"/>
                      <w:szCs w:val="16"/>
                      <w:highlight w:val="none"/>
                    </w:rPr>
                    <w:t>m</w:t>
                  </w:r>
                  <w:r>
                    <w:rPr>
                      <w:rFonts w:hint="eastAsia"/>
                      <w:color w:val="auto"/>
                      <w:sz w:val="18"/>
                      <w:szCs w:val="16"/>
                      <w:highlight w:val="none"/>
                      <w:vertAlign w:val="superscript"/>
                    </w:rPr>
                    <w:t>3</w:t>
                  </w:r>
                  <w:r>
                    <w:rPr>
                      <w:rFonts w:hint="eastAsia"/>
                      <w:color w:val="auto"/>
                      <w:sz w:val="18"/>
                      <w:szCs w:val="16"/>
                      <w:highlight w:val="none"/>
                    </w:rPr>
                    <w:t>/s</w:t>
                  </w:r>
                  <w:r>
                    <w:rPr>
                      <w:rFonts w:hint="eastAsia"/>
                      <w:color w:val="auto"/>
                      <w:sz w:val="18"/>
                      <w:szCs w:val="18"/>
                      <w:highlight w:val="none"/>
                    </w:rPr>
                    <w:t>）</w:t>
                  </w:r>
                </w:p>
              </w:tc>
              <w:tc>
                <w:tcPr>
                  <w:tcW w:w="625" w:type="pct"/>
                  <w:noWrap w:val="0"/>
                  <w:vAlign w:val="center"/>
                </w:tcPr>
                <w:p w14:paraId="2101F871">
                  <w:pPr>
                    <w:pStyle w:val="200"/>
                    <w:spacing w:before="24" w:after="24"/>
                    <w:rPr>
                      <w:rFonts w:ascii="Times New Roman"/>
                      <w:color w:val="auto"/>
                      <w:sz w:val="18"/>
                      <w:szCs w:val="18"/>
                      <w:highlight w:val="none"/>
                    </w:rPr>
                  </w:pPr>
                  <w:r>
                    <w:rPr>
                      <w:rFonts w:ascii="Times New Roman"/>
                      <w:color w:val="auto"/>
                      <w:sz w:val="18"/>
                      <w:szCs w:val="18"/>
                      <w:highlight w:val="none"/>
                    </w:rPr>
                    <w:t>总风量</w:t>
                  </w:r>
                </w:p>
                <w:p w14:paraId="612B87AD">
                  <w:pPr>
                    <w:jc w:val="center"/>
                    <w:rPr>
                      <w:color w:val="auto"/>
                      <w:sz w:val="18"/>
                      <w:szCs w:val="18"/>
                      <w:highlight w:val="none"/>
                    </w:rPr>
                  </w:pPr>
                  <w:r>
                    <w:rPr>
                      <w:color w:val="auto"/>
                      <w:sz w:val="18"/>
                      <w:szCs w:val="18"/>
                      <w:highlight w:val="none"/>
                    </w:rPr>
                    <w:t>m</w:t>
                  </w:r>
                  <w:r>
                    <w:rPr>
                      <w:color w:val="auto"/>
                      <w:sz w:val="18"/>
                      <w:szCs w:val="18"/>
                      <w:highlight w:val="none"/>
                      <w:vertAlign w:val="superscript"/>
                    </w:rPr>
                    <w:t>3</w:t>
                  </w:r>
                  <w:r>
                    <w:rPr>
                      <w:color w:val="auto"/>
                      <w:sz w:val="18"/>
                      <w:szCs w:val="18"/>
                      <w:highlight w:val="none"/>
                    </w:rPr>
                    <w:t>/h</w:t>
                  </w:r>
                </w:p>
              </w:tc>
            </w:tr>
            <w:tr w14:paraId="10614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9" w:type="pct"/>
                  <w:noWrap w:val="0"/>
                  <w:vAlign w:val="center"/>
                </w:tcPr>
                <w:p w14:paraId="3B41A53E">
                  <w:pPr>
                    <w:pStyle w:val="200"/>
                    <w:spacing w:before="24" w:after="24"/>
                    <w:rPr>
                      <w:color w:val="auto"/>
                      <w:sz w:val="18"/>
                      <w:szCs w:val="18"/>
                      <w:highlight w:val="none"/>
                    </w:rPr>
                  </w:pPr>
                  <w:r>
                    <w:rPr>
                      <w:rFonts w:hint="eastAsia"/>
                      <w:color w:val="auto"/>
                      <w:sz w:val="18"/>
                      <w:szCs w:val="18"/>
                      <w:highlight w:val="none"/>
                      <w:lang w:val="en-US" w:eastAsia="zh-CN"/>
                    </w:rPr>
                    <w:t>隧道窑</w:t>
                  </w:r>
                </w:p>
              </w:tc>
              <w:tc>
                <w:tcPr>
                  <w:tcW w:w="848" w:type="pct"/>
                  <w:noWrap w:val="0"/>
                  <w:vAlign w:val="center"/>
                </w:tcPr>
                <w:p w14:paraId="6EB51B25">
                  <w:pPr>
                    <w:pStyle w:val="200"/>
                    <w:spacing w:before="24" w:after="24"/>
                    <w:rPr>
                      <w:rFonts w:hint="eastAsia" w:ascii="Times New Roman"/>
                      <w:color w:val="auto"/>
                      <w:sz w:val="18"/>
                      <w:szCs w:val="18"/>
                      <w:highlight w:val="none"/>
                    </w:rPr>
                  </w:pPr>
                  <w:r>
                    <w:rPr>
                      <w:rFonts w:hint="eastAsia" w:ascii="Times New Roman"/>
                      <w:color w:val="auto"/>
                      <w:sz w:val="18"/>
                      <w:szCs w:val="18"/>
                      <w:highlight w:val="none"/>
                    </w:rPr>
                    <w:t>0.3</w:t>
                  </w:r>
                </w:p>
              </w:tc>
              <w:tc>
                <w:tcPr>
                  <w:tcW w:w="540" w:type="pct"/>
                  <w:noWrap w:val="0"/>
                  <w:vAlign w:val="center"/>
                </w:tcPr>
                <w:p w14:paraId="644A0D42">
                  <w:pPr>
                    <w:pStyle w:val="200"/>
                    <w:spacing w:before="24" w:after="24"/>
                    <w:rPr>
                      <w:rFonts w:ascii="Times New Roman"/>
                      <w:color w:val="auto"/>
                      <w:sz w:val="18"/>
                      <w:szCs w:val="18"/>
                      <w:highlight w:val="none"/>
                    </w:rPr>
                  </w:pPr>
                  <w:r>
                    <w:rPr>
                      <w:rFonts w:hint="eastAsia" w:ascii="Times New Roman"/>
                      <w:color w:val="auto"/>
                      <w:sz w:val="18"/>
                      <w:szCs w:val="18"/>
                      <w:highlight w:val="none"/>
                    </w:rPr>
                    <w:t>0.2</w:t>
                  </w:r>
                </w:p>
              </w:tc>
              <w:tc>
                <w:tcPr>
                  <w:tcW w:w="747" w:type="pct"/>
                  <w:noWrap w:val="0"/>
                  <w:vAlign w:val="center"/>
                </w:tcPr>
                <w:p w14:paraId="16070B34">
                  <w:pPr>
                    <w:pStyle w:val="200"/>
                    <w:spacing w:before="24" w:after="24"/>
                    <w:rPr>
                      <w:rFonts w:ascii="Times New Roman"/>
                      <w:color w:val="auto"/>
                      <w:sz w:val="18"/>
                      <w:szCs w:val="18"/>
                      <w:highlight w:val="none"/>
                    </w:rPr>
                  </w:pPr>
                  <w:r>
                    <w:rPr>
                      <w:rFonts w:hint="eastAsia" w:ascii="Times New Roman"/>
                      <w:color w:val="auto"/>
                      <w:sz w:val="18"/>
                      <w:szCs w:val="18"/>
                      <w:highlight w:val="none"/>
                    </w:rPr>
                    <w:t>0.3</w:t>
                  </w:r>
                </w:p>
              </w:tc>
              <w:tc>
                <w:tcPr>
                  <w:tcW w:w="540" w:type="pct"/>
                  <w:noWrap w:val="0"/>
                  <w:vAlign w:val="center"/>
                </w:tcPr>
                <w:p w14:paraId="270732B0">
                  <w:pPr>
                    <w:pStyle w:val="200"/>
                    <w:spacing w:before="24" w:after="24"/>
                    <w:rPr>
                      <w:rFonts w:ascii="Times New Roman"/>
                      <w:color w:val="auto"/>
                      <w:sz w:val="18"/>
                      <w:szCs w:val="18"/>
                      <w:highlight w:val="none"/>
                    </w:rPr>
                  </w:pPr>
                  <w:r>
                    <w:rPr>
                      <w:rFonts w:hint="eastAsia" w:ascii="Times New Roman"/>
                      <w:color w:val="auto"/>
                      <w:sz w:val="18"/>
                      <w:szCs w:val="18"/>
                      <w:highlight w:val="none"/>
                    </w:rPr>
                    <w:t>0.36</w:t>
                  </w:r>
                </w:p>
              </w:tc>
              <w:tc>
                <w:tcPr>
                  <w:tcW w:w="597" w:type="pct"/>
                  <w:noWrap w:val="0"/>
                  <w:vAlign w:val="center"/>
                </w:tcPr>
                <w:p w14:paraId="6E59B3BA">
                  <w:pPr>
                    <w:pStyle w:val="200"/>
                    <w:spacing w:before="24" w:after="24"/>
                    <w:rPr>
                      <w:rFonts w:hint="eastAsia" w:ascii="Times New Roman" w:eastAsia="宋体"/>
                      <w:color w:val="auto"/>
                      <w:sz w:val="18"/>
                      <w:szCs w:val="18"/>
                      <w:highlight w:val="none"/>
                      <w:lang w:eastAsia="zh-CN"/>
                    </w:rPr>
                  </w:pPr>
                  <w:r>
                    <w:rPr>
                      <w:rFonts w:hint="eastAsia" w:ascii="Times New Roman"/>
                      <w:color w:val="auto"/>
                      <w:sz w:val="18"/>
                      <w:szCs w:val="18"/>
                      <w:highlight w:val="none"/>
                      <w:lang w:val="en-US" w:eastAsia="zh-CN"/>
                    </w:rPr>
                    <w:t>1</w:t>
                  </w:r>
                </w:p>
              </w:tc>
              <w:tc>
                <w:tcPr>
                  <w:tcW w:w="560" w:type="pct"/>
                  <w:noWrap w:val="0"/>
                  <w:vAlign w:val="center"/>
                </w:tcPr>
                <w:p w14:paraId="5AC27727">
                  <w:pPr>
                    <w:pStyle w:val="200"/>
                    <w:spacing w:before="24" w:after="24"/>
                    <w:rPr>
                      <w:rFonts w:ascii="Times New Roman"/>
                      <w:color w:val="auto"/>
                      <w:sz w:val="18"/>
                      <w:szCs w:val="18"/>
                      <w:highlight w:val="none"/>
                    </w:rPr>
                  </w:pPr>
                  <w:r>
                    <w:rPr>
                      <w:rFonts w:hint="eastAsia" w:ascii="Times New Roman"/>
                      <w:color w:val="auto"/>
                      <w:sz w:val="18"/>
                      <w:szCs w:val="18"/>
                      <w:highlight w:val="none"/>
                    </w:rPr>
                    <w:t>0.36</w:t>
                  </w:r>
                </w:p>
              </w:tc>
              <w:tc>
                <w:tcPr>
                  <w:tcW w:w="625" w:type="pct"/>
                  <w:noWrap w:val="0"/>
                  <w:vAlign w:val="center"/>
                </w:tcPr>
                <w:p w14:paraId="3EBB9724">
                  <w:pPr>
                    <w:pStyle w:val="200"/>
                    <w:spacing w:before="24" w:after="24"/>
                    <w:rPr>
                      <w:rFonts w:hint="default" w:ascii="Times New Roman" w:eastAsia="宋体"/>
                      <w:color w:val="auto"/>
                      <w:sz w:val="18"/>
                      <w:szCs w:val="18"/>
                      <w:highlight w:val="none"/>
                      <w:lang w:val="en-US" w:eastAsia="zh-CN"/>
                    </w:rPr>
                  </w:pPr>
                  <w:r>
                    <w:rPr>
                      <w:rFonts w:hint="eastAsia" w:ascii="Times New Roman" w:eastAsia="等线"/>
                      <w:color w:val="auto"/>
                      <w:sz w:val="18"/>
                      <w:szCs w:val="18"/>
                      <w:highlight w:val="none"/>
                      <w:lang w:val="en-US" w:eastAsia="zh-CN"/>
                    </w:rPr>
                    <w:t>1296</w:t>
                  </w:r>
                </w:p>
              </w:tc>
            </w:tr>
          </w:tbl>
          <w:p w14:paraId="5C8D4FAE">
            <w:pPr>
              <w:pStyle w:val="138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DA00</w:t>
            </w:r>
            <w:r>
              <w:rPr>
                <w:rFonts w:hint="eastAsia" w:cs="Times New Roman"/>
                <w:snapToGrid w:val="0"/>
                <w:color w:val="auto"/>
                <w:kern w:val="0"/>
                <w:sz w:val="21"/>
                <w:szCs w:val="21"/>
                <w:highlight w:val="none"/>
                <w:lang w:val="en-US" w:eastAsia="zh-CN"/>
              </w:rPr>
              <w:t>1</w:t>
            </w:r>
            <w:r>
              <w:rPr>
                <w:rFonts w:hint="default" w:ascii="Times New Roman" w:hAnsi="Times New Roman" w:cs="Times New Roman"/>
                <w:snapToGrid w:val="0"/>
                <w:color w:val="auto"/>
                <w:kern w:val="0"/>
                <w:sz w:val="21"/>
                <w:szCs w:val="21"/>
                <w:highlight w:val="none"/>
                <w:lang w:val="en-US" w:eastAsia="zh-CN"/>
              </w:rPr>
              <w:t>排气筒</w:t>
            </w:r>
            <w:r>
              <w:rPr>
                <w:rFonts w:hint="eastAsia" w:cs="Times New Roman"/>
                <w:b w:val="0"/>
                <w:bCs w:val="0"/>
                <w:color w:val="auto"/>
                <w:sz w:val="21"/>
                <w:szCs w:val="21"/>
                <w:highlight w:val="none"/>
                <w:lang w:val="en-US" w:eastAsia="zh-CN"/>
              </w:rPr>
              <w:t>风机风量至少为1296</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/h</w:t>
            </w:r>
            <w:r>
              <w:rPr>
                <w:rFonts w:hint="eastAsia" w:ascii="Times New Roman" w:hAnsi="Times New Roman" w:cs="Times New Roman"/>
                <w:color w:val="auto"/>
                <w:sz w:val="21"/>
                <w:szCs w:val="21"/>
                <w:highlight w:val="none"/>
                <w:lang w:val="en-US" w:eastAsia="zh-CN"/>
              </w:rPr>
              <w:t>，</w:t>
            </w:r>
            <w:r>
              <w:rPr>
                <w:rFonts w:hint="eastAsia" w:cs="Times New Roman"/>
                <w:b w:val="0"/>
                <w:bCs w:val="0"/>
                <w:color w:val="auto"/>
                <w:sz w:val="21"/>
                <w:szCs w:val="21"/>
                <w:highlight w:val="none"/>
                <w:lang w:val="en-US" w:eastAsia="zh-CN"/>
              </w:rPr>
              <w:t>DA002排气筒</w:t>
            </w:r>
            <w:r>
              <w:rPr>
                <w:rFonts w:hint="default" w:ascii="Times New Roman" w:hAnsi="Times New Roman" w:cs="Times New Roman"/>
                <w:color w:val="auto"/>
                <w:sz w:val="21"/>
                <w:szCs w:val="21"/>
                <w:highlight w:val="none"/>
                <w:lang w:val="en-US" w:eastAsia="zh-CN"/>
              </w:rPr>
              <w:t>设置总风机风量为</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000m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/h，可满足风机风量要求。</w:t>
            </w:r>
          </w:p>
          <w:p w14:paraId="2E3D0474">
            <w:pPr>
              <w:adjustRightInd w:val="0"/>
              <w:snapToGrid w:val="0"/>
              <w:spacing w:line="360" w:lineRule="auto"/>
              <w:ind w:firstLine="420" w:firstLineChars="200"/>
              <w:rPr>
                <w:rFonts w:hint="eastAsia"/>
                <w:color w:val="auto"/>
                <w:sz w:val="21"/>
                <w:szCs w:val="21"/>
                <w:lang w:val="en-US" w:eastAsia="zh-CN"/>
              </w:rPr>
            </w:pPr>
            <w:r>
              <w:rPr>
                <w:rFonts w:hint="eastAsia"/>
                <w:color w:val="auto"/>
                <w:sz w:val="21"/>
                <w:szCs w:val="21"/>
                <w:highlight w:val="none"/>
                <w:lang w:val="en-US" w:eastAsia="zh-CN"/>
              </w:rPr>
              <w:t>2）治理措施可行性分析和</w:t>
            </w:r>
            <w:r>
              <w:rPr>
                <w:rFonts w:hint="eastAsia"/>
                <w:color w:val="auto"/>
                <w:sz w:val="21"/>
                <w:szCs w:val="21"/>
                <w:lang w:val="en-US" w:eastAsia="zh-CN"/>
              </w:rPr>
              <w:t>处理效率</w:t>
            </w:r>
          </w:p>
          <w:p w14:paraId="08B7E23C">
            <w:pPr>
              <w:adjustRightInd w:val="0"/>
              <w:snapToGrid w:val="0"/>
              <w:spacing w:line="360" w:lineRule="auto"/>
              <w:ind w:firstLine="42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1"/>
                <w:szCs w:val="21"/>
                <w:lang w:val="en-US" w:eastAsia="zh-CN"/>
              </w:rPr>
              <w:t>布袋除尘器是利用棉、毛、合成纤维或人造纤维等织物作为滤料编织成滤袋，对含尘气体进行过滤的除尘装置。其滤尘机制以筛分为主，同时还包含惯性碰撞、拦截、扩散和静电等。新滤袋空隙较大，一般为20~50μm，远大于粉尘粒径，依靠惯性碰撞、拦截、扩散和静电作用，粘附粗大的粉尘颗粒形成粉尘初层。之后粉尘初层以滤袋为支撑骨架，形成主要过滤层，</w:t>
            </w:r>
            <w:r>
              <w:rPr>
                <w:rFonts w:hint="eastAsia" w:cs="Times New Roman"/>
                <w:color w:val="auto"/>
                <w:sz w:val="21"/>
                <w:szCs w:val="21"/>
                <w:lang w:val="en-US" w:eastAsia="zh-CN"/>
              </w:rPr>
              <w:t>筛滤</w:t>
            </w:r>
            <w:r>
              <w:rPr>
                <w:rFonts w:hint="default" w:ascii="Times New Roman" w:hAnsi="Times New Roman" w:eastAsia="宋体" w:cs="Times New Roman"/>
                <w:color w:val="auto"/>
                <w:sz w:val="21"/>
                <w:szCs w:val="21"/>
                <w:lang w:val="en-US" w:eastAsia="zh-CN"/>
              </w:rPr>
              <w:t>粉尘颗粒。当滤袋上的粉尘达到一定厚度，脉冲阀打开，反向喷吹空气，将粉尘吹落至下部的灰斗，然后关闭脉冲阀，正常除尘，一般取过滤速度为0.5~2m/min。布袋除尘器除尘精度高达0.1μm，理论效率可达9</w:t>
            </w:r>
            <w:r>
              <w:rPr>
                <w:rFonts w:hint="eastAsia"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%以上，属于高效除尘器，工作原理见下图。</w:t>
            </w:r>
          </w:p>
          <w:p w14:paraId="146277D2">
            <w:pPr>
              <w:autoSpaceDE w:val="0"/>
              <w:autoSpaceDN w:val="0"/>
              <w:spacing w:line="360" w:lineRule="auto"/>
              <w:ind w:firstLine="480" w:firstLineChars="20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drawing>
                <wp:inline distT="0" distB="0" distL="114300" distR="114300">
                  <wp:extent cx="4055745" cy="1746250"/>
                  <wp:effectExtent l="0" t="0" r="1905" b="6350"/>
                  <wp:docPr id="1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
                          <pic:cNvPicPr>
                            <a:picLocks noChangeAspect="1"/>
                          </pic:cNvPicPr>
                        </pic:nvPicPr>
                        <pic:blipFill>
                          <a:blip r:embed="rId19"/>
                          <a:stretch>
                            <a:fillRect/>
                          </a:stretch>
                        </pic:blipFill>
                        <pic:spPr>
                          <a:xfrm>
                            <a:off x="0" y="0"/>
                            <a:ext cx="4055745" cy="1746250"/>
                          </a:xfrm>
                          <a:prstGeom prst="rect">
                            <a:avLst/>
                          </a:prstGeom>
                          <a:noFill/>
                          <a:ln>
                            <a:noFill/>
                          </a:ln>
                        </pic:spPr>
                      </pic:pic>
                    </a:graphicData>
                  </a:graphic>
                </wp:inline>
              </w:drawing>
            </w:r>
          </w:p>
          <w:p w14:paraId="61FA35D2">
            <w:pPr>
              <w:jc w:val="center"/>
              <w:rPr>
                <w:rFonts w:hint="eastAsia"/>
                <w:b/>
                <w:color w:val="auto"/>
                <w:lang w:val="en-US" w:eastAsia="zh-CN"/>
              </w:rPr>
            </w:pPr>
            <w:r>
              <w:rPr>
                <w:rFonts w:hint="eastAsia"/>
                <w:b/>
                <w:color w:val="auto"/>
                <w:lang w:val="en-US" w:eastAsia="zh-CN"/>
              </w:rPr>
              <w:t>图4-1  布袋除尘器工作原理图</w:t>
            </w:r>
          </w:p>
          <w:p w14:paraId="1EBF25A9">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eastAsia"/>
                <w:color w:val="auto"/>
                <w:sz w:val="21"/>
                <w:szCs w:val="21"/>
                <w:highlight w:val="none"/>
                <w:lang w:eastAsia="zh-CN"/>
              </w:rPr>
            </w:pPr>
            <w:r>
              <w:rPr>
                <w:rFonts w:hint="eastAsia" w:cs="Times New Roman"/>
                <w:color w:val="auto"/>
                <w:sz w:val="21"/>
                <w:highlight w:val="none"/>
                <w:lang w:val="en-US" w:eastAsia="zh-CN"/>
              </w:rPr>
              <w:t>本项目</w:t>
            </w:r>
            <w:r>
              <w:rPr>
                <w:rFonts w:hint="eastAsia" w:cs="Times New Roman"/>
                <w:bCs/>
                <w:color w:val="auto"/>
                <w:lang w:val="en-US" w:eastAsia="zh-CN"/>
              </w:rPr>
              <w:t>进料、筛分、上料</w:t>
            </w:r>
            <w:r>
              <w:rPr>
                <w:rFonts w:hint="eastAsia" w:cs="Times New Roman"/>
                <w:bCs/>
                <w:color w:val="auto"/>
                <w:highlight w:val="none"/>
                <w:lang w:val="en-US" w:eastAsia="zh-CN"/>
              </w:rPr>
              <w:t>、混料、装料、包装工序</w:t>
            </w:r>
            <w:r>
              <w:rPr>
                <w:rFonts w:hint="default" w:ascii="Times New Roman" w:hAnsi="Times New Roman" w:cs="Times New Roman"/>
                <w:bCs/>
                <w:color w:val="auto"/>
                <w:highlight w:val="none"/>
              </w:rPr>
              <w:t>产生的粉尘经</w:t>
            </w:r>
            <w:r>
              <w:rPr>
                <w:rFonts w:hint="eastAsia" w:cs="Times New Roman"/>
                <w:bCs/>
                <w:color w:val="auto"/>
                <w:highlight w:val="none"/>
                <w:lang w:val="en-US" w:eastAsia="zh-CN"/>
              </w:rPr>
              <w:t>集气罩收集，经2#布袋除尘器处理后由15m高排气筒（DA002）排放，烧制工序</w:t>
            </w:r>
            <w:r>
              <w:rPr>
                <w:rFonts w:hint="default" w:ascii="Times New Roman" w:hAnsi="Times New Roman" w:cs="Times New Roman"/>
                <w:bCs/>
                <w:color w:val="auto"/>
                <w:highlight w:val="none"/>
              </w:rPr>
              <w:t>生的粉尘</w:t>
            </w:r>
            <w:r>
              <w:rPr>
                <w:rFonts w:hint="eastAsia" w:cs="Times New Roman"/>
                <w:bCs/>
                <w:color w:val="auto"/>
                <w:highlight w:val="none"/>
                <w:lang w:val="en-US" w:eastAsia="zh-CN"/>
              </w:rPr>
              <w:t>经1#布袋除尘器处理后由15m高排气筒（DA001）排放，</w:t>
            </w:r>
            <w:r>
              <w:rPr>
                <w:rFonts w:hint="default" w:ascii="Times New Roman" w:hAnsi="Times New Roman" w:cs="Times New Roman"/>
                <w:color w:val="auto"/>
                <w:sz w:val="21"/>
                <w:highlight w:val="none"/>
                <w:lang w:val="en-US" w:eastAsia="zh-CN"/>
              </w:rPr>
              <w:t>参照</w:t>
            </w:r>
            <w:r>
              <w:rPr>
                <w:rFonts w:hint="default" w:ascii="Times New Roman" w:hAnsi="Times New Roman" w:cs="Times New Roman"/>
                <w:color w:val="auto"/>
                <w:sz w:val="21"/>
                <w:highlight w:val="none"/>
              </w:rPr>
              <w:t>《排污许可证申请与核发技术规范</w:t>
            </w:r>
            <w:r>
              <w:rPr>
                <w:rFonts w:hint="default" w:ascii="Times New Roman" w:hAnsi="Times New Roman" w:cs="Times New Roman"/>
                <w:color w:val="auto"/>
                <w:sz w:val="21"/>
                <w:highlight w:val="none"/>
                <w:lang w:val="en-US" w:eastAsia="zh-CN"/>
              </w:rPr>
              <w:t xml:space="preserve"> </w:t>
            </w:r>
            <w:r>
              <w:rPr>
                <w:rFonts w:hint="eastAsia" w:cs="Times New Roman"/>
                <w:color w:val="auto"/>
                <w:sz w:val="21"/>
                <w:highlight w:val="none"/>
                <w:lang w:val="en-US" w:eastAsia="zh-CN"/>
              </w:rPr>
              <w:t>电子工业</w:t>
            </w:r>
            <w:r>
              <w:rPr>
                <w:rFonts w:hint="default" w:ascii="Times New Roman" w:hAnsi="Times New Roman" w:cs="Times New Roman"/>
                <w:color w:val="auto"/>
                <w:sz w:val="21"/>
                <w:highlight w:val="none"/>
              </w:rPr>
              <w:t>》（HJ</w:t>
            </w:r>
            <w:r>
              <w:rPr>
                <w:rFonts w:hint="eastAsia" w:cs="Times New Roman"/>
                <w:color w:val="auto"/>
                <w:sz w:val="21"/>
                <w:highlight w:val="none"/>
                <w:lang w:val="en-US" w:eastAsia="zh-CN"/>
              </w:rPr>
              <w:t>1031-2019</w:t>
            </w:r>
            <w:r>
              <w:rPr>
                <w:rFonts w:hint="default" w:ascii="Times New Roman" w:hAnsi="Times New Roman" w:cs="Times New Roman"/>
                <w:color w:val="auto"/>
                <w:sz w:val="21"/>
                <w:highlight w:val="none"/>
              </w:rPr>
              <w:t>）“</w:t>
            </w:r>
            <w:r>
              <w:rPr>
                <w:rFonts w:hint="default" w:ascii="Times New Roman" w:hAnsi="Times New Roman" w:cs="Times New Roman"/>
                <w:color w:val="auto"/>
                <w:sz w:val="21"/>
                <w:highlight w:val="none"/>
                <w:lang w:val="en-US" w:eastAsia="zh-CN"/>
              </w:rPr>
              <w:t>附录</w:t>
            </w:r>
            <w:r>
              <w:rPr>
                <w:rFonts w:hint="eastAsia" w:cs="Times New Roman"/>
                <w:color w:val="auto"/>
                <w:sz w:val="21"/>
                <w:highlight w:val="none"/>
                <w:lang w:val="en-US" w:eastAsia="zh-CN"/>
              </w:rPr>
              <w:t>B.1</w:t>
            </w:r>
            <w:r>
              <w:rPr>
                <w:rFonts w:hint="default" w:ascii="Times New Roman" w:hAnsi="Times New Roman" w:cs="Times New Roman"/>
                <w:color w:val="auto"/>
                <w:sz w:val="21"/>
                <w:highlight w:val="none"/>
                <w:lang w:val="en-US" w:eastAsia="zh-CN"/>
              </w:rPr>
              <w:t xml:space="preserve"> </w:t>
            </w:r>
            <w:r>
              <w:rPr>
                <w:rFonts w:hint="default" w:ascii="Times New Roman" w:hAnsi="Times New Roman" w:cs="Times New Roman"/>
                <w:color w:val="auto"/>
                <w:sz w:val="21"/>
                <w:highlight w:val="none"/>
              </w:rPr>
              <w:t>电子工业排污单位废气防治可行技术参考表”，电子专用材料制造排污单位</w:t>
            </w:r>
            <w:r>
              <w:rPr>
                <w:rFonts w:hint="eastAsia" w:cs="Times New Roman"/>
                <w:color w:val="auto"/>
                <w:sz w:val="21"/>
                <w:highlight w:val="none"/>
                <w:lang w:val="en-US" w:eastAsia="zh-CN"/>
              </w:rPr>
              <w:t>配料、粉碎等工序</w:t>
            </w:r>
            <w:r>
              <w:rPr>
                <w:rFonts w:hint="default" w:ascii="Times New Roman" w:hAnsi="Times New Roman" w:cs="Times New Roman"/>
                <w:color w:val="auto"/>
                <w:sz w:val="21"/>
                <w:highlight w:val="none"/>
              </w:rPr>
              <w:t>对应含颗粒物的废气可行技术为</w:t>
            </w:r>
            <w:r>
              <w:rPr>
                <w:rFonts w:hint="eastAsia" w:cs="Times New Roman"/>
                <w:color w:val="auto"/>
                <w:sz w:val="21"/>
                <w:highlight w:val="none"/>
                <w:lang w:val="en-US" w:eastAsia="zh-CN"/>
              </w:rPr>
              <w:t>布袋除尘法</w:t>
            </w:r>
            <w:r>
              <w:rPr>
                <w:rFonts w:hint="default" w:ascii="Times New Roman" w:hAnsi="Times New Roman" w:cs="Times New Roman"/>
                <w:color w:val="auto"/>
                <w:sz w:val="21"/>
                <w:highlight w:val="none"/>
                <w:lang w:eastAsia="zh-CN"/>
              </w:rPr>
              <w:t>，</w:t>
            </w:r>
            <w:r>
              <w:rPr>
                <w:rFonts w:hint="default" w:ascii="Times New Roman" w:hAnsi="Times New Roman" w:cs="Times New Roman"/>
                <w:color w:val="auto"/>
                <w:sz w:val="21"/>
                <w:highlight w:val="none"/>
                <w:lang w:val="en-US" w:eastAsia="zh-CN"/>
              </w:rPr>
              <w:t>因此，本</w:t>
            </w:r>
            <w:r>
              <w:rPr>
                <w:rFonts w:hint="default" w:ascii="Times New Roman" w:hAnsi="Times New Roman" w:cs="Times New Roman"/>
                <w:color w:val="auto"/>
                <w:sz w:val="21"/>
                <w:highlight w:val="none"/>
                <w:lang w:eastAsia="zh-CN"/>
              </w:rPr>
              <w:t>项目使用</w:t>
            </w:r>
            <w:r>
              <w:rPr>
                <w:rFonts w:hint="default" w:ascii="Times New Roman" w:hAnsi="Times New Roman" w:cs="Times New Roman"/>
                <w:color w:val="auto"/>
                <w:sz w:val="21"/>
                <w:highlight w:val="none"/>
                <w:lang w:val="en-US" w:eastAsia="zh-CN"/>
              </w:rPr>
              <w:t>布袋除尘器</w:t>
            </w:r>
            <w:r>
              <w:rPr>
                <w:rFonts w:hint="default" w:ascii="Times New Roman" w:hAnsi="Times New Roman" w:cs="Times New Roman"/>
                <w:color w:val="auto"/>
                <w:sz w:val="21"/>
                <w:highlight w:val="none"/>
                <w:lang w:eastAsia="zh-CN"/>
              </w:rPr>
              <w:t>是可行技术</w:t>
            </w:r>
            <w:r>
              <w:rPr>
                <w:rFonts w:hint="eastAsia"/>
                <w:color w:val="auto"/>
                <w:sz w:val="21"/>
                <w:szCs w:val="21"/>
                <w:highlight w:val="none"/>
                <w:lang w:eastAsia="zh-CN"/>
              </w:rPr>
              <w:t>。</w:t>
            </w:r>
          </w:p>
          <w:p w14:paraId="20B8F9A7">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color w:val="auto"/>
                <w:sz w:val="21"/>
                <w:szCs w:val="21"/>
                <w:highlight w:val="none"/>
                <w:lang w:val="en-US" w:eastAsia="zh-CN"/>
              </w:rPr>
            </w:pPr>
            <w:r>
              <w:rPr>
                <w:rFonts w:hint="eastAsia" w:cs="Times New Roman"/>
                <w:color w:val="auto"/>
                <w:sz w:val="21"/>
                <w:highlight w:val="none"/>
                <w:lang w:val="en-US" w:eastAsia="zh-CN"/>
              </w:rPr>
              <w:t>本项目</w:t>
            </w:r>
            <w:r>
              <w:rPr>
                <w:rFonts w:hint="eastAsia" w:cs="Times New Roman"/>
                <w:bCs/>
                <w:color w:val="auto"/>
                <w:highlight w:val="none"/>
                <w:lang w:val="en-US" w:eastAsia="zh-CN"/>
              </w:rPr>
              <w:t>烧制工序天然气燃烧产生的NOx经SNCR脱硝处理后</w:t>
            </w:r>
            <w:r>
              <w:rPr>
                <w:rFonts w:hint="eastAsia" w:cs="Times New Roman"/>
                <w:bCs/>
                <w:color w:val="auto"/>
                <w:highlight w:val="none"/>
                <w:lang w:eastAsia="zh-CN"/>
              </w:rPr>
              <w:t>经</w:t>
            </w:r>
            <w:r>
              <w:rPr>
                <w:rFonts w:hint="eastAsia" w:cs="Times New Roman"/>
                <w:bCs/>
                <w:color w:val="auto"/>
                <w:highlight w:val="none"/>
                <w:lang w:val="en-US" w:eastAsia="zh-CN"/>
              </w:rPr>
              <w:t>15m高排气筒（DA001）</w:t>
            </w:r>
            <w:r>
              <w:rPr>
                <w:rFonts w:hint="eastAsia" w:cs="Times New Roman"/>
                <w:bCs/>
                <w:color w:val="auto"/>
                <w:highlight w:val="none"/>
                <w:lang w:eastAsia="zh-CN"/>
              </w:rPr>
              <w:t>排放，</w:t>
            </w:r>
            <w:r>
              <w:rPr>
                <w:rFonts w:hint="eastAsia" w:cs="Times New Roman"/>
                <w:bCs/>
                <w:color w:val="auto"/>
                <w:highlight w:val="none"/>
                <w:lang w:val="en-US" w:eastAsia="zh-CN"/>
              </w:rPr>
              <w:t>参照《排污许可证申请与核发技术规范 陶瓷砖瓦工业》(HJ954-2018)表28废气污染防治可行技术中窑炉氮氧化物的废气可行技术为清洁燃料使用、低氮燃烧技术、其他组合降氮技术，本项目使用天然气为清洁燃料，且使用SNCR脱硝处理氮氧化物，属于可行技术。</w:t>
            </w:r>
          </w:p>
          <w:p w14:paraId="63781F1D">
            <w:pPr>
              <w:keepNext w:val="0"/>
              <w:keepLines w:val="0"/>
              <w:pageBreakBefore w:val="0"/>
              <w:widowControl w:val="0"/>
              <w:kinsoku/>
              <w:overflowPunct/>
              <w:topLinePunct w:val="0"/>
              <w:autoSpaceDE w:val="0"/>
              <w:autoSpaceDN w:val="0"/>
              <w:bidi w:val="0"/>
              <w:adjustRightInd w:val="0"/>
              <w:spacing w:line="360" w:lineRule="auto"/>
              <w:ind w:firstLine="422" w:firstLineChars="200"/>
              <w:jc w:val="left"/>
              <w:textAlignment w:val="auto"/>
              <w:rPr>
                <w:rFonts w:hint="default" w:ascii="Times New Roman" w:hAnsi="Times New Roman" w:cs="Times New Roman"/>
                <w:b/>
                <w:bCs w:val="0"/>
                <w:color w:val="auto"/>
                <w:sz w:val="21"/>
                <w:szCs w:val="21"/>
                <w:highlight w:val="none"/>
              </w:rPr>
            </w:pPr>
            <w:r>
              <w:rPr>
                <w:rFonts w:hint="eastAsia"/>
                <w:b/>
                <w:bCs/>
                <w:color w:val="auto"/>
                <w:highlight w:val="none"/>
                <w:lang w:val="en-US" w:eastAsia="zh-CN"/>
              </w:rPr>
              <w:t>3、</w:t>
            </w:r>
            <w:r>
              <w:rPr>
                <w:rFonts w:hint="default" w:ascii="Times New Roman" w:hAnsi="Times New Roman" w:cs="Times New Roman"/>
                <w:b/>
                <w:bCs w:val="0"/>
                <w:color w:val="auto"/>
                <w:sz w:val="21"/>
                <w:szCs w:val="21"/>
                <w:highlight w:val="none"/>
              </w:rPr>
              <w:t>排气筒内径</w:t>
            </w:r>
          </w:p>
          <w:p w14:paraId="3F3C6D7A">
            <w:pPr>
              <w:pStyle w:val="2"/>
              <w:keepNext w:val="0"/>
              <w:keepLines w:val="0"/>
              <w:pageBreakBefore w:val="0"/>
              <w:widowControl w:val="0"/>
              <w:kinsoku/>
              <w:wordWrap w:val="0"/>
              <w:overflowPunct/>
              <w:topLinePunct w:val="0"/>
              <w:bidi w:val="0"/>
              <w:spacing w:after="0" w:line="360" w:lineRule="auto"/>
              <w:ind w:left="0" w:leftChars="0"/>
              <w:jc w:val="both"/>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根据《大气污染治理工程技术导则》（HJ2000-2010），排气筒的出口直径应根据出口流速确定，流速宜取15m/s</w:t>
            </w:r>
            <w:r>
              <w:rPr>
                <w:rFonts w:hint="default"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m/s左右</w:t>
            </w:r>
            <w:r>
              <w:rPr>
                <w:rFonts w:hint="default" w:ascii="Times New Roman" w:hAnsi="Times New Roman" w:cs="Times New Roman"/>
                <w:color w:val="auto"/>
                <w:sz w:val="21"/>
                <w:szCs w:val="21"/>
                <w:highlight w:val="none"/>
                <w:lang w:eastAsia="zh-CN"/>
              </w:rPr>
              <w:t>。</w:t>
            </w:r>
          </w:p>
          <w:p w14:paraId="687F8A16">
            <w:pPr>
              <w:spacing w:line="360" w:lineRule="auto"/>
              <w:ind w:firstLine="420" w:firstLineChars="200"/>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w:t>
            </w:r>
            <w:r>
              <w:rPr>
                <w:rFonts w:hint="default" w:ascii="Times New Roman" w:hAnsi="Times New Roman" w:eastAsia="宋体" w:cs="Times New Roman"/>
                <w:color w:val="auto"/>
                <w:sz w:val="21"/>
                <w:szCs w:val="21"/>
                <w:highlight w:val="none"/>
                <w:lang w:val="en-US" w:eastAsia="zh-CN"/>
              </w:rPr>
              <w:t>排气筒配套风机最大风量为</w:t>
            </w:r>
            <w:r>
              <w:rPr>
                <w:rFonts w:hint="eastAsia" w:cs="Times New Roman"/>
                <w:color w:val="auto"/>
                <w:sz w:val="21"/>
                <w:szCs w:val="21"/>
                <w:highlight w:val="none"/>
                <w:lang w:val="en-US" w:eastAsia="zh-CN"/>
              </w:rPr>
              <w:t>2000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/h</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出口流速</w:t>
            </w:r>
            <w:r>
              <w:rPr>
                <w:rFonts w:hint="default" w:ascii="Times New Roman" w:hAnsi="Times New Roman" w:cs="Times New Roman"/>
                <w:color w:val="auto"/>
                <w:sz w:val="21"/>
                <w:szCs w:val="21"/>
                <w:highlight w:val="none"/>
              </w:rPr>
              <w:t>按照</w:t>
            </w:r>
            <w:r>
              <w:rPr>
                <w:rFonts w:hint="eastAsia"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m/s设计，则</w:t>
            </w:r>
            <w:r>
              <w:rPr>
                <w:rFonts w:hint="default" w:ascii="Times New Roman" w:hAnsi="Times New Roman" w:cs="Times New Roman"/>
                <w:color w:val="auto"/>
                <w:sz w:val="21"/>
                <w:szCs w:val="21"/>
                <w:highlight w:val="none"/>
                <w:lang w:val="en-US" w:eastAsia="zh-CN"/>
              </w:rPr>
              <w:t>DA001</w:t>
            </w:r>
            <w:r>
              <w:rPr>
                <w:rFonts w:hint="default" w:ascii="Times New Roman" w:hAnsi="Times New Roman" w:cs="Times New Roman"/>
                <w:color w:val="auto"/>
                <w:sz w:val="21"/>
                <w:szCs w:val="21"/>
                <w:highlight w:val="none"/>
              </w:rPr>
              <w:t>排气筒内径</w:t>
            </w:r>
            <w:r>
              <w:rPr>
                <w:rFonts w:hint="eastAsia" w:ascii="Times New Roman" w:hAnsi="Times New Roman" w:eastAsia="宋体" w:cs="Times New Roman"/>
                <w:color w:val="auto"/>
                <w:sz w:val="21"/>
                <w:szCs w:val="21"/>
                <w:highlight w:val="none"/>
                <w:lang w:val="en-US" w:eastAsia="zh-CN"/>
              </w:rPr>
              <w:t>最小取</w:t>
            </w:r>
            <w:r>
              <w:rPr>
                <w:rFonts w:hint="default" w:ascii="Times New Roman" w:hAnsi="Times New Roman" w:cs="Times New Roman"/>
                <w:color w:val="auto"/>
                <w:sz w:val="21"/>
                <w:szCs w:val="21"/>
                <w:highlight w:val="none"/>
              </w:rPr>
              <w:t>0.</w:t>
            </w:r>
            <w:r>
              <w:rPr>
                <w:rFonts w:hint="eastAsia" w:cs="Times New Roman"/>
                <w:color w:val="auto"/>
                <w:sz w:val="21"/>
                <w:szCs w:val="21"/>
                <w:highlight w:val="none"/>
                <w:lang w:val="en-US" w:eastAsia="zh-CN"/>
              </w:rPr>
              <w:t>22</w:t>
            </w:r>
            <w:r>
              <w:rPr>
                <w:rFonts w:hint="default"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本项目拟设置</w:t>
            </w:r>
            <w:r>
              <w:rPr>
                <w:rFonts w:hint="default" w:ascii="Times New Roman" w:hAnsi="Times New Roman" w:cs="Times New Roman"/>
                <w:color w:val="auto"/>
                <w:sz w:val="21"/>
                <w:szCs w:val="21"/>
                <w:highlight w:val="none"/>
              </w:rPr>
              <w:t>排气筒内径</w:t>
            </w:r>
            <w:r>
              <w:rPr>
                <w:rFonts w:hint="eastAsia" w:ascii="Times New Roman" w:hAnsi="Times New Roman" w:cs="Times New Roman"/>
                <w:color w:val="auto"/>
                <w:sz w:val="21"/>
                <w:szCs w:val="21"/>
                <w:highlight w:val="none"/>
                <w:lang w:val="en-US" w:eastAsia="zh-CN"/>
              </w:rPr>
              <w:t>为0.</w:t>
            </w:r>
            <w:r>
              <w:rPr>
                <w:rFonts w:hint="eastAsia" w:cs="Times New Roman"/>
                <w:color w:val="auto"/>
                <w:sz w:val="21"/>
                <w:szCs w:val="21"/>
                <w:highlight w:val="none"/>
                <w:lang w:val="en-US" w:eastAsia="zh-CN"/>
              </w:rPr>
              <w:t>3</w:t>
            </w:r>
            <w:r>
              <w:rPr>
                <w:rFonts w:hint="eastAsia" w:ascii="Times New Roman" w:hAnsi="Times New Roman" w:cs="Times New Roman"/>
                <w:color w:val="auto"/>
                <w:sz w:val="21"/>
                <w:szCs w:val="21"/>
                <w:highlight w:val="none"/>
                <w:lang w:val="en-US" w:eastAsia="zh-CN"/>
              </w:rPr>
              <w:t>m，可满足要求</w:t>
            </w:r>
            <w:r>
              <w:rPr>
                <w:rFonts w:hint="eastAsia" w:cs="Times New Roman"/>
                <w:color w:val="auto"/>
                <w:sz w:val="21"/>
                <w:szCs w:val="21"/>
                <w:highlight w:val="none"/>
                <w:lang w:val="en-US" w:eastAsia="zh-CN"/>
              </w:rPr>
              <w:t>。</w:t>
            </w:r>
          </w:p>
          <w:p w14:paraId="409FFFC5">
            <w:pPr>
              <w:spacing w:line="360" w:lineRule="auto"/>
              <w:ind w:firstLine="420" w:firstLineChars="200"/>
              <w:rPr>
                <w:rFonts w:hint="default" w:eastAsia="宋体"/>
                <w:b/>
                <w:bCs/>
                <w:color w:val="auto"/>
                <w:highlight w:val="none"/>
                <w:lang w:val="en-US" w:eastAsia="zh-CN"/>
              </w:rPr>
            </w:pPr>
            <w:r>
              <w:rPr>
                <w:rFonts w:hint="default" w:ascii="Times New Roman" w:hAnsi="Times New Roman" w:cs="Times New Roman"/>
                <w:color w:val="auto"/>
                <w:sz w:val="21"/>
                <w:szCs w:val="21"/>
                <w:highlight w:val="none"/>
                <w:lang w:val="en-US" w:eastAsia="zh-CN"/>
              </w:rPr>
              <w:t>DA00</w:t>
            </w:r>
            <w:r>
              <w:rPr>
                <w:rFonts w:hint="eastAsia"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排气筒配套风机最大风量为</w:t>
            </w:r>
            <w:r>
              <w:rPr>
                <w:rFonts w:hint="eastAsia" w:cs="Times New Roman"/>
                <w:color w:val="auto"/>
                <w:sz w:val="21"/>
                <w:szCs w:val="21"/>
                <w:highlight w:val="none"/>
                <w:lang w:val="en-US" w:eastAsia="zh-CN"/>
              </w:rPr>
              <w:t>6000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/h</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出口流速</w:t>
            </w:r>
            <w:r>
              <w:rPr>
                <w:rFonts w:hint="default" w:ascii="Times New Roman" w:hAnsi="Times New Roman" w:cs="Times New Roman"/>
                <w:color w:val="auto"/>
                <w:sz w:val="21"/>
                <w:szCs w:val="21"/>
                <w:highlight w:val="none"/>
              </w:rPr>
              <w:t>按照</w:t>
            </w:r>
            <w:r>
              <w:rPr>
                <w:rFonts w:hint="eastAsia"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m/s设计，则</w:t>
            </w:r>
            <w:r>
              <w:rPr>
                <w:rFonts w:hint="default" w:ascii="Times New Roman" w:hAnsi="Times New Roman" w:cs="Times New Roman"/>
                <w:color w:val="auto"/>
                <w:sz w:val="21"/>
                <w:szCs w:val="21"/>
                <w:highlight w:val="none"/>
                <w:lang w:val="en-US" w:eastAsia="zh-CN"/>
              </w:rPr>
              <w:t>DA001</w:t>
            </w:r>
            <w:r>
              <w:rPr>
                <w:rFonts w:hint="default" w:ascii="Times New Roman" w:hAnsi="Times New Roman" w:cs="Times New Roman"/>
                <w:color w:val="auto"/>
                <w:sz w:val="21"/>
                <w:szCs w:val="21"/>
                <w:highlight w:val="none"/>
              </w:rPr>
              <w:t>排气筒内径</w:t>
            </w:r>
            <w:r>
              <w:rPr>
                <w:rFonts w:hint="eastAsia" w:ascii="Times New Roman" w:hAnsi="Times New Roman" w:eastAsia="宋体" w:cs="Times New Roman"/>
                <w:color w:val="auto"/>
                <w:sz w:val="21"/>
                <w:szCs w:val="21"/>
                <w:highlight w:val="none"/>
                <w:lang w:val="en-US" w:eastAsia="zh-CN"/>
              </w:rPr>
              <w:t>最小取</w:t>
            </w:r>
            <w:r>
              <w:rPr>
                <w:rFonts w:hint="default" w:ascii="Times New Roman" w:hAnsi="Times New Roman" w:cs="Times New Roman"/>
                <w:color w:val="auto"/>
                <w:sz w:val="21"/>
                <w:szCs w:val="21"/>
                <w:highlight w:val="none"/>
              </w:rPr>
              <w:t>0.</w:t>
            </w:r>
            <w:r>
              <w:rPr>
                <w:rFonts w:hint="eastAsia" w:cs="Times New Roman"/>
                <w:color w:val="auto"/>
                <w:sz w:val="21"/>
                <w:szCs w:val="21"/>
                <w:highlight w:val="none"/>
                <w:lang w:val="en-US" w:eastAsia="zh-CN"/>
              </w:rPr>
              <w:t>38</w:t>
            </w:r>
            <w:r>
              <w:rPr>
                <w:rFonts w:hint="default"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本项目拟设置</w:t>
            </w:r>
            <w:r>
              <w:rPr>
                <w:rFonts w:hint="default" w:ascii="Times New Roman" w:hAnsi="Times New Roman" w:cs="Times New Roman"/>
                <w:color w:val="auto"/>
                <w:sz w:val="21"/>
                <w:szCs w:val="21"/>
                <w:highlight w:val="none"/>
              </w:rPr>
              <w:t>排气筒内径</w:t>
            </w:r>
            <w:r>
              <w:rPr>
                <w:rFonts w:hint="eastAsia" w:ascii="Times New Roman" w:hAnsi="Times New Roman" w:cs="Times New Roman"/>
                <w:color w:val="auto"/>
                <w:sz w:val="21"/>
                <w:szCs w:val="21"/>
                <w:highlight w:val="none"/>
                <w:lang w:val="en-US" w:eastAsia="zh-CN"/>
              </w:rPr>
              <w:t>为0.</w:t>
            </w:r>
            <w:r>
              <w:rPr>
                <w:rFonts w:hint="eastAsia" w:cs="Times New Roman"/>
                <w:color w:val="auto"/>
                <w:sz w:val="21"/>
                <w:szCs w:val="21"/>
                <w:highlight w:val="none"/>
                <w:lang w:val="en-US" w:eastAsia="zh-CN"/>
              </w:rPr>
              <w:t>4</w:t>
            </w:r>
            <w:r>
              <w:rPr>
                <w:rFonts w:hint="eastAsia" w:ascii="Times New Roman" w:hAnsi="Times New Roman" w:cs="Times New Roman"/>
                <w:color w:val="auto"/>
                <w:sz w:val="21"/>
                <w:szCs w:val="21"/>
                <w:highlight w:val="none"/>
                <w:lang w:val="en-US" w:eastAsia="zh-CN"/>
              </w:rPr>
              <w:t>m，可满足要求</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w:t>
            </w:r>
          </w:p>
          <w:p w14:paraId="2F1B8EE5">
            <w:pPr>
              <w:adjustRightInd w:val="0"/>
              <w:snapToGrid w:val="0"/>
              <w:spacing w:line="360" w:lineRule="auto"/>
              <w:ind w:firstLine="422" w:firstLineChars="200"/>
              <w:rPr>
                <w:b/>
                <w:bCs/>
                <w:color w:val="auto"/>
                <w:highlight w:val="none"/>
              </w:rPr>
            </w:pPr>
            <w:r>
              <w:rPr>
                <w:rFonts w:hint="eastAsia"/>
                <w:b/>
                <w:bCs/>
                <w:color w:val="auto"/>
                <w:highlight w:val="none"/>
                <w:lang w:val="en-US" w:eastAsia="zh-CN"/>
              </w:rPr>
              <w:t>5</w:t>
            </w:r>
            <w:r>
              <w:rPr>
                <w:b/>
                <w:bCs/>
                <w:color w:val="auto"/>
                <w:highlight w:val="none"/>
              </w:rPr>
              <w:t>、结论</w:t>
            </w:r>
          </w:p>
          <w:p w14:paraId="052D1572">
            <w:pPr>
              <w:pStyle w:val="381"/>
              <w:ind w:firstLine="420"/>
              <w:rPr>
                <w:rFonts w:hint="default" w:ascii="Times New Roman" w:hAnsi="Times New Roman" w:cs="Times New Roman"/>
                <w:color w:val="auto"/>
                <w:sz w:val="21"/>
                <w:szCs w:val="21"/>
                <w:highlight w:val="none"/>
              </w:rPr>
            </w:pPr>
            <w:r>
              <w:rPr>
                <w:color w:val="auto"/>
                <w:kern w:val="24"/>
                <w:sz w:val="21"/>
                <w:highlight w:val="none"/>
                <w:lang w:bidi="ar"/>
              </w:rPr>
              <w:t>该项目所在</w:t>
            </w:r>
            <w:r>
              <w:rPr>
                <w:rFonts w:hint="eastAsia"/>
                <w:color w:val="auto"/>
                <w:kern w:val="24"/>
                <w:sz w:val="21"/>
                <w:highlight w:val="none"/>
                <w:lang w:eastAsia="zh-CN" w:bidi="ar"/>
              </w:rPr>
              <w:t>经开</w:t>
            </w:r>
            <w:r>
              <w:rPr>
                <w:color w:val="auto"/>
                <w:kern w:val="24"/>
                <w:sz w:val="21"/>
                <w:highlight w:val="none"/>
                <w:lang w:bidi="ar"/>
              </w:rPr>
              <w:t>区属于不</w:t>
            </w:r>
            <w:r>
              <w:rPr>
                <w:rFonts w:hint="default" w:ascii="Times New Roman" w:hAnsi="Times New Roman" w:cs="Times New Roman"/>
                <w:color w:val="auto"/>
                <w:kern w:val="24"/>
                <w:sz w:val="21"/>
                <w:szCs w:val="21"/>
                <w:highlight w:val="none"/>
                <w:lang w:bidi="ar"/>
              </w:rPr>
              <w:t>达标区域。</w:t>
            </w:r>
            <w:r>
              <w:rPr>
                <w:rFonts w:hint="default" w:ascii="Times New Roman" w:hAnsi="Times New Roman" w:cs="Times New Roman"/>
                <w:color w:val="auto"/>
                <w:sz w:val="21"/>
                <w:szCs w:val="21"/>
                <w:highlight w:val="none"/>
              </w:rPr>
              <w:t>经AERSCREEN模式</w:t>
            </w:r>
            <w:r>
              <w:rPr>
                <w:rFonts w:hint="default" w:ascii="Times New Roman" w:hAnsi="Times New Roman" w:cs="Times New Roman"/>
                <w:color w:val="auto"/>
                <w:sz w:val="21"/>
                <w:szCs w:val="21"/>
                <w:highlight w:val="none"/>
                <w:lang w:val="en-US"/>
              </w:rPr>
              <w:t>估算</w:t>
            </w:r>
            <w:r>
              <w:rPr>
                <w:rFonts w:hint="default" w:ascii="Times New Roman" w:hAnsi="Times New Roman" w:cs="Times New Roman"/>
                <w:color w:val="auto"/>
                <w:sz w:val="21"/>
                <w:szCs w:val="21"/>
                <w:highlight w:val="none"/>
              </w:rPr>
              <w:t>可知，厂界无组织颗粒物排放浓度满足《大气污染物综合排放标准》（GB16297-1996）表2新污染源大气污染物排放限值中周界外浓度最高点限值要求（颗粒物1.0mg/m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eastAsia" w:hAnsi="宋体"/>
                <w:color w:val="auto"/>
                <w:sz w:val="21"/>
                <w:szCs w:val="21"/>
                <w:highlight w:val="none"/>
                <w:lang w:eastAsia="zh-CN"/>
              </w:rPr>
              <w:t>。</w:t>
            </w:r>
          </w:p>
          <w:p w14:paraId="06343FA8">
            <w:pPr>
              <w:adjustRightInd w:val="0"/>
              <w:snapToGrid w:val="0"/>
              <w:spacing w:line="360" w:lineRule="auto"/>
              <w:ind w:firstLine="420" w:firstLineChars="200"/>
              <w:rPr>
                <w:rFonts w:eastAsiaTheme="minorEastAsia"/>
                <w:color w:val="auto"/>
              </w:rPr>
            </w:pPr>
            <w:r>
              <w:rPr>
                <w:rFonts w:hint="eastAsia" w:eastAsiaTheme="minorEastAsia"/>
                <w:color w:val="auto"/>
                <w:highlight w:val="none"/>
                <w:lang w:val="en-US" w:eastAsia="zh-CN"/>
              </w:rPr>
              <w:t>本项目完成后</w:t>
            </w:r>
            <w:r>
              <w:rPr>
                <w:rFonts w:hint="eastAsia" w:eastAsiaTheme="minorEastAsia"/>
                <w:color w:val="auto"/>
                <w:sz w:val="21"/>
                <w:szCs w:val="21"/>
                <w:highlight w:val="none"/>
                <w:lang w:val="en-US" w:eastAsia="zh-CN"/>
              </w:rPr>
              <w:t>，</w:t>
            </w:r>
            <w:r>
              <w:rPr>
                <w:rFonts w:hint="default" w:ascii="Times New Roman" w:hAnsi="Times New Roman" w:cs="Times New Roman"/>
                <w:color w:val="auto"/>
                <w:sz w:val="21"/>
                <w:highlight w:val="none"/>
                <w:lang w:val="en-US" w:eastAsia="zh-CN"/>
              </w:rPr>
              <w:t>DA001排气筒</w:t>
            </w:r>
            <w:r>
              <w:rPr>
                <w:rFonts w:hint="eastAsia" w:cs="Times New Roman"/>
                <w:color w:val="auto"/>
                <w:sz w:val="21"/>
                <w:highlight w:val="none"/>
                <w:lang w:val="en-US" w:eastAsia="zh-CN"/>
              </w:rPr>
              <w:t>颗粒物、二氧化硫、氮氧化物</w:t>
            </w:r>
            <w:r>
              <w:rPr>
                <w:rFonts w:hint="default" w:ascii="Times New Roman" w:hAnsi="Times New Roman" w:cs="Times New Roman"/>
                <w:color w:val="auto"/>
                <w:szCs w:val="16"/>
                <w:highlight w:val="none"/>
              </w:rPr>
              <w:t>满足</w:t>
            </w:r>
            <w:r>
              <w:rPr>
                <w:rFonts w:hint="default" w:ascii="Times New Roman" w:hAnsi="Times New Roman" w:cs="Times New Roman"/>
                <w:color w:val="auto"/>
                <w:sz w:val="21"/>
                <w:szCs w:val="21"/>
                <w:highlight w:val="none"/>
              </w:rPr>
              <w:t>《区域性大气污染物综合排放标准》（DB37/2376-2019）表1中“重点控制区”标准限值（</w:t>
            </w:r>
            <w:r>
              <w:rPr>
                <w:rFonts w:hint="default" w:ascii="Times New Roman" w:hAnsi="Times New Roman" w:eastAsia="宋体" w:cs="Times New Roman"/>
                <w:color w:val="auto"/>
                <w:spacing w:val="0"/>
                <w:sz w:val="21"/>
                <w:szCs w:val="21"/>
                <w:highlight w:val="none"/>
                <w:lang w:val="en-US" w:eastAsia="zh-CN"/>
              </w:rPr>
              <w:t>颗粒物</w:t>
            </w:r>
            <w:r>
              <w:rPr>
                <w:rFonts w:hint="default" w:ascii="Times New Roman" w:hAnsi="Times New Roman" w:eastAsia="宋体" w:cs="Times New Roman"/>
                <w:color w:val="auto"/>
                <w:spacing w:val="0"/>
                <w:sz w:val="21"/>
                <w:szCs w:val="21"/>
                <w:highlight w:val="none"/>
              </w:rPr>
              <w:t>10mg/m</w:t>
            </w:r>
            <w:r>
              <w:rPr>
                <w:rFonts w:hint="default" w:ascii="Times New Roman" w:hAnsi="Times New Roman" w:eastAsia="宋体" w:cs="Times New Roman"/>
                <w:color w:val="auto"/>
                <w:spacing w:val="0"/>
                <w:sz w:val="21"/>
                <w:szCs w:val="21"/>
                <w:highlight w:val="none"/>
                <w:vertAlign w:val="superscript"/>
              </w:rPr>
              <w:t>3</w:t>
            </w:r>
            <w:r>
              <w:rPr>
                <w:rFonts w:hint="default" w:ascii="Times New Roman" w:hAnsi="Times New Roman" w:eastAsia="宋体" w:cs="Times New Roman"/>
                <w:color w:val="auto"/>
                <w:spacing w:val="0"/>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vertAlign w:val="baseline"/>
                <w:lang w:val="en-US" w:eastAsia="zh-CN"/>
              </w:rPr>
              <w:t>二氧化硫50mg/m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vertAlign w:val="baseline"/>
                <w:lang w:val="en-US" w:eastAsia="zh-CN"/>
              </w:rPr>
              <w:t>、氮氧化物100mg/m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w:t>
            </w:r>
            <w:r>
              <w:rPr>
                <w:color w:val="auto"/>
                <w:highlight w:val="none"/>
              </w:rPr>
              <w:t>氨</w:t>
            </w:r>
            <w:r>
              <w:rPr>
                <w:rFonts w:hint="eastAsia"/>
                <w:color w:val="auto"/>
                <w:highlight w:val="none"/>
                <w:lang w:eastAsia="zh-CN"/>
              </w:rPr>
              <w:t>、</w:t>
            </w:r>
            <w:r>
              <w:rPr>
                <w:rFonts w:hint="eastAsia"/>
                <w:color w:val="auto"/>
                <w:highlight w:val="none"/>
                <w:lang w:val="en-US" w:eastAsia="zh-CN"/>
              </w:rPr>
              <w:t>臭气浓度</w:t>
            </w:r>
            <w:r>
              <w:rPr>
                <w:color w:val="auto"/>
                <w:highlight w:val="none"/>
              </w:rPr>
              <w:t>有组织排放执行《恶臭污染物排放标准》（GB14554-93）表2中标准（</w:t>
            </w:r>
            <w:r>
              <w:rPr>
                <w:rFonts w:hint="eastAsia"/>
                <w:color w:val="auto"/>
                <w:highlight w:val="none"/>
                <w:lang w:val="en-US" w:eastAsia="zh-CN"/>
              </w:rPr>
              <w:t>15</w:t>
            </w:r>
            <w:r>
              <w:rPr>
                <w:color w:val="auto"/>
                <w:highlight w:val="none"/>
              </w:rPr>
              <w:t>m排气筒，</w:t>
            </w:r>
            <w:r>
              <w:rPr>
                <w:rFonts w:hint="eastAsia"/>
                <w:color w:val="auto"/>
                <w:highlight w:val="none"/>
                <w:lang w:val="en-US" w:eastAsia="zh-CN"/>
              </w:rPr>
              <w:t>氨4.9</w:t>
            </w:r>
            <w:r>
              <w:rPr>
                <w:color w:val="auto"/>
                <w:highlight w:val="none"/>
              </w:rPr>
              <w:t>kg/h</w:t>
            </w:r>
            <w:r>
              <w:rPr>
                <w:rFonts w:hint="eastAsia"/>
                <w:color w:val="auto"/>
                <w:highlight w:val="none"/>
                <w:lang w:eastAsia="zh-CN"/>
              </w:rPr>
              <w:t>；</w:t>
            </w:r>
            <w:r>
              <w:rPr>
                <w:rFonts w:hint="eastAsia"/>
                <w:color w:val="auto"/>
                <w:highlight w:val="none"/>
                <w:lang w:val="en-US" w:eastAsia="zh-CN"/>
              </w:rPr>
              <w:t>臭气浓度2000无量纲</w:t>
            </w:r>
            <w:r>
              <w:rPr>
                <w:color w:val="auto"/>
                <w:highlight w:val="none"/>
              </w:rPr>
              <w:t>）</w:t>
            </w:r>
            <w:r>
              <w:rPr>
                <w:rFonts w:hint="eastAsia"/>
                <w:color w:val="auto"/>
                <w:highlight w:val="none"/>
                <w:lang w:eastAsia="zh-CN"/>
              </w:rPr>
              <w:t>；</w:t>
            </w:r>
            <w:r>
              <w:rPr>
                <w:rFonts w:hint="eastAsia" w:cs="Times New Roman"/>
                <w:color w:val="auto"/>
                <w:sz w:val="21"/>
                <w:highlight w:val="none"/>
                <w:lang w:val="en-US" w:eastAsia="zh-CN"/>
              </w:rPr>
              <w:t>DA002排气筒</w:t>
            </w:r>
            <w:r>
              <w:rPr>
                <w:rFonts w:hint="default" w:ascii="Times New Roman" w:hAnsi="Times New Roman" w:cs="Times New Roman"/>
                <w:color w:val="auto"/>
                <w:sz w:val="21"/>
                <w:highlight w:val="none"/>
              </w:rPr>
              <w:t>颗粒物</w:t>
            </w:r>
            <w:r>
              <w:rPr>
                <w:rFonts w:hint="default" w:ascii="Times New Roman" w:hAnsi="Times New Roman" w:cs="Times New Roman"/>
                <w:color w:val="auto"/>
                <w:sz w:val="21"/>
                <w:highlight w:val="none"/>
                <w:lang w:val="en-US" w:eastAsia="zh-CN"/>
              </w:rPr>
              <w:t>有组织排放浓度</w:t>
            </w:r>
            <w:r>
              <w:rPr>
                <w:rFonts w:hint="default" w:ascii="Times New Roman" w:hAnsi="Times New Roman" w:cs="Times New Roman"/>
                <w:color w:val="auto"/>
                <w:kern w:val="0"/>
                <w:sz w:val="21"/>
                <w:szCs w:val="21"/>
                <w:highlight w:val="none"/>
                <w:lang w:bidi="ar"/>
              </w:rPr>
              <w:t>满足</w:t>
            </w:r>
            <w:r>
              <w:rPr>
                <w:rFonts w:hint="default" w:ascii="Times New Roman" w:hAnsi="Times New Roman" w:cs="Times New Roman"/>
                <w:color w:val="auto"/>
                <w:sz w:val="21"/>
                <w:szCs w:val="21"/>
                <w:highlight w:val="none"/>
              </w:rPr>
              <w:t>《区域性大气污染物综合排放标准》（DB37/2376-2019）表1中“重点控制区”标准限值（颗粒物10mg/m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eastAsia" w:cs="Times New Roman"/>
                <w:color w:val="auto"/>
                <w:spacing w:val="6"/>
                <w:sz w:val="21"/>
                <w:szCs w:val="21"/>
                <w:highlight w:val="none"/>
                <w:lang w:val="en-US" w:eastAsia="zh-CN"/>
              </w:rPr>
              <w:t>。</w:t>
            </w:r>
          </w:p>
          <w:p w14:paraId="283E0EEC">
            <w:pPr>
              <w:adjustRightInd w:val="0"/>
              <w:snapToGrid w:val="0"/>
              <w:spacing w:line="360" w:lineRule="auto"/>
              <w:ind w:firstLine="420" w:firstLineChars="200"/>
              <w:rPr>
                <w:rFonts w:hint="eastAsia" w:eastAsia="宋体"/>
                <w:b/>
                <w:bCs/>
                <w:color w:val="auto"/>
                <w:lang w:eastAsia="zh-CN"/>
              </w:rPr>
            </w:pPr>
            <w:r>
              <w:rPr>
                <w:color w:val="auto"/>
              </w:rPr>
              <w:t>经上文分析，本项目有组织废气和无组织废气均能达标排放，污染物最大落地浓度较小，均满足相应的环境质量标准，在落实污染物治理方案后，对大气环境和周围敏感点的影响较小</w:t>
            </w:r>
            <w:r>
              <w:rPr>
                <w:rFonts w:hint="eastAsia"/>
                <w:color w:val="auto"/>
                <w:lang w:eastAsia="zh-CN"/>
              </w:rPr>
              <w:t>。</w:t>
            </w:r>
          </w:p>
          <w:p w14:paraId="459F62B7">
            <w:pPr>
              <w:adjustRightInd w:val="0"/>
              <w:snapToGrid w:val="0"/>
              <w:spacing w:line="360" w:lineRule="auto"/>
              <w:ind w:firstLine="422" w:firstLineChars="200"/>
              <w:rPr>
                <w:b/>
                <w:bCs/>
                <w:color w:val="auto"/>
                <w:highlight w:val="none"/>
              </w:rPr>
            </w:pPr>
            <w:r>
              <w:rPr>
                <w:rFonts w:hint="eastAsia"/>
                <w:b/>
                <w:bCs/>
                <w:color w:val="auto"/>
                <w:highlight w:val="none"/>
                <w:lang w:val="en-US" w:eastAsia="zh-CN"/>
              </w:rPr>
              <w:t>6</w:t>
            </w:r>
            <w:r>
              <w:rPr>
                <w:b/>
                <w:bCs/>
                <w:color w:val="auto"/>
                <w:highlight w:val="none"/>
              </w:rPr>
              <w:t>、非正常工况分析</w:t>
            </w:r>
          </w:p>
          <w:p w14:paraId="54D22835">
            <w:pPr>
              <w:adjustRightInd w:val="0"/>
              <w:snapToGrid w:val="0"/>
              <w:spacing w:line="360" w:lineRule="auto"/>
              <w:ind w:firstLine="420" w:firstLineChars="200"/>
              <w:rPr>
                <w:color w:val="auto"/>
                <w:highlight w:val="none"/>
              </w:rPr>
            </w:pPr>
            <w:r>
              <w:rPr>
                <w:color w:val="auto"/>
                <w:highlight w:val="none"/>
              </w:rPr>
              <w:t>非正常工况是指工艺运行中所有生产运行技术参数未达到设计范围的情况。包括生产运行阶段的开停车、检修，工艺设备的运转异常、污染物排放控制措施达不到应有的效率、一般性事故和泄漏，以及发生严重的环境事故等。</w:t>
            </w:r>
          </w:p>
          <w:p w14:paraId="735B8D02">
            <w:pPr>
              <w:adjustRightInd w:val="0"/>
              <w:snapToGrid w:val="0"/>
              <w:spacing w:line="360" w:lineRule="auto"/>
              <w:ind w:firstLine="420" w:firstLineChars="200"/>
              <w:rPr>
                <w:color w:val="auto"/>
                <w:highlight w:val="none"/>
              </w:rPr>
            </w:pPr>
            <w:r>
              <w:rPr>
                <w:rFonts w:hint="eastAsia"/>
                <w:color w:val="auto"/>
                <w:highlight w:val="none"/>
                <w:lang w:eastAsia="zh-CN"/>
              </w:rPr>
              <w:t>本项目</w:t>
            </w:r>
            <w:r>
              <w:rPr>
                <w:color w:val="auto"/>
                <w:highlight w:val="none"/>
              </w:rPr>
              <w:t>非正常工况主要为废气处理设备运转失灵</w:t>
            </w:r>
            <w:r>
              <w:rPr>
                <w:rFonts w:hint="eastAsia"/>
                <w:color w:val="auto"/>
                <w:highlight w:val="none"/>
                <w:lang w:eastAsia="zh-CN"/>
              </w:rPr>
              <w:t>，处理效率为</w:t>
            </w:r>
            <w:r>
              <w:rPr>
                <w:rFonts w:hint="eastAsia"/>
                <w:color w:val="auto"/>
                <w:highlight w:val="none"/>
                <w:lang w:val="en-US" w:eastAsia="zh-CN"/>
              </w:rPr>
              <w:t>0，</w:t>
            </w:r>
            <w:r>
              <w:rPr>
                <w:color w:val="auto"/>
                <w:highlight w:val="none"/>
              </w:rPr>
              <w:t>导致大气污染物直接排放。非正常工况废气排放源强见下表：</w:t>
            </w:r>
          </w:p>
          <w:p w14:paraId="7D5BFD26">
            <w:pPr>
              <w:adjustRightInd w:val="0"/>
              <w:snapToGrid w:val="0"/>
              <w:spacing w:line="360" w:lineRule="auto"/>
              <w:jc w:val="center"/>
              <w:rPr>
                <w:rFonts w:hint="eastAsia" w:eastAsia="宋体"/>
                <w:color w:val="auto"/>
                <w:highlight w:val="none"/>
                <w:lang w:eastAsia="zh-CN"/>
              </w:rPr>
            </w:pPr>
            <w:r>
              <w:rPr>
                <w:b/>
                <w:color w:val="auto"/>
                <w:highlight w:val="none"/>
              </w:rPr>
              <w:t>表4-</w:t>
            </w:r>
            <w:r>
              <w:rPr>
                <w:rFonts w:hint="eastAsia"/>
                <w:b/>
                <w:color w:val="auto"/>
                <w:highlight w:val="none"/>
                <w:lang w:val="en-US" w:eastAsia="zh-CN"/>
              </w:rPr>
              <w:t>8本项目</w:t>
            </w:r>
            <w:r>
              <w:rPr>
                <w:b/>
                <w:color w:val="auto"/>
                <w:highlight w:val="none"/>
              </w:rPr>
              <w:t>非正常工况下污染物排放源强</w:t>
            </w:r>
          </w:p>
          <w:tbl>
            <w:tblPr>
              <w:tblStyle w:val="83"/>
              <w:tblW w:w="83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
              <w:gridCol w:w="986"/>
              <w:gridCol w:w="976"/>
              <w:gridCol w:w="1235"/>
              <w:gridCol w:w="1020"/>
              <w:gridCol w:w="721"/>
              <w:gridCol w:w="783"/>
              <w:gridCol w:w="732"/>
              <w:gridCol w:w="917"/>
            </w:tblGrid>
            <w:tr w14:paraId="30601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dxa"/>
                  <w:vAlign w:val="center"/>
                </w:tcPr>
                <w:p w14:paraId="348E9B29">
                  <w:pPr>
                    <w:pStyle w:val="200"/>
                    <w:spacing w:before="24" w:after="24"/>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污染源</w:t>
                  </w:r>
                </w:p>
              </w:tc>
              <w:tc>
                <w:tcPr>
                  <w:tcW w:w="1014" w:type="dxa"/>
                  <w:vAlign w:val="center"/>
                </w:tcPr>
                <w:p w14:paraId="1EB60353">
                  <w:pPr>
                    <w:pStyle w:val="200"/>
                    <w:spacing w:before="24" w:after="24"/>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非正常排放原因</w:t>
                  </w:r>
                </w:p>
              </w:tc>
              <w:tc>
                <w:tcPr>
                  <w:tcW w:w="1015" w:type="dxa"/>
                  <w:vAlign w:val="center"/>
                </w:tcPr>
                <w:p w14:paraId="5565ADF8">
                  <w:pPr>
                    <w:pStyle w:val="200"/>
                    <w:spacing w:before="24" w:after="24"/>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w:t>
                  </w:r>
                </w:p>
              </w:tc>
              <w:tc>
                <w:tcPr>
                  <w:tcW w:w="1100" w:type="dxa"/>
                  <w:vAlign w:val="center"/>
                </w:tcPr>
                <w:p w14:paraId="38A4A4BF">
                  <w:pPr>
                    <w:pStyle w:val="200"/>
                    <w:spacing w:before="24" w:after="24"/>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排放浓度（mg/m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1000" w:type="dxa"/>
                  <w:vAlign w:val="center"/>
                </w:tcPr>
                <w:p w14:paraId="40CF2D2B">
                  <w:pPr>
                    <w:pStyle w:val="200"/>
                    <w:spacing w:before="24" w:after="24"/>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排放速率（kg/h）</w:t>
                  </w:r>
                </w:p>
              </w:tc>
              <w:tc>
                <w:tcPr>
                  <w:tcW w:w="753" w:type="dxa"/>
                  <w:vAlign w:val="center"/>
                </w:tcPr>
                <w:p w14:paraId="6D471AD7">
                  <w:pPr>
                    <w:pStyle w:val="200"/>
                    <w:spacing w:before="24" w:after="24"/>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单次持续时间/h</w:t>
                  </w:r>
                </w:p>
              </w:tc>
              <w:tc>
                <w:tcPr>
                  <w:tcW w:w="823" w:type="dxa"/>
                  <w:vAlign w:val="center"/>
                </w:tcPr>
                <w:p w14:paraId="7E8C6189">
                  <w:pPr>
                    <w:pStyle w:val="200"/>
                    <w:spacing w:before="24" w:after="24"/>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年发生频次/次</w:t>
                  </w:r>
                </w:p>
              </w:tc>
              <w:tc>
                <w:tcPr>
                  <w:tcW w:w="675" w:type="dxa"/>
                  <w:vAlign w:val="center"/>
                </w:tcPr>
                <w:p w14:paraId="73D6D78E">
                  <w:pPr>
                    <w:pStyle w:val="200"/>
                    <w:spacing w:before="24" w:after="24"/>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eastAsia="zh-CN"/>
                    </w:rPr>
                    <w:t>排放量</w:t>
                  </w:r>
                  <w:r>
                    <w:rPr>
                      <w:rFonts w:hint="default" w:ascii="Times New Roman" w:hAnsi="Times New Roman" w:cs="Times New Roman"/>
                      <w:b/>
                      <w:bCs/>
                      <w:color w:val="auto"/>
                      <w:sz w:val="18"/>
                      <w:szCs w:val="18"/>
                      <w:highlight w:val="none"/>
                      <w:lang w:val="en-US" w:eastAsia="zh-CN"/>
                    </w:rPr>
                    <w:t>kg</w:t>
                  </w:r>
                </w:p>
              </w:tc>
              <w:tc>
                <w:tcPr>
                  <w:tcW w:w="971" w:type="dxa"/>
                  <w:vAlign w:val="center"/>
                </w:tcPr>
                <w:p w14:paraId="57CDA93E">
                  <w:pPr>
                    <w:pStyle w:val="200"/>
                    <w:spacing w:before="24" w:after="24"/>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应对措施</w:t>
                  </w:r>
                </w:p>
              </w:tc>
            </w:tr>
            <w:tr w14:paraId="3545D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7" w:hRule="atLeast"/>
                <w:jc w:val="center"/>
              </w:trPr>
              <w:tc>
                <w:tcPr>
                  <w:tcW w:w="1015" w:type="dxa"/>
                  <w:vMerge w:val="restart"/>
                  <w:vAlign w:val="center"/>
                </w:tcPr>
                <w:p w14:paraId="300CF4DD">
                  <w:pPr>
                    <w:pStyle w:val="200"/>
                    <w:spacing w:before="24" w:after="24"/>
                    <w:rPr>
                      <w:rFonts w:hint="eastAsia"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DA001排气筒</w:t>
                  </w:r>
                </w:p>
              </w:tc>
              <w:tc>
                <w:tcPr>
                  <w:tcW w:w="1014" w:type="dxa"/>
                  <w:vAlign w:val="center"/>
                </w:tcPr>
                <w:p w14:paraId="190BEDC3">
                  <w:pPr>
                    <w:pStyle w:val="200"/>
                    <w:spacing w:before="24" w:after="24"/>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SNCR脱硝设备失灵</w:t>
                  </w:r>
                </w:p>
              </w:tc>
              <w:tc>
                <w:tcPr>
                  <w:tcW w:w="1015" w:type="dxa"/>
                  <w:vAlign w:val="center"/>
                </w:tcPr>
                <w:p w14:paraId="00C874D2">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NOx</w:t>
                  </w:r>
                </w:p>
              </w:tc>
              <w:tc>
                <w:tcPr>
                  <w:tcW w:w="1100" w:type="dxa"/>
                  <w:vAlign w:val="center"/>
                </w:tcPr>
                <w:p w14:paraId="5B3D331A">
                  <w:pPr>
                    <w:keepNext w:val="0"/>
                    <w:keepLines w:val="0"/>
                    <w:widowControl/>
                    <w:suppressLineNumbers w:val="0"/>
                    <w:jc w:val="center"/>
                    <w:textAlignment w:val="center"/>
                    <w:rPr>
                      <w:rFonts w:hint="default"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45.8</w:t>
                  </w:r>
                </w:p>
              </w:tc>
              <w:tc>
                <w:tcPr>
                  <w:tcW w:w="1000" w:type="dxa"/>
                  <w:vAlign w:val="center"/>
                </w:tcPr>
                <w:p w14:paraId="79968FD9">
                  <w:pPr>
                    <w:keepNext w:val="0"/>
                    <w:keepLines w:val="0"/>
                    <w:widowControl/>
                    <w:suppressLineNumbers w:val="0"/>
                    <w:jc w:val="center"/>
                    <w:textAlignment w:val="center"/>
                    <w:rPr>
                      <w:rFonts w:hint="default"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0.09</w:t>
                  </w:r>
                </w:p>
              </w:tc>
              <w:tc>
                <w:tcPr>
                  <w:tcW w:w="753" w:type="dxa"/>
                  <w:shd w:val="clear" w:color="auto" w:fill="auto"/>
                  <w:vAlign w:val="center"/>
                </w:tcPr>
                <w:p w14:paraId="52808861">
                  <w:pPr>
                    <w:pStyle w:val="200"/>
                    <w:spacing w:before="24" w:after="24"/>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cs="Times New Roman"/>
                      <w:color w:val="auto"/>
                      <w:sz w:val="18"/>
                      <w:szCs w:val="18"/>
                      <w:highlight w:val="none"/>
                      <w:lang w:val="en-US" w:eastAsia="zh-CN"/>
                    </w:rPr>
                    <w:t>1</w:t>
                  </w:r>
                </w:p>
              </w:tc>
              <w:tc>
                <w:tcPr>
                  <w:tcW w:w="823" w:type="dxa"/>
                  <w:shd w:val="clear" w:color="auto" w:fill="auto"/>
                  <w:vAlign w:val="center"/>
                </w:tcPr>
                <w:p w14:paraId="2A23C70C">
                  <w:pPr>
                    <w:pStyle w:val="200"/>
                    <w:spacing w:before="24" w:after="24"/>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cs="Times New Roman"/>
                      <w:color w:val="auto"/>
                      <w:sz w:val="18"/>
                      <w:szCs w:val="18"/>
                      <w:highlight w:val="none"/>
                      <w:lang w:val="en-US" w:eastAsia="zh-CN"/>
                    </w:rPr>
                    <w:t>2</w:t>
                  </w:r>
                </w:p>
              </w:tc>
              <w:tc>
                <w:tcPr>
                  <w:tcW w:w="675" w:type="dxa"/>
                  <w:vAlign w:val="center"/>
                </w:tcPr>
                <w:p w14:paraId="1EE6235D">
                  <w:pPr>
                    <w:keepNext w:val="0"/>
                    <w:keepLines w:val="0"/>
                    <w:widowControl/>
                    <w:suppressLineNumbers w:val="0"/>
                    <w:jc w:val="center"/>
                    <w:textAlignment w:val="center"/>
                    <w:rPr>
                      <w:rFonts w:hint="default"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0.18</w:t>
                  </w:r>
                </w:p>
              </w:tc>
              <w:tc>
                <w:tcPr>
                  <w:tcW w:w="971" w:type="dxa"/>
                  <w:vAlign w:val="center"/>
                </w:tcPr>
                <w:p w14:paraId="6E7FAA7D">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立即启动紧急停车装置</w:t>
                  </w:r>
                </w:p>
              </w:tc>
            </w:tr>
            <w:tr w14:paraId="6F78A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5" w:type="dxa"/>
                  <w:vMerge w:val="continue"/>
                  <w:vAlign w:val="center"/>
                </w:tcPr>
                <w:p w14:paraId="5C2BE3DE">
                  <w:pPr>
                    <w:pStyle w:val="200"/>
                    <w:spacing w:before="24" w:after="24"/>
                    <w:rPr>
                      <w:rFonts w:hint="eastAsia" w:ascii="Times New Roman" w:cs="Times New Roman"/>
                      <w:color w:val="auto"/>
                      <w:sz w:val="18"/>
                      <w:szCs w:val="18"/>
                      <w:highlight w:val="none"/>
                      <w:lang w:val="en-US" w:eastAsia="zh-CN"/>
                    </w:rPr>
                  </w:pPr>
                </w:p>
              </w:tc>
              <w:tc>
                <w:tcPr>
                  <w:tcW w:w="1014" w:type="dxa"/>
                  <w:vAlign w:val="center"/>
                </w:tcPr>
                <w:p w14:paraId="20771444">
                  <w:pPr>
                    <w:pStyle w:val="200"/>
                    <w:spacing w:before="24" w:after="24"/>
                    <w:rPr>
                      <w:rFonts w:hint="eastAsia" w:ascii="Times New Roman" w:cs="Times New Roman"/>
                      <w:color w:val="auto"/>
                      <w:sz w:val="18"/>
                      <w:szCs w:val="18"/>
                      <w:highlight w:val="none"/>
                      <w:lang w:eastAsia="zh-CN"/>
                    </w:rPr>
                  </w:pPr>
                  <w:r>
                    <w:rPr>
                      <w:rFonts w:hint="eastAsia" w:ascii="Times New Roman" w:cs="Times New Roman"/>
                      <w:color w:val="auto"/>
                      <w:sz w:val="18"/>
                      <w:szCs w:val="18"/>
                      <w:highlight w:val="none"/>
                      <w:lang w:val="en-US" w:eastAsia="zh-CN"/>
                    </w:rPr>
                    <w:t>1#</w:t>
                  </w:r>
                  <w:r>
                    <w:rPr>
                      <w:rFonts w:hint="eastAsia" w:ascii="Times New Roman" w:cs="Times New Roman"/>
                      <w:color w:val="auto"/>
                      <w:sz w:val="18"/>
                      <w:szCs w:val="18"/>
                      <w:highlight w:val="none"/>
                      <w:lang w:eastAsia="zh-CN"/>
                    </w:rPr>
                    <w:t>除尘器失灵</w:t>
                  </w:r>
                </w:p>
              </w:tc>
              <w:tc>
                <w:tcPr>
                  <w:tcW w:w="1015" w:type="dxa"/>
                  <w:vAlign w:val="center"/>
                </w:tcPr>
                <w:p w14:paraId="64EB5E46">
                  <w:pPr>
                    <w:spacing w:line="240" w:lineRule="auto"/>
                    <w:jc w:val="center"/>
                    <w:rPr>
                      <w:rFonts w:hint="eastAsia" w:cs="Times New Roman"/>
                      <w:color w:val="auto"/>
                      <w:sz w:val="18"/>
                      <w:szCs w:val="18"/>
                      <w:highlight w:val="none"/>
                      <w:lang w:eastAsia="zh-CN"/>
                    </w:rPr>
                  </w:pPr>
                  <w:r>
                    <w:rPr>
                      <w:rFonts w:hint="eastAsia" w:cs="Times New Roman"/>
                      <w:color w:val="auto"/>
                      <w:sz w:val="18"/>
                      <w:szCs w:val="18"/>
                      <w:highlight w:val="none"/>
                      <w:lang w:eastAsia="zh-CN"/>
                    </w:rPr>
                    <w:t>颗粒物</w:t>
                  </w:r>
                </w:p>
              </w:tc>
              <w:tc>
                <w:tcPr>
                  <w:tcW w:w="1100" w:type="dxa"/>
                  <w:vAlign w:val="center"/>
                </w:tcPr>
                <w:p w14:paraId="234BCF00">
                  <w:pPr>
                    <w:keepNext w:val="0"/>
                    <w:keepLines w:val="0"/>
                    <w:widowControl/>
                    <w:suppressLineNumbers w:val="0"/>
                    <w:jc w:val="center"/>
                    <w:textAlignment w:val="center"/>
                    <w:rPr>
                      <w:rFonts w:hint="default"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53.1</w:t>
                  </w:r>
                </w:p>
              </w:tc>
              <w:tc>
                <w:tcPr>
                  <w:tcW w:w="1000" w:type="dxa"/>
                  <w:vAlign w:val="center"/>
                </w:tcPr>
                <w:p w14:paraId="11855A86">
                  <w:pPr>
                    <w:keepNext w:val="0"/>
                    <w:keepLines w:val="0"/>
                    <w:widowControl/>
                    <w:suppressLineNumbers w:val="0"/>
                    <w:jc w:val="center"/>
                    <w:textAlignment w:val="center"/>
                    <w:rPr>
                      <w:rFonts w:hint="default"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0.106</w:t>
                  </w:r>
                </w:p>
              </w:tc>
              <w:tc>
                <w:tcPr>
                  <w:tcW w:w="753" w:type="dxa"/>
                  <w:vAlign w:val="center"/>
                </w:tcPr>
                <w:p w14:paraId="425322CF">
                  <w:pPr>
                    <w:pStyle w:val="200"/>
                    <w:spacing w:before="24" w:after="24"/>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w:t>
                  </w:r>
                </w:p>
              </w:tc>
              <w:tc>
                <w:tcPr>
                  <w:tcW w:w="823" w:type="dxa"/>
                  <w:vAlign w:val="center"/>
                </w:tcPr>
                <w:p w14:paraId="44AF7891">
                  <w:pPr>
                    <w:pStyle w:val="200"/>
                    <w:spacing w:before="24" w:after="24"/>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w:t>
                  </w:r>
                </w:p>
              </w:tc>
              <w:tc>
                <w:tcPr>
                  <w:tcW w:w="675" w:type="dxa"/>
                  <w:vAlign w:val="center"/>
                </w:tcPr>
                <w:p w14:paraId="0500E48B">
                  <w:pPr>
                    <w:keepNext w:val="0"/>
                    <w:keepLines w:val="0"/>
                    <w:widowControl/>
                    <w:suppressLineNumbers w:val="0"/>
                    <w:jc w:val="center"/>
                    <w:textAlignment w:val="center"/>
                    <w:rPr>
                      <w:rFonts w:hint="default"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0.212</w:t>
                  </w:r>
                </w:p>
              </w:tc>
              <w:tc>
                <w:tcPr>
                  <w:tcW w:w="971" w:type="dxa"/>
                  <w:vAlign w:val="center"/>
                </w:tcPr>
                <w:p w14:paraId="2EA441C4">
                  <w:pPr>
                    <w:pStyle w:val="200"/>
                    <w:spacing w:before="24" w:after="24"/>
                    <w:rPr>
                      <w:rFonts w:hint="default" w:ascii="Times New Roman" w:hAnsi="Times New Roman" w:cs="Times New Roman"/>
                      <w:color w:val="auto"/>
                      <w:sz w:val="18"/>
                      <w:szCs w:val="18"/>
                      <w:highlight w:val="none"/>
                    </w:rPr>
                  </w:pPr>
                </w:p>
              </w:tc>
            </w:tr>
            <w:tr w14:paraId="34B2F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7" w:hRule="atLeast"/>
                <w:jc w:val="center"/>
              </w:trPr>
              <w:tc>
                <w:tcPr>
                  <w:tcW w:w="1015" w:type="dxa"/>
                  <w:vAlign w:val="center"/>
                </w:tcPr>
                <w:p w14:paraId="23744763">
                  <w:pPr>
                    <w:pStyle w:val="200"/>
                    <w:spacing w:before="24" w:after="24"/>
                    <w:rPr>
                      <w:rFonts w:hint="default" w:ascii="Times New Roman" w:hAns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DA002排气筒</w:t>
                  </w:r>
                </w:p>
              </w:tc>
              <w:tc>
                <w:tcPr>
                  <w:tcW w:w="1014" w:type="dxa"/>
                  <w:vAlign w:val="center"/>
                </w:tcPr>
                <w:p w14:paraId="375371A0">
                  <w:pPr>
                    <w:pStyle w:val="200"/>
                    <w:spacing w:before="24" w:after="24"/>
                    <w:rPr>
                      <w:rFonts w:hint="default" w:ascii="Times New Roman" w:hAnsi="Times New Roman" w:cs="Times New Roman"/>
                      <w:color w:val="auto"/>
                      <w:sz w:val="18"/>
                      <w:szCs w:val="18"/>
                      <w:highlight w:val="none"/>
                      <w:lang w:eastAsia="zh-CN"/>
                    </w:rPr>
                  </w:pPr>
                  <w:r>
                    <w:rPr>
                      <w:rFonts w:hint="eastAsia" w:ascii="Times New Roman" w:cs="Times New Roman"/>
                      <w:color w:val="auto"/>
                      <w:sz w:val="18"/>
                      <w:szCs w:val="18"/>
                      <w:highlight w:val="none"/>
                      <w:lang w:val="en-US" w:eastAsia="zh-CN"/>
                    </w:rPr>
                    <w:t>2#</w:t>
                  </w:r>
                  <w:r>
                    <w:rPr>
                      <w:rFonts w:hint="eastAsia" w:ascii="Times New Roman" w:cs="Times New Roman"/>
                      <w:color w:val="auto"/>
                      <w:sz w:val="18"/>
                      <w:szCs w:val="18"/>
                      <w:highlight w:val="none"/>
                      <w:lang w:eastAsia="zh-CN"/>
                    </w:rPr>
                    <w:t>除尘器失灵</w:t>
                  </w:r>
                </w:p>
              </w:tc>
              <w:tc>
                <w:tcPr>
                  <w:tcW w:w="1015" w:type="dxa"/>
                  <w:vAlign w:val="center"/>
                </w:tcPr>
                <w:p w14:paraId="3C59B18F">
                  <w:pPr>
                    <w:spacing w:line="240" w:lineRule="auto"/>
                    <w:jc w:val="center"/>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eastAsia="zh-CN"/>
                    </w:rPr>
                    <w:t>颗粒物</w:t>
                  </w:r>
                </w:p>
              </w:tc>
              <w:tc>
                <w:tcPr>
                  <w:tcW w:w="1100" w:type="dxa"/>
                  <w:vAlign w:val="center"/>
                </w:tcPr>
                <w:p w14:paraId="5DE612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73.9</w:t>
                  </w:r>
                </w:p>
              </w:tc>
              <w:tc>
                <w:tcPr>
                  <w:tcW w:w="1000" w:type="dxa"/>
                  <w:vAlign w:val="center"/>
                </w:tcPr>
                <w:p w14:paraId="113BBB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0.443</w:t>
                  </w:r>
                </w:p>
              </w:tc>
              <w:tc>
                <w:tcPr>
                  <w:tcW w:w="753" w:type="dxa"/>
                  <w:vAlign w:val="center"/>
                </w:tcPr>
                <w:p w14:paraId="24E85611">
                  <w:pPr>
                    <w:pStyle w:val="200"/>
                    <w:spacing w:before="24" w:after="24"/>
                    <w:rPr>
                      <w:rFonts w:hint="default" w:ascii="Times New Roman" w:hAns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w:t>
                  </w:r>
                </w:p>
              </w:tc>
              <w:tc>
                <w:tcPr>
                  <w:tcW w:w="823" w:type="dxa"/>
                  <w:vAlign w:val="center"/>
                </w:tcPr>
                <w:p w14:paraId="32812C4A">
                  <w:pPr>
                    <w:pStyle w:val="200"/>
                    <w:spacing w:before="24" w:after="24"/>
                    <w:rPr>
                      <w:rFonts w:hint="default" w:ascii="Times New Roman" w:hAns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w:t>
                  </w:r>
                </w:p>
              </w:tc>
              <w:tc>
                <w:tcPr>
                  <w:tcW w:w="675" w:type="dxa"/>
                  <w:vAlign w:val="center"/>
                </w:tcPr>
                <w:p w14:paraId="5E0810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0.886</w:t>
                  </w:r>
                </w:p>
              </w:tc>
              <w:tc>
                <w:tcPr>
                  <w:tcW w:w="971" w:type="dxa"/>
                  <w:vAlign w:val="center"/>
                </w:tcPr>
                <w:p w14:paraId="4B973F8C">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立即启动紧急停车装置</w:t>
                  </w:r>
                </w:p>
              </w:tc>
            </w:tr>
          </w:tbl>
          <w:p w14:paraId="36F6E2F1">
            <w:pPr>
              <w:pStyle w:val="381"/>
              <w:ind w:firstLine="420"/>
              <w:rPr>
                <w:rFonts w:hint="eastAsia" w:eastAsia="宋体"/>
                <w:color w:val="auto"/>
                <w:sz w:val="21"/>
                <w:highlight w:val="none"/>
                <w:lang w:val="en-US" w:eastAsia="zh-CN"/>
              </w:rPr>
            </w:pPr>
            <w:r>
              <w:rPr>
                <w:rFonts w:hint="default" w:ascii="Times New Roman" w:hAnsi="Times New Roman" w:cs="Times New Roman"/>
                <w:color w:val="auto"/>
                <w:sz w:val="21"/>
                <w:highlight w:val="none"/>
                <w:lang w:val="en-US"/>
              </w:rPr>
              <w:t>由上表可知，非正常工况下，DA00</w:t>
            </w:r>
            <w:r>
              <w:rPr>
                <w:rFonts w:hint="eastAsia" w:cs="Times New Roman"/>
                <w:color w:val="auto"/>
                <w:sz w:val="21"/>
                <w:highlight w:val="none"/>
                <w:lang w:val="en-US" w:eastAsia="zh-CN"/>
              </w:rPr>
              <w:t>1</w:t>
            </w:r>
            <w:r>
              <w:rPr>
                <w:rFonts w:hint="default" w:ascii="Times New Roman" w:hAnsi="Times New Roman" w:cs="Times New Roman"/>
                <w:color w:val="auto"/>
                <w:sz w:val="21"/>
                <w:highlight w:val="none"/>
                <w:lang w:val="en-US"/>
              </w:rPr>
              <w:t>排气筒的</w:t>
            </w:r>
            <w:r>
              <w:rPr>
                <w:rFonts w:hint="eastAsia" w:ascii="Times New Roman" w:hAnsi="Times New Roman" w:cs="Times New Roman"/>
                <w:color w:val="auto"/>
                <w:sz w:val="21"/>
                <w:highlight w:val="none"/>
                <w:lang w:val="en-US" w:eastAsia="zh-CN"/>
              </w:rPr>
              <w:t>氮氧化物</w:t>
            </w:r>
            <w:r>
              <w:rPr>
                <w:rFonts w:hint="default" w:ascii="Times New Roman" w:hAnsi="Times New Roman" w:cs="Times New Roman"/>
                <w:color w:val="auto"/>
                <w:sz w:val="21"/>
                <w:highlight w:val="none"/>
                <w:lang w:val="en-US" w:eastAsia="zh-CN"/>
              </w:rPr>
              <w:t>排放浓度</w:t>
            </w:r>
            <w:r>
              <w:rPr>
                <w:rFonts w:hint="eastAsia" w:cs="Times New Roman"/>
                <w:color w:val="auto"/>
                <w:sz w:val="21"/>
                <w:highlight w:val="none"/>
                <w:lang w:val="en-US" w:eastAsia="zh-CN"/>
              </w:rPr>
              <w:t>增加，颗粒物超标，DA002排气筒颗粒物超标</w:t>
            </w:r>
            <w:r>
              <w:rPr>
                <w:rFonts w:hint="default" w:ascii="Times New Roman" w:hAnsi="Times New Roman" w:cs="Times New Roman"/>
                <w:color w:val="auto"/>
                <w:sz w:val="21"/>
                <w:highlight w:val="none"/>
                <w:lang w:val="en-US" w:eastAsia="zh-CN"/>
              </w:rPr>
              <w:t>。</w:t>
            </w:r>
            <w:r>
              <w:rPr>
                <w:rFonts w:hint="default" w:ascii="Times New Roman" w:hAnsi="Times New Roman" w:cs="Times New Roman"/>
                <w:color w:val="auto"/>
                <w:sz w:val="21"/>
                <w:highlight w:val="none"/>
                <w:lang w:val="en-US"/>
              </w:rPr>
              <w:t>该项目非正常工况排放次数极少，排放时间较短，</w:t>
            </w:r>
            <w:r>
              <w:rPr>
                <w:rFonts w:hint="default" w:ascii="Times New Roman" w:hAnsi="Times New Roman" w:cs="Times New Roman"/>
                <w:color w:val="auto"/>
                <w:sz w:val="21"/>
                <w:highlight w:val="none"/>
                <w:lang w:val="en-US" w:eastAsia="zh-CN"/>
              </w:rPr>
              <w:t>只要定期对环保设施进行维护保养，基本</w:t>
            </w:r>
            <w:r>
              <w:rPr>
                <w:rFonts w:hint="default" w:ascii="Times New Roman" w:hAnsi="Times New Roman" w:cs="Times New Roman"/>
                <w:color w:val="auto"/>
                <w:sz w:val="21"/>
                <w:highlight w:val="none"/>
                <w:lang w:val="en-US"/>
              </w:rPr>
              <w:t>不会对周围大气造成长期影响，因此本次评价不做主要分析</w:t>
            </w:r>
            <w:r>
              <w:rPr>
                <w:rFonts w:hint="eastAsia"/>
                <w:color w:val="auto"/>
                <w:sz w:val="21"/>
                <w:highlight w:val="none"/>
                <w:lang w:val="en-US" w:eastAsia="zh-CN"/>
              </w:rPr>
              <w:t>。</w:t>
            </w:r>
          </w:p>
          <w:p w14:paraId="69A06341">
            <w:pPr>
              <w:adjustRightInd w:val="0"/>
              <w:snapToGrid w:val="0"/>
              <w:spacing w:line="360" w:lineRule="auto"/>
              <w:ind w:firstLine="420" w:firstLineChars="200"/>
              <w:rPr>
                <w:color w:val="auto"/>
                <w:highlight w:val="none"/>
              </w:rPr>
            </w:pPr>
            <w:r>
              <w:rPr>
                <w:color w:val="auto"/>
                <w:highlight w:val="none"/>
              </w:rPr>
              <w:t>针对拟建项目的实际情况，非正常工况下采取的控制措施主要为：加强废气处理装置的维护保养，发现风机风量不正常时及时检维修，排除故障</w:t>
            </w:r>
            <w:r>
              <w:rPr>
                <w:rFonts w:hint="eastAsia"/>
                <w:color w:val="auto"/>
                <w:highlight w:val="none"/>
              </w:rPr>
              <w:t>。</w:t>
            </w:r>
          </w:p>
          <w:p w14:paraId="5FD5113E">
            <w:pPr>
              <w:pStyle w:val="2"/>
              <w:keepNext w:val="0"/>
              <w:keepLines w:val="0"/>
              <w:pageBreakBefore w:val="0"/>
              <w:widowControl w:val="0"/>
              <w:kinsoku/>
              <w:wordWrap w:val="0"/>
              <w:overflowPunct/>
              <w:topLinePunct w:val="0"/>
              <w:autoSpaceDE/>
              <w:autoSpaceDN/>
              <w:bidi w:val="0"/>
              <w:adjustRightInd w:val="0"/>
              <w:snapToGrid w:val="0"/>
              <w:spacing w:after="0" w:line="360" w:lineRule="auto"/>
              <w:ind w:left="0" w:leftChars="0" w:firstLine="422" w:firstLineChars="200"/>
              <w:textAlignment w:val="auto"/>
              <w:rPr>
                <w:b/>
                <w:bCs/>
                <w:color w:val="auto"/>
                <w:sz w:val="21"/>
                <w:szCs w:val="21"/>
              </w:rPr>
            </w:pPr>
            <w:r>
              <w:rPr>
                <w:rFonts w:hint="eastAsia"/>
                <w:b/>
                <w:bCs/>
                <w:color w:val="auto"/>
                <w:sz w:val="21"/>
                <w:szCs w:val="21"/>
                <w:lang w:val="en-US" w:eastAsia="zh-CN"/>
              </w:rPr>
              <w:t>7</w:t>
            </w:r>
            <w:r>
              <w:rPr>
                <w:rFonts w:hint="eastAsia"/>
                <w:b/>
                <w:bCs/>
                <w:color w:val="auto"/>
                <w:sz w:val="21"/>
                <w:szCs w:val="21"/>
              </w:rPr>
              <w:t>、</w:t>
            </w:r>
            <w:r>
              <w:rPr>
                <w:b/>
                <w:bCs/>
                <w:color w:val="auto"/>
                <w:sz w:val="21"/>
                <w:szCs w:val="21"/>
                <w:lang w:val="zh-CN"/>
              </w:rPr>
              <w:t>监测要求</w:t>
            </w:r>
          </w:p>
          <w:p w14:paraId="758F3B09">
            <w:pPr>
              <w:keepNext w:val="0"/>
              <w:keepLines w:val="0"/>
              <w:pageBreakBefore w:val="0"/>
              <w:widowControl w:val="0"/>
              <w:kinsoku/>
              <w:overflowPunct/>
              <w:topLinePunct w:val="0"/>
              <w:autoSpaceDE/>
              <w:autoSpaceDN/>
              <w:bidi w:val="0"/>
              <w:adjustRightInd w:val="0"/>
              <w:snapToGrid w:val="0"/>
              <w:spacing w:line="360" w:lineRule="auto"/>
              <w:ind w:firstLine="420" w:firstLineChars="200"/>
              <w:textAlignment w:val="auto"/>
              <w:rPr>
                <w:color w:val="auto"/>
                <w:highlight w:val="none"/>
              </w:rPr>
            </w:pPr>
            <w:r>
              <w:rPr>
                <w:rFonts w:hint="default" w:ascii="Times New Roman" w:hAnsi="Times New Roman" w:cs="Times New Roman"/>
                <w:color w:val="auto"/>
                <w:highlight w:val="none"/>
              </w:rPr>
              <w:t>依据《排污单位自行监测技术指南 总则》（HJ819-2017）</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1"/>
                <w:highlight w:val="none"/>
              </w:rPr>
              <w:t>《排污单位自行监测技术指南 电子工业》</w:t>
            </w:r>
            <w:r>
              <w:rPr>
                <w:rFonts w:hint="eastAsia" w:ascii="Times New Roman" w:hAnsi="Times New Roman" w:cs="Times New Roman"/>
                <w:color w:val="auto"/>
                <w:sz w:val="21"/>
                <w:highlight w:val="none"/>
                <w:lang w:eastAsia="zh-CN"/>
              </w:rPr>
              <w:t>（HJ1253-2022）、</w:t>
            </w:r>
            <w:r>
              <w:rPr>
                <w:rFonts w:hint="eastAsia" w:cs="Times New Roman"/>
                <w:color w:val="auto"/>
                <w:highlight w:val="none"/>
                <w:lang w:eastAsia="zh-CN"/>
              </w:rPr>
              <w:t>《</w:t>
            </w:r>
            <w:r>
              <w:rPr>
                <w:rFonts w:hint="default" w:ascii="Times New Roman" w:hAnsi="Times New Roman" w:cs="Times New Roman"/>
                <w:color w:val="auto"/>
                <w:highlight w:val="none"/>
                <w:lang w:eastAsia="zh-CN"/>
              </w:rPr>
              <w:t>排污许可证申请与核发技术规范 工业炉窑</w:t>
            </w:r>
            <w:r>
              <w:rPr>
                <w:rFonts w:hint="eastAsia" w:cs="Times New Roman"/>
                <w:color w:val="auto"/>
                <w:highlight w:val="none"/>
                <w:lang w:eastAsia="zh-CN"/>
              </w:rPr>
              <w:t>》</w:t>
            </w:r>
            <w:r>
              <w:rPr>
                <w:rFonts w:hint="default" w:ascii="Times New Roman" w:hAnsi="Times New Roman" w:cs="Times New Roman"/>
                <w:color w:val="auto"/>
                <w:highlight w:val="none"/>
                <w:lang w:eastAsia="zh-CN"/>
              </w:rPr>
              <w:t>（HJ1121—2020）</w:t>
            </w:r>
            <w:r>
              <w:rPr>
                <w:rFonts w:hint="default" w:ascii="Times New Roman" w:hAnsi="Times New Roman" w:cs="Times New Roman"/>
                <w:color w:val="auto"/>
                <w:highlight w:val="none"/>
              </w:rPr>
              <w:t>要求</w:t>
            </w:r>
            <w:r>
              <w:rPr>
                <w:rFonts w:hint="eastAsia" w:ascii="Times New Roman" w:hAnsi="Times New Roman" w:cs="Times New Roman"/>
                <w:color w:val="auto"/>
                <w:highlight w:val="none"/>
                <w:lang w:eastAsia="zh-CN"/>
              </w:rPr>
              <w:t>，</w:t>
            </w:r>
            <w:r>
              <w:rPr>
                <w:color w:val="auto"/>
                <w:highlight w:val="none"/>
              </w:rPr>
              <w:t>本项目废气自行监测方案如下：</w:t>
            </w:r>
          </w:p>
          <w:p w14:paraId="3546843A">
            <w:pPr>
              <w:adjustRightInd w:val="0"/>
              <w:snapToGrid w:val="0"/>
              <w:ind w:firstLine="422" w:firstLineChars="200"/>
              <w:jc w:val="center"/>
              <w:rPr>
                <w:b/>
                <w:bCs/>
                <w:color w:val="auto"/>
                <w:highlight w:val="none"/>
              </w:rPr>
            </w:pPr>
            <w:r>
              <w:rPr>
                <w:b/>
                <w:bCs/>
                <w:color w:val="auto"/>
                <w:highlight w:val="none"/>
              </w:rPr>
              <w:t>表4-</w:t>
            </w:r>
            <w:r>
              <w:rPr>
                <w:rFonts w:hint="eastAsia"/>
                <w:b/>
                <w:bCs/>
                <w:color w:val="auto"/>
                <w:highlight w:val="none"/>
                <w:lang w:val="en-US" w:eastAsia="zh-CN"/>
              </w:rPr>
              <w:t>9</w:t>
            </w:r>
            <w:r>
              <w:rPr>
                <w:b/>
                <w:bCs/>
                <w:color w:val="auto"/>
                <w:highlight w:val="none"/>
              </w:rPr>
              <w:t>本项目废气自行监测方案</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7"/>
              <w:gridCol w:w="2402"/>
              <w:gridCol w:w="2310"/>
              <w:gridCol w:w="1999"/>
            </w:tblGrid>
            <w:tr w14:paraId="6319A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pct"/>
                  <w:tcMar>
                    <w:top w:w="0" w:type="dxa"/>
                    <w:left w:w="0" w:type="dxa"/>
                    <w:bottom w:w="0" w:type="dxa"/>
                    <w:right w:w="0" w:type="dxa"/>
                  </w:tcMar>
                  <w:vAlign w:val="center"/>
                </w:tcPr>
                <w:p w14:paraId="02EC289E">
                  <w:pPr>
                    <w:contextualSpacing/>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排放口编号</w:t>
                  </w:r>
                </w:p>
              </w:tc>
              <w:tc>
                <w:tcPr>
                  <w:tcW w:w="1435" w:type="pct"/>
                  <w:tcMar>
                    <w:top w:w="0" w:type="dxa"/>
                    <w:left w:w="0" w:type="dxa"/>
                    <w:bottom w:w="0" w:type="dxa"/>
                    <w:right w:w="0" w:type="dxa"/>
                  </w:tcMar>
                  <w:vAlign w:val="center"/>
                </w:tcPr>
                <w:p w14:paraId="5884E43A">
                  <w:pPr>
                    <w:contextualSpacing/>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监测点位</w:t>
                  </w:r>
                </w:p>
              </w:tc>
              <w:tc>
                <w:tcPr>
                  <w:tcW w:w="1380" w:type="pct"/>
                  <w:tcMar>
                    <w:top w:w="0" w:type="dxa"/>
                    <w:left w:w="0" w:type="dxa"/>
                    <w:bottom w:w="0" w:type="dxa"/>
                    <w:right w:w="0" w:type="dxa"/>
                  </w:tcMar>
                  <w:vAlign w:val="center"/>
                </w:tcPr>
                <w:p w14:paraId="041604EE">
                  <w:pPr>
                    <w:contextualSpacing/>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监测因子</w:t>
                  </w:r>
                </w:p>
              </w:tc>
              <w:tc>
                <w:tcPr>
                  <w:tcW w:w="1194" w:type="pct"/>
                  <w:tcMar>
                    <w:top w:w="0" w:type="dxa"/>
                    <w:left w:w="0" w:type="dxa"/>
                    <w:bottom w:w="0" w:type="dxa"/>
                    <w:right w:w="0" w:type="dxa"/>
                  </w:tcMar>
                  <w:vAlign w:val="center"/>
                </w:tcPr>
                <w:p w14:paraId="21940938">
                  <w:pPr>
                    <w:contextualSpacing/>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监测频次</w:t>
                  </w:r>
                </w:p>
              </w:tc>
            </w:tr>
            <w:tr w14:paraId="61F6F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pct"/>
                  <w:shd w:val="clear" w:color="auto" w:fill="auto"/>
                  <w:tcMar>
                    <w:top w:w="0" w:type="dxa"/>
                    <w:left w:w="0" w:type="dxa"/>
                    <w:bottom w:w="0" w:type="dxa"/>
                    <w:right w:w="0" w:type="dxa"/>
                  </w:tcMar>
                  <w:vAlign w:val="center"/>
                </w:tcPr>
                <w:p w14:paraId="3D5E8F05">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DA001</w:t>
                  </w:r>
                </w:p>
              </w:tc>
              <w:tc>
                <w:tcPr>
                  <w:tcW w:w="1435" w:type="pct"/>
                  <w:shd w:val="clear" w:color="auto" w:fill="auto"/>
                  <w:tcMar>
                    <w:top w:w="0" w:type="dxa"/>
                    <w:left w:w="0" w:type="dxa"/>
                    <w:bottom w:w="0" w:type="dxa"/>
                    <w:right w:w="0" w:type="dxa"/>
                  </w:tcMar>
                  <w:vAlign w:val="center"/>
                </w:tcPr>
                <w:p w14:paraId="3ED485CC">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eastAsia="zh-CN"/>
                    </w:rPr>
                    <w:t>排气筒</w:t>
                  </w:r>
                  <w:r>
                    <w:rPr>
                      <w:rFonts w:hint="default" w:ascii="Times New Roman" w:hAnsi="Times New Roman" w:eastAsia="宋体" w:cs="Times New Roman"/>
                      <w:color w:val="auto"/>
                      <w:sz w:val="18"/>
                      <w:szCs w:val="18"/>
                      <w:highlight w:val="none"/>
                    </w:rPr>
                    <w:t>出口</w:t>
                  </w:r>
                </w:p>
              </w:tc>
              <w:tc>
                <w:tcPr>
                  <w:tcW w:w="1380" w:type="pct"/>
                  <w:shd w:val="clear" w:color="auto" w:fill="auto"/>
                  <w:tcMar>
                    <w:top w:w="0" w:type="dxa"/>
                    <w:left w:w="0" w:type="dxa"/>
                    <w:bottom w:w="0" w:type="dxa"/>
                    <w:right w:w="0" w:type="dxa"/>
                  </w:tcMar>
                  <w:vAlign w:val="center"/>
                </w:tcPr>
                <w:p w14:paraId="27A478AE">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颗粒物、SO</w:t>
                  </w:r>
                  <w:r>
                    <w:rPr>
                      <w:rFonts w:hint="eastAsia" w:cs="Times New Roman"/>
                      <w:color w:val="auto"/>
                      <w:sz w:val="18"/>
                      <w:szCs w:val="18"/>
                      <w:highlight w:val="none"/>
                      <w:vertAlign w:val="subscript"/>
                      <w:lang w:val="en-US" w:eastAsia="zh-CN"/>
                    </w:rPr>
                    <w:t>2</w:t>
                  </w:r>
                  <w:r>
                    <w:rPr>
                      <w:rFonts w:hint="eastAsia" w:cs="Times New Roman"/>
                      <w:color w:val="auto"/>
                      <w:sz w:val="18"/>
                      <w:szCs w:val="18"/>
                      <w:highlight w:val="none"/>
                      <w:lang w:val="en-US" w:eastAsia="zh-CN"/>
                    </w:rPr>
                    <w:t>、NOx、氨、臭气浓度</w:t>
                  </w:r>
                </w:p>
              </w:tc>
              <w:tc>
                <w:tcPr>
                  <w:tcW w:w="1194" w:type="pct"/>
                  <w:shd w:val="clear" w:color="auto" w:fill="auto"/>
                  <w:tcMar>
                    <w:top w:w="0" w:type="dxa"/>
                    <w:left w:w="0" w:type="dxa"/>
                    <w:bottom w:w="0" w:type="dxa"/>
                    <w:right w:w="0" w:type="dxa"/>
                  </w:tcMar>
                  <w:vAlign w:val="center"/>
                </w:tcPr>
                <w:p w14:paraId="55B1C198">
                  <w:pPr>
                    <w:spacing w:line="240" w:lineRule="exact"/>
                    <w:contextualSpacing/>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rPr>
                    <w:t>1次/</w:t>
                  </w:r>
                  <w:r>
                    <w:rPr>
                      <w:rFonts w:hint="eastAsia" w:cs="Times New Roman"/>
                      <w:color w:val="auto"/>
                      <w:sz w:val="18"/>
                      <w:szCs w:val="18"/>
                      <w:lang w:val="en-US" w:eastAsia="zh-CN"/>
                    </w:rPr>
                    <w:t>年</w:t>
                  </w:r>
                </w:p>
              </w:tc>
            </w:tr>
            <w:tr w14:paraId="7EBAD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pct"/>
                  <w:tcBorders>
                    <w:left w:val="single" w:color="auto" w:sz="2" w:space="0"/>
                  </w:tcBorders>
                  <w:shd w:val="clear" w:color="auto" w:fill="auto"/>
                  <w:vAlign w:val="center"/>
                </w:tcPr>
                <w:p w14:paraId="6913363A">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DA002</w:t>
                  </w:r>
                </w:p>
              </w:tc>
              <w:tc>
                <w:tcPr>
                  <w:tcW w:w="1435" w:type="pct"/>
                  <w:shd w:val="clear" w:color="auto" w:fill="auto"/>
                  <w:tcMar>
                    <w:top w:w="0" w:type="dxa"/>
                    <w:left w:w="0" w:type="dxa"/>
                    <w:bottom w:w="0" w:type="dxa"/>
                    <w:right w:w="0" w:type="dxa"/>
                  </w:tcMar>
                  <w:vAlign w:val="center"/>
                </w:tcPr>
                <w:p w14:paraId="031B0398">
                  <w:pPr>
                    <w:spacing w:line="240" w:lineRule="exact"/>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eastAsia="zh-CN"/>
                    </w:rPr>
                    <w:t>排气筒</w:t>
                  </w:r>
                  <w:r>
                    <w:rPr>
                      <w:rFonts w:hint="default" w:ascii="Times New Roman" w:hAnsi="Times New Roman" w:eastAsia="宋体" w:cs="Times New Roman"/>
                      <w:color w:val="auto"/>
                      <w:sz w:val="18"/>
                      <w:szCs w:val="18"/>
                      <w:highlight w:val="none"/>
                    </w:rPr>
                    <w:t>出口</w:t>
                  </w:r>
                </w:p>
              </w:tc>
              <w:tc>
                <w:tcPr>
                  <w:tcW w:w="1380" w:type="pct"/>
                  <w:shd w:val="clear" w:color="auto" w:fill="auto"/>
                  <w:tcMar>
                    <w:top w:w="0" w:type="dxa"/>
                    <w:left w:w="0" w:type="dxa"/>
                    <w:bottom w:w="0" w:type="dxa"/>
                    <w:right w:w="0" w:type="dxa"/>
                  </w:tcMar>
                  <w:vAlign w:val="center"/>
                </w:tcPr>
                <w:p w14:paraId="08856E4D">
                  <w:pPr>
                    <w:spacing w:line="240" w:lineRule="exact"/>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颗粒物</w:t>
                  </w:r>
                </w:p>
              </w:tc>
              <w:tc>
                <w:tcPr>
                  <w:tcW w:w="1194" w:type="pct"/>
                  <w:shd w:val="clear" w:color="auto" w:fill="auto"/>
                  <w:tcMar>
                    <w:top w:w="0" w:type="dxa"/>
                    <w:left w:w="0" w:type="dxa"/>
                    <w:bottom w:w="0" w:type="dxa"/>
                    <w:right w:w="0" w:type="dxa"/>
                  </w:tcMar>
                  <w:vAlign w:val="center"/>
                </w:tcPr>
                <w:p w14:paraId="3618B126">
                  <w:pPr>
                    <w:spacing w:line="240" w:lineRule="exact"/>
                    <w:contextualSpacing/>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rPr>
                    <w:t>1次/</w:t>
                  </w:r>
                  <w:r>
                    <w:rPr>
                      <w:rFonts w:hint="eastAsia" w:cs="Times New Roman"/>
                      <w:color w:val="auto"/>
                      <w:sz w:val="18"/>
                      <w:szCs w:val="18"/>
                      <w:lang w:val="en-US" w:eastAsia="zh-CN"/>
                    </w:rPr>
                    <w:t>年</w:t>
                  </w:r>
                </w:p>
              </w:tc>
            </w:tr>
            <w:tr w14:paraId="6327A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pct"/>
                  <w:tcBorders>
                    <w:left w:val="single" w:color="auto" w:sz="2" w:space="0"/>
                  </w:tcBorders>
                  <w:vAlign w:val="center"/>
                </w:tcPr>
                <w:p w14:paraId="3AF71B7A">
                  <w:pPr>
                    <w:spacing w:line="24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无组织</w:t>
                  </w:r>
                </w:p>
              </w:tc>
              <w:tc>
                <w:tcPr>
                  <w:tcW w:w="1435" w:type="pct"/>
                  <w:tcMar>
                    <w:top w:w="0" w:type="dxa"/>
                    <w:left w:w="0" w:type="dxa"/>
                    <w:bottom w:w="0" w:type="dxa"/>
                    <w:right w:w="0" w:type="dxa"/>
                  </w:tcMar>
                  <w:vAlign w:val="center"/>
                </w:tcPr>
                <w:p w14:paraId="6104C4C8">
                  <w:pPr>
                    <w:adjustRightInd w:val="0"/>
                    <w:snapToGrid w:val="0"/>
                    <w:spacing w:line="300" w:lineRule="exact"/>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eastAsia="zh-CN"/>
                    </w:rPr>
                    <w:t>厂界</w:t>
                  </w:r>
                </w:p>
              </w:tc>
              <w:tc>
                <w:tcPr>
                  <w:tcW w:w="1380" w:type="pct"/>
                  <w:tcMar>
                    <w:top w:w="0" w:type="dxa"/>
                    <w:left w:w="0" w:type="dxa"/>
                    <w:bottom w:w="0" w:type="dxa"/>
                    <w:right w:w="0" w:type="dxa"/>
                  </w:tcMar>
                  <w:vAlign w:val="center"/>
                </w:tcPr>
                <w:p w14:paraId="38FD2C57">
                  <w:pPr>
                    <w:tabs>
                      <w:tab w:val="left" w:pos="3600"/>
                    </w:tabs>
                    <w:adjustRightInd w:val="0"/>
                    <w:snapToGrid w:val="0"/>
                    <w:spacing w:line="300" w:lineRule="exact"/>
                    <w:jc w:val="center"/>
                    <w:rPr>
                      <w:rFonts w:hint="default" w:ascii="Times New Roman" w:hAnsi="Times New Roman" w:eastAsia="宋体" w:cs="Times New Roman"/>
                      <w:color w:val="auto"/>
                      <w:kern w:val="0"/>
                      <w:sz w:val="18"/>
                      <w:szCs w:val="18"/>
                      <w:highlight w:val="none"/>
                    </w:rPr>
                  </w:pPr>
                  <w:r>
                    <w:rPr>
                      <w:rFonts w:hint="eastAsia" w:cs="Times New Roman"/>
                      <w:color w:val="auto"/>
                      <w:sz w:val="18"/>
                      <w:szCs w:val="18"/>
                      <w:highlight w:val="none"/>
                      <w:lang w:val="en-US" w:eastAsia="zh-CN"/>
                    </w:rPr>
                    <w:t>颗粒物</w:t>
                  </w:r>
                </w:p>
              </w:tc>
              <w:tc>
                <w:tcPr>
                  <w:tcW w:w="1194" w:type="pct"/>
                  <w:tcMar>
                    <w:top w:w="0" w:type="dxa"/>
                    <w:left w:w="0" w:type="dxa"/>
                    <w:bottom w:w="0" w:type="dxa"/>
                    <w:right w:w="0" w:type="dxa"/>
                  </w:tcMar>
                  <w:vAlign w:val="center"/>
                </w:tcPr>
                <w:p w14:paraId="67FB11A1">
                  <w:pPr>
                    <w:adjustRightInd w:val="0"/>
                    <w:snapToGrid w:val="0"/>
                    <w:spacing w:line="300" w:lineRule="exact"/>
                    <w:contextualSpacing/>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sz w:val="18"/>
                      <w:szCs w:val="18"/>
                    </w:rPr>
                    <w:t>1次/</w:t>
                  </w:r>
                  <w:r>
                    <w:rPr>
                      <w:rFonts w:hint="eastAsia" w:cs="Times New Roman"/>
                      <w:color w:val="auto"/>
                      <w:sz w:val="18"/>
                      <w:szCs w:val="18"/>
                      <w:lang w:val="en-US" w:eastAsia="zh-CN"/>
                    </w:rPr>
                    <w:t>年</w:t>
                  </w:r>
                </w:p>
              </w:tc>
            </w:tr>
          </w:tbl>
          <w:p w14:paraId="3621327E">
            <w:pPr>
              <w:tabs>
                <w:tab w:val="left" w:pos="1800"/>
              </w:tabs>
              <w:adjustRightInd w:val="0"/>
              <w:snapToGrid w:val="0"/>
              <w:spacing w:line="360" w:lineRule="auto"/>
              <w:ind w:firstLine="422" w:firstLineChars="200"/>
              <w:rPr>
                <w:b/>
                <w:bCs/>
                <w:color w:val="auto"/>
                <w:kern w:val="24"/>
                <w:highlight w:val="none"/>
              </w:rPr>
            </w:pPr>
            <w:r>
              <w:rPr>
                <w:b/>
                <w:bCs/>
                <w:color w:val="auto"/>
                <w:kern w:val="24"/>
                <w:highlight w:val="none"/>
              </w:rPr>
              <w:t>二、废水</w:t>
            </w:r>
          </w:p>
          <w:p w14:paraId="4A6B5D14">
            <w:pPr>
              <w:tabs>
                <w:tab w:val="left" w:pos="1800"/>
              </w:tabs>
              <w:adjustRightInd w:val="0"/>
              <w:snapToGrid w:val="0"/>
              <w:spacing w:line="360" w:lineRule="auto"/>
              <w:ind w:firstLine="420" w:firstLineChars="200"/>
              <w:rPr>
                <w:rFonts w:hint="default" w:ascii="Times New Roman" w:hAnsi="Times New Roman" w:cs="Times New Roman" w:eastAsiaTheme="minorEastAsia"/>
                <w:color w:val="auto"/>
                <w:kern w:val="24"/>
                <w:sz w:val="21"/>
                <w:szCs w:val="21"/>
              </w:rPr>
            </w:pPr>
            <w:r>
              <w:rPr>
                <w:rFonts w:hint="eastAsia"/>
                <w:color w:val="auto"/>
                <w:kern w:val="24"/>
                <w:sz w:val="21"/>
                <w:szCs w:val="21"/>
                <w:highlight w:val="none"/>
                <w:lang w:eastAsia="zh-CN"/>
              </w:rPr>
              <w:t>本项目建成后全厂</w:t>
            </w:r>
            <w:r>
              <w:rPr>
                <w:color w:val="auto"/>
                <w:kern w:val="24"/>
                <w:sz w:val="21"/>
                <w:szCs w:val="21"/>
                <w:highlight w:val="none"/>
              </w:rPr>
              <w:t>废水主要为</w:t>
            </w:r>
            <w:r>
              <w:rPr>
                <w:color w:val="auto"/>
                <w:sz w:val="21"/>
                <w:szCs w:val="21"/>
                <w:highlight w:val="none"/>
              </w:rPr>
              <w:t>职工生活污水，</w:t>
            </w:r>
            <w:r>
              <w:rPr>
                <w:rFonts w:hint="eastAsia"/>
                <w:b w:val="0"/>
                <w:bCs/>
                <w:color w:val="auto"/>
                <w:sz w:val="21"/>
                <w:szCs w:val="21"/>
                <w:highlight w:val="none"/>
                <w:lang w:val="en-US" w:eastAsia="zh-CN"/>
              </w:rPr>
              <w:t>本项目生活污</w:t>
            </w:r>
            <w:r>
              <w:rPr>
                <w:rFonts w:hint="eastAsia"/>
                <w:b w:val="0"/>
                <w:bCs/>
                <w:color w:val="auto"/>
                <w:sz w:val="21"/>
                <w:szCs w:val="21"/>
                <w:lang w:val="en-US" w:eastAsia="zh-CN"/>
              </w:rPr>
              <w:t>水排放量为144m</w:t>
            </w:r>
            <w:r>
              <w:rPr>
                <w:color w:val="auto"/>
                <w:sz w:val="21"/>
                <w:szCs w:val="21"/>
                <w:vertAlign w:val="superscript"/>
              </w:rPr>
              <w:t>3</w:t>
            </w:r>
            <w:r>
              <w:rPr>
                <w:color w:val="auto"/>
                <w:sz w:val="21"/>
                <w:szCs w:val="21"/>
              </w:rPr>
              <w:t>/a</w:t>
            </w:r>
            <w:r>
              <w:rPr>
                <w:rFonts w:hint="eastAsia"/>
                <w:color w:val="auto"/>
                <w:sz w:val="21"/>
                <w:szCs w:val="21"/>
                <w:lang w:eastAsia="zh-CN"/>
              </w:rPr>
              <w:t>，</w:t>
            </w:r>
            <w:r>
              <w:rPr>
                <w:color w:val="auto"/>
                <w:sz w:val="21"/>
                <w:szCs w:val="21"/>
                <w:lang w:val="de-DE"/>
              </w:rPr>
              <w:t>生活污水经</w:t>
            </w:r>
            <w:r>
              <w:rPr>
                <w:color w:val="auto"/>
                <w:sz w:val="21"/>
                <w:szCs w:val="21"/>
              </w:rPr>
              <w:t>化粪池预处理后由环卫部门进行清运。</w:t>
            </w:r>
            <w:r>
              <w:rPr>
                <w:rFonts w:hint="default" w:ascii="Times New Roman" w:hAnsi="Times New Roman" w:cs="Times New Roman" w:eastAsiaTheme="minorEastAsia"/>
                <w:color w:val="auto"/>
                <w:kern w:val="24"/>
                <w:sz w:val="21"/>
                <w:szCs w:val="21"/>
              </w:rPr>
              <w:t>参照《排放源统计调查产排污核算方法和系数手册附表生活源产排污核算系数手册》和类比相关行业废水源强，生活污水产生源强见表4-</w:t>
            </w:r>
            <w:r>
              <w:rPr>
                <w:rFonts w:hint="eastAsia" w:cs="Times New Roman" w:eastAsiaTheme="minorEastAsia"/>
                <w:color w:val="auto"/>
                <w:kern w:val="24"/>
                <w:sz w:val="21"/>
                <w:szCs w:val="21"/>
                <w:lang w:val="en-US" w:eastAsia="zh-CN"/>
              </w:rPr>
              <w:t>10</w:t>
            </w:r>
            <w:r>
              <w:rPr>
                <w:rFonts w:hint="default" w:ascii="Times New Roman" w:hAnsi="Times New Roman" w:cs="Times New Roman" w:eastAsiaTheme="minorEastAsia"/>
                <w:color w:val="auto"/>
                <w:kern w:val="24"/>
                <w:sz w:val="21"/>
                <w:szCs w:val="21"/>
              </w:rPr>
              <w:t>。</w:t>
            </w:r>
          </w:p>
          <w:p w14:paraId="59126FC3">
            <w:pPr>
              <w:adjustRightInd w:val="0"/>
              <w:snapToGrid w:val="0"/>
              <w:spacing w:line="360" w:lineRule="auto"/>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表4-</w:t>
            </w:r>
            <w:r>
              <w:rPr>
                <w:rFonts w:hint="eastAsia" w:cs="Times New Roman"/>
                <w:b/>
                <w:color w:val="auto"/>
                <w:lang w:val="en-US" w:eastAsia="zh-CN"/>
              </w:rPr>
              <w:t>10</w:t>
            </w:r>
            <w:r>
              <w:rPr>
                <w:rFonts w:hint="default" w:ascii="Times New Roman" w:hAnsi="Times New Roman" w:eastAsia="宋体" w:cs="Times New Roman"/>
                <w:b/>
                <w:color w:val="auto"/>
              </w:rPr>
              <w:t>本项目外排废水水质情况一览表</w:t>
            </w:r>
          </w:p>
          <w:tbl>
            <w:tblPr>
              <w:tblStyle w:val="83"/>
              <w:tblW w:w="49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8"/>
              <w:gridCol w:w="788"/>
              <w:gridCol w:w="1046"/>
              <w:gridCol w:w="1270"/>
              <w:gridCol w:w="1696"/>
              <w:gridCol w:w="1270"/>
              <w:gridCol w:w="1326"/>
            </w:tblGrid>
            <w:tr w14:paraId="5CAF5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492" w:type="pct"/>
                  <w:vMerge w:val="restart"/>
                  <w:tcBorders>
                    <w:top w:val="single" w:color="auto" w:sz="4" w:space="0"/>
                    <w:left w:val="single" w:color="auto" w:sz="4" w:space="0"/>
                    <w:bottom w:val="single" w:color="auto" w:sz="4" w:space="0"/>
                    <w:right w:val="single" w:color="auto" w:sz="4" w:space="0"/>
                  </w:tcBorders>
                  <w:vAlign w:val="center"/>
                </w:tcPr>
                <w:p w14:paraId="7089B5A6">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废水来源</w:t>
                  </w:r>
                </w:p>
              </w:tc>
              <w:tc>
                <w:tcPr>
                  <w:tcW w:w="480" w:type="pct"/>
                  <w:vMerge w:val="restart"/>
                  <w:tcBorders>
                    <w:top w:val="single" w:color="auto" w:sz="4" w:space="0"/>
                    <w:left w:val="single" w:color="auto" w:sz="4" w:space="0"/>
                    <w:bottom w:val="single" w:color="auto" w:sz="4" w:space="0"/>
                    <w:right w:val="single" w:color="auto" w:sz="4" w:space="0"/>
                  </w:tcBorders>
                  <w:vAlign w:val="center"/>
                </w:tcPr>
                <w:p w14:paraId="3953E1B8">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废水排放量m</w:t>
                  </w:r>
                  <w:r>
                    <w:rPr>
                      <w:rFonts w:hint="default" w:ascii="Times New Roman" w:hAnsi="Times New Roman" w:cs="Times New Roman"/>
                      <w:b/>
                      <w:bCs/>
                      <w:color w:val="auto"/>
                      <w:sz w:val="18"/>
                      <w:szCs w:val="18"/>
                      <w:vertAlign w:val="superscript"/>
                    </w:rPr>
                    <w:t>3</w:t>
                  </w:r>
                  <w:r>
                    <w:rPr>
                      <w:rFonts w:hint="default" w:ascii="Times New Roman" w:hAnsi="Times New Roman" w:cs="Times New Roman"/>
                      <w:b/>
                      <w:bCs/>
                      <w:color w:val="auto"/>
                      <w:sz w:val="18"/>
                      <w:szCs w:val="18"/>
                    </w:rPr>
                    <w:t>/a</w:t>
                  </w:r>
                </w:p>
              </w:tc>
              <w:tc>
                <w:tcPr>
                  <w:tcW w:w="637" w:type="pct"/>
                  <w:vMerge w:val="restart"/>
                  <w:tcBorders>
                    <w:top w:val="single" w:color="auto" w:sz="4" w:space="0"/>
                    <w:left w:val="single" w:color="auto" w:sz="4" w:space="0"/>
                    <w:bottom w:val="single" w:color="auto" w:sz="4" w:space="0"/>
                    <w:right w:val="single" w:color="auto" w:sz="4" w:space="0"/>
                  </w:tcBorders>
                  <w:vAlign w:val="center"/>
                </w:tcPr>
                <w:p w14:paraId="4C3061A8">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污染因子</w:t>
                  </w:r>
                </w:p>
              </w:tc>
              <w:tc>
                <w:tcPr>
                  <w:tcW w:w="1807" w:type="pct"/>
                  <w:gridSpan w:val="2"/>
                  <w:tcBorders>
                    <w:top w:val="single" w:color="auto" w:sz="4" w:space="0"/>
                    <w:left w:val="single" w:color="auto" w:sz="4" w:space="0"/>
                    <w:bottom w:val="single" w:color="auto" w:sz="4" w:space="0"/>
                    <w:right w:val="single" w:color="auto" w:sz="4" w:space="0"/>
                  </w:tcBorders>
                  <w:vAlign w:val="center"/>
                </w:tcPr>
                <w:p w14:paraId="696F732F">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产生情况</w:t>
                  </w:r>
                </w:p>
              </w:tc>
              <w:tc>
                <w:tcPr>
                  <w:tcW w:w="1582" w:type="pct"/>
                  <w:gridSpan w:val="2"/>
                  <w:tcBorders>
                    <w:top w:val="single" w:color="auto" w:sz="4" w:space="0"/>
                    <w:left w:val="single" w:color="auto" w:sz="4" w:space="0"/>
                    <w:bottom w:val="single" w:color="auto" w:sz="4" w:space="0"/>
                    <w:right w:val="single" w:color="auto" w:sz="4" w:space="0"/>
                  </w:tcBorders>
                  <w:vAlign w:val="center"/>
                </w:tcPr>
                <w:p w14:paraId="51F84E5E">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排放情况</w:t>
                  </w:r>
                </w:p>
              </w:tc>
            </w:tr>
            <w:tr w14:paraId="0D6E8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7" w:hRule="atLeast"/>
                <w:jc w:val="center"/>
              </w:trPr>
              <w:tc>
                <w:tcPr>
                  <w:tcW w:w="492" w:type="pct"/>
                  <w:vMerge w:val="continue"/>
                  <w:tcBorders>
                    <w:top w:val="single" w:color="auto" w:sz="4" w:space="0"/>
                    <w:left w:val="single" w:color="auto" w:sz="4" w:space="0"/>
                    <w:bottom w:val="single" w:color="auto" w:sz="4" w:space="0"/>
                    <w:right w:val="single" w:color="auto" w:sz="4" w:space="0"/>
                  </w:tcBorders>
                  <w:vAlign w:val="center"/>
                </w:tcPr>
                <w:p w14:paraId="092F6BBE">
                  <w:pPr>
                    <w:jc w:val="center"/>
                    <w:rPr>
                      <w:rFonts w:hint="default" w:ascii="Times New Roman" w:hAnsi="Times New Roman" w:cs="Times New Roman"/>
                      <w:b/>
                      <w:bCs/>
                      <w:color w:val="auto"/>
                      <w:sz w:val="18"/>
                      <w:szCs w:val="18"/>
                    </w:rPr>
                  </w:pPr>
                </w:p>
              </w:tc>
              <w:tc>
                <w:tcPr>
                  <w:tcW w:w="480" w:type="pct"/>
                  <w:vMerge w:val="continue"/>
                  <w:tcBorders>
                    <w:top w:val="single" w:color="auto" w:sz="4" w:space="0"/>
                    <w:left w:val="single" w:color="auto" w:sz="4" w:space="0"/>
                    <w:bottom w:val="single" w:color="auto" w:sz="4" w:space="0"/>
                    <w:right w:val="single" w:color="auto" w:sz="4" w:space="0"/>
                  </w:tcBorders>
                  <w:vAlign w:val="center"/>
                </w:tcPr>
                <w:p w14:paraId="35260358">
                  <w:pPr>
                    <w:jc w:val="center"/>
                    <w:rPr>
                      <w:rFonts w:hint="default" w:ascii="Times New Roman" w:hAnsi="Times New Roman" w:cs="Times New Roman"/>
                      <w:b/>
                      <w:bCs/>
                      <w:color w:val="auto"/>
                      <w:sz w:val="18"/>
                      <w:szCs w:val="18"/>
                    </w:rPr>
                  </w:pPr>
                </w:p>
              </w:tc>
              <w:tc>
                <w:tcPr>
                  <w:tcW w:w="637" w:type="pct"/>
                  <w:vMerge w:val="continue"/>
                  <w:tcBorders>
                    <w:top w:val="single" w:color="auto" w:sz="4" w:space="0"/>
                    <w:left w:val="single" w:color="auto" w:sz="4" w:space="0"/>
                    <w:bottom w:val="single" w:color="auto" w:sz="4" w:space="0"/>
                    <w:right w:val="single" w:color="auto" w:sz="4" w:space="0"/>
                  </w:tcBorders>
                  <w:vAlign w:val="center"/>
                </w:tcPr>
                <w:p w14:paraId="740477AD">
                  <w:pPr>
                    <w:jc w:val="center"/>
                    <w:rPr>
                      <w:rFonts w:hint="default" w:ascii="Times New Roman" w:hAnsi="Times New Roman" w:cs="Times New Roman"/>
                      <w:b/>
                      <w:bCs/>
                      <w:color w:val="auto"/>
                      <w:sz w:val="18"/>
                      <w:szCs w:val="18"/>
                    </w:rPr>
                  </w:pPr>
                </w:p>
              </w:tc>
              <w:tc>
                <w:tcPr>
                  <w:tcW w:w="774" w:type="pct"/>
                  <w:tcBorders>
                    <w:top w:val="single" w:color="auto" w:sz="4" w:space="0"/>
                    <w:left w:val="single" w:color="auto" w:sz="4" w:space="0"/>
                    <w:bottom w:val="single" w:color="auto" w:sz="4" w:space="0"/>
                    <w:right w:val="single" w:color="auto" w:sz="4" w:space="0"/>
                  </w:tcBorders>
                  <w:vAlign w:val="center"/>
                </w:tcPr>
                <w:p w14:paraId="2F590914">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产生浓度</w:t>
                  </w:r>
                </w:p>
                <w:p w14:paraId="3C558BED">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（mg/L）</w:t>
                  </w:r>
                </w:p>
              </w:tc>
              <w:tc>
                <w:tcPr>
                  <w:tcW w:w="1033" w:type="pct"/>
                  <w:tcBorders>
                    <w:top w:val="single" w:color="auto" w:sz="4" w:space="0"/>
                    <w:left w:val="single" w:color="auto" w:sz="4" w:space="0"/>
                    <w:bottom w:val="single" w:color="auto" w:sz="4" w:space="0"/>
                    <w:right w:val="single" w:color="auto" w:sz="4" w:space="0"/>
                  </w:tcBorders>
                  <w:vAlign w:val="center"/>
                </w:tcPr>
                <w:p w14:paraId="646E71A1">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产生量</w:t>
                  </w:r>
                </w:p>
                <w:p w14:paraId="56F42DE0">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（t/a）</w:t>
                  </w:r>
                </w:p>
              </w:tc>
              <w:tc>
                <w:tcPr>
                  <w:tcW w:w="774" w:type="pct"/>
                  <w:tcBorders>
                    <w:top w:val="single" w:color="auto" w:sz="4" w:space="0"/>
                    <w:left w:val="single" w:color="auto" w:sz="4" w:space="0"/>
                    <w:bottom w:val="single" w:color="auto" w:sz="4" w:space="0"/>
                    <w:right w:val="single" w:color="auto" w:sz="4" w:space="0"/>
                  </w:tcBorders>
                  <w:vAlign w:val="center"/>
                </w:tcPr>
                <w:p w14:paraId="40DB4A3A">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排放浓度</w:t>
                  </w:r>
                </w:p>
                <w:p w14:paraId="48358AE4">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（mg/L）</w:t>
                  </w:r>
                </w:p>
              </w:tc>
              <w:tc>
                <w:tcPr>
                  <w:tcW w:w="808" w:type="pct"/>
                  <w:tcBorders>
                    <w:top w:val="single" w:color="auto" w:sz="4" w:space="0"/>
                    <w:left w:val="single" w:color="auto" w:sz="4" w:space="0"/>
                    <w:bottom w:val="single" w:color="auto" w:sz="4" w:space="0"/>
                    <w:right w:val="single" w:color="auto" w:sz="4" w:space="0"/>
                  </w:tcBorders>
                  <w:vAlign w:val="center"/>
                </w:tcPr>
                <w:p w14:paraId="3CA7EDD8">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排放量</w:t>
                  </w:r>
                </w:p>
                <w:p w14:paraId="4BECC16A">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（t/a）</w:t>
                  </w:r>
                </w:p>
              </w:tc>
            </w:tr>
            <w:tr w14:paraId="27180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492" w:type="pct"/>
                  <w:vMerge w:val="restart"/>
                  <w:tcBorders>
                    <w:top w:val="single" w:color="auto" w:sz="4" w:space="0"/>
                    <w:left w:val="single" w:color="auto" w:sz="4" w:space="0"/>
                    <w:right w:val="single" w:color="auto" w:sz="4" w:space="0"/>
                  </w:tcBorders>
                  <w:vAlign w:val="center"/>
                </w:tcPr>
                <w:p w14:paraId="529DB36A">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w:t>
                  </w:r>
                  <w:r>
                    <w:rPr>
                      <w:rFonts w:hint="default" w:ascii="Times New Roman" w:hAnsi="Times New Roman" w:cs="Times New Roman"/>
                      <w:color w:val="auto"/>
                      <w:sz w:val="18"/>
                      <w:szCs w:val="18"/>
                      <w:lang w:val="en-US" w:eastAsia="zh-CN"/>
                    </w:rPr>
                    <w:t>污水</w:t>
                  </w:r>
                </w:p>
              </w:tc>
              <w:tc>
                <w:tcPr>
                  <w:tcW w:w="480" w:type="pct"/>
                  <w:vMerge w:val="restart"/>
                  <w:tcBorders>
                    <w:top w:val="single" w:color="auto" w:sz="4" w:space="0"/>
                    <w:left w:val="single" w:color="auto" w:sz="4" w:space="0"/>
                    <w:right w:val="single" w:color="auto" w:sz="4" w:space="0"/>
                  </w:tcBorders>
                  <w:vAlign w:val="center"/>
                </w:tcPr>
                <w:p w14:paraId="05784EF0">
                  <w:pPr>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144</w:t>
                  </w:r>
                </w:p>
              </w:tc>
              <w:tc>
                <w:tcPr>
                  <w:tcW w:w="637" w:type="pct"/>
                  <w:tcBorders>
                    <w:top w:val="single" w:color="auto" w:sz="4" w:space="0"/>
                    <w:left w:val="single" w:color="auto" w:sz="4" w:space="0"/>
                    <w:bottom w:val="single" w:color="auto" w:sz="4" w:space="0"/>
                    <w:right w:val="single" w:color="auto" w:sz="4" w:space="0"/>
                  </w:tcBorders>
                  <w:vAlign w:val="center"/>
                </w:tcPr>
                <w:p w14:paraId="0D78B18F">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pH</w:t>
                  </w:r>
                </w:p>
              </w:tc>
              <w:tc>
                <w:tcPr>
                  <w:tcW w:w="774" w:type="pct"/>
                  <w:tcBorders>
                    <w:top w:val="single" w:color="auto" w:sz="4" w:space="0"/>
                    <w:left w:val="single" w:color="auto" w:sz="4" w:space="0"/>
                    <w:bottom w:val="single" w:color="auto" w:sz="4" w:space="0"/>
                    <w:right w:val="single" w:color="auto" w:sz="4" w:space="0"/>
                  </w:tcBorders>
                  <w:vAlign w:val="center"/>
                </w:tcPr>
                <w:p w14:paraId="2FFFD6B6">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6.5-7.5</w:t>
                  </w:r>
                </w:p>
              </w:tc>
              <w:tc>
                <w:tcPr>
                  <w:tcW w:w="1033" w:type="pct"/>
                  <w:tcBorders>
                    <w:top w:val="single" w:color="auto" w:sz="4" w:space="0"/>
                    <w:left w:val="single" w:color="auto" w:sz="4" w:space="0"/>
                    <w:bottom w:val="single" w:color="auto" w:sz="4" w:space="0"/>
                    <w:right w:val="single" w:color="auto" w:sz="4" w:space="0"/>
                  </w:tcBorders>
                  <w:vAlign w:val="center"/>
                </w:tcPr>
                <w:p w14:paraId="16D812A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1582" w:type="pct"/>
                  <w:gridSpan w:val="2"/>
                  <w:vMerge w:val="restart"/>
                  <w:tcBorders>
                    <w:top w:val="single" w:color="auto" w:sz="4" w:space="0"/>
                    <w:left w:val="single" w:color="auto" w:sz="4" w:space="0"/>
                    <w:right w:val="single" w:color="auto" w:sz="4" w:space="0"/>
                  </w:tcBorders>
                  <w:vAlign w:val="center"/>
                </w:tcPr>
                <w:p w14:paraId="166E717A">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环卫部门清运不外排</w:t>
                  </w:r>
                </w:p>
              </w:tc>
            </w:tr>
            <w:tr w14:paraId="3A564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478F5DCF">
                  <w:pPr>
                    <w:jc w:val="center"/>
                    <w:rPr>
                      <w:rFonts w:hint="default" w:ascii="Times New Roman" w:hAnsi="Times New Roman" w:cs="Times New Roman"/>
                      <w:color w:val="auto"/>
                      <w:sz w:val="18"/>
                      <w:szCs w:val="18"/>
                    </w:rPr>
                  </w:pPr>
                </w:p>
              </w:tc>
              <w:tc>
                <w:tcPr>
                  <w:tcW w:w="480" w:type="pct"/>
                  <w:vMerge w:val="continue"/>
                  <w:tcBorders>
                    <w:left w:val="single" w:color="auto" w:sz="4" w:space="0"/>
                    <w:right w:val="single" w:color="auto" w:sz="4" w:space="0"/>
                  </w:tcBorders>
                  <w:vAlign w:val="center"/>
                </w:tcPr>
                <w:p w14:paraId="0A2C93C9">
                  <w:pPr>
                    <w:jc w:val="center"/>
                    <w:rPr>
                      <w:rFonts w:hint="default" w:ascii="Times New Roman" w:hAnsi="Times New Roman" w:cs="Times New Roman"/>
                      <w:color w:val="auto"/>
                      <w:sz w:val="18"/>
                      <w:szCs w:val="18"/>
                    </w:rPr>
                  </w:pPr>
                </w:p>
              </w:tc>
              <w:tc>
                <w:tcPr>
                  <w:tcW w:w="637" w:type="pct"/>
                  <w:tcBorders>
                    <w:top w:val="single" w:color="auto" w:sz="4" w:space="0"/>
                    <w:left w:val="single" w:color="auto" w:sz="4" w:space="0"/>
                    <w:bottom w:val="single" w:color="auto" w:sz="4" w:space="0"/>
                    <w:right w:val="single" w:color="auto" w:sz="4" w:space="0"/>
                  </w:tcBorders>
                  <w:vAlign w:val="center"/>
                </w:tcPr>
                <w:p w14:paraId="16B90763">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COD</w:t>
                  </w:r>
                </w:p>
              </w:tc>
              <w:tc>
                <w:tcPr>
                  <w:tcW w:w="774" w:type="pct"/>
                  <w:tcBorders>
                    <w:top w:val="single" w:color="auto" w:sz="4" w:space="0"/>
                    <w:left w:val="single" w:color="auto" w:sz="4" w:space="0"/>
                    <w:bottom w:val="single" w:color="auto" w:sz="4" w:space="0"/>
                    <w:right w:val="single" w:color="auto" w:sz="4" w:space="0"/>
                  </w:tcBorders>
                  <w:vAlign w:val="center"/>
                </w:tcPr>
                <w:p w14:paraId="7F7217F2">
                  <w:pPr>
                    <w:widowControl/>
                    <w:jc w:val="center"/>
                    <w:textAlignment w:val="bottom"/>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465</w:t>
                  </w:r>
                </w:p>
              </w:tc>
              <w:tc>
                <w:tcPr>
                  <w:tcW w:w="1033" w:type="pct"/>
                  <w:tcBorders>
                    <w:top w:val="single" w:color="auto" w:sz="4" w:space="0"/>
                    <w:left w:val="single" w:color="auto" w:sz="4" w:space="0"/>
                    <w:bottom w:val="single" w:color="auto" w:sz="4" w:space="0"/>
                    <w:right w:val="single" w:color="auto" w:sz="4" w:space="0"/>
                  </w:tcBorders>
                  <w:vAlign w:val="center"/>
                </w:tcPr>
                <w:p w14:paraId="4F1AE569">
                  <w:pPr>
                    <w:widowControl/>
                    <w:jc w:val="center"/>
                    <w:textAlignment w:val="bottom"/>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w:t>
                  </w:r>
                  <w:r>
                    <w:rPr>
                      <w:rFonts w:hint="eastAsia" w:cs="Times New Roman"/>
                      <w:color w:val="auto"/>
                      <w:sz w:val="18"/>
                      <w:szCs w:val="18"/>
                      <w:lang w:val="en-US" w:eastAsia="zh-CN"/>
                    </w:rPr>
                    <w:t>67</w:t>
                  </w:r>
                </w:p>
              </w:tc>
              <w:tc>
                <w:tcPr>
                  <w:tcW w:w="1582" w:type="pct"/>
                  <w:gridSpan w:val="2"/>
                  <w:vMerge w:val="continue"/>
                  <w:tcBorders>
                    <w:left w:val="single" w:color="auto" w:sz="4" w:space="0"/>
                    <w:right w:val="single" w:color="auto" w:sz="4" w:space="0"/>
                  </w:tcBorders>
                  <w:vAlign w:val="center"/>
                </w:tcPr>
                <w:p w14:paraId="50CDAD99">
                  <w:pPr>
                    <w:widowControl/>
                    <w:jc w:val="center"/>
                    <w:textAlignment w:val="center"/>
                    <w:rPr>
                      <w:rFonts w:hint="default" w:ascii="Times New Roman" w:hAnsi="Times New Roman" w:cs="Times New Roman"/>
                      <w:color w:val="auto"/>
                      <w:sz w:val="18"/>
                      <w:szCs w:val="18"/>
                    </w:rPr>
                  </w:pPr>
                </w:p>
              </w:tc>
            </w:tr>
            <w:tr w14:paraId="207F9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5CF06852">
                  <w:pPr>
                    <w:jc w:val="center"/>
                    <w:rPr>
                      <w:rFonts w:hint="default" w:ascii="Times New Roman" w:hAnsi="Times New Roman" w:cs="Times New Roman"/>
                      <w:color w:val="auto"/>
                      <w:sz w:val="18"/>
                      <w:szCs w:val="18"/>
                    </w:rPr>
                  </w:pPr>
                </w:p>
              </w:tc>
              <w:tc>
                <w:tcPr>
                  <w:tcW w:w="480" w:type="pct"/>
                  <w:vMerge w:val="continue"/>
                  <w:tcBorders>
                    <w:left w:val="single" w:color="auto" w:sz="4" w:space="0"/>
                    <w:right w:val="single" w:color="auto" w:sz="4" w:space="0"/>
                  </w:tcBorders>
                  <w:vAlign w:val="center"/>
                </w:tcPr>
                <w:p w14:paraId="0E89EAE2">
                  <w:pPr>
                    <w:jc w:val="center"/>
                    <w:rPr>
                      <w:rFonts w:hint="default" w:ascii="Times New Roman" w:hAnsi="Times New Roman" w:cs="Times New Roman"/>
                      <w:color w:val="auto"/>
                      <w:sz w:val="18"/>
                      <w:szCs w:val="18"/>
                    </w:rPr>
                  </w:pPr>
                </w:p>
              </w:tc>
              <w:tc>
                <w:tcPr>
                  <w:tcW w:w="637" w:type="pct"/>
                  <w:tcBorders>
                    <w:top w:val="single" w:color="auto" w:sz="4" w:space="0"/>
                    <w:left w:val="single" w:color="auto" w:sz="4" w:space="0"/>
                    <w:bottom w:val="single" w:color="auto" w:sz="4" w:space="0"/>
                    <w:right w:val="single" w:color="auto" w:sz="4" w:space="0"/>
                  </w:tcBorders>
                  <w:vAlign w:val="center"/>
                </w:tcPr>
                <w:p w14:paraId="7617C03D">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BOD</w:t>
                  </w:r>
                  <w:r>
                    <w:rPr>
                      <w:rFonts w:hint="default" w:ascii="Times New Roman" w:hAnsi="Times New Roman" w:cs="Times New Roman"/>
                      <w:color w:val="auto"/>
                      <w:sz w:val="18"/>
                      <w:szCs w:val="18"/>
                      <w:vertAlign w:val="subscript"/>
                    </w:rPr>
                    <w:t>5</w:t>
                  </w:r>
                </w:p>
              </w:tc>
              <w:tc>
                <w:tcPr>
                  <w:tcW w:w="774" w:type="pct"/>
                  <w:tcBorders>
                    <w:top w:val="single" w:color="auto" w:sz="4" w:space="0"/>
                    <w:left w:val="single" w:color="auto" w:sz="4" w:space="0"/>
                    <w:bottom w:val="single" w:color="auto" w:sz="4" w:space="0"/>
                    <w:right w:val="single" w:color="auto" w:sz="4" w:space="0"/>
                  </w:tcBorders>
                  <w:vAlign w:val="center"/>
                </w:tcPr>
                <w:p w14:paraId="6FCD6714">
                  <w:pPr>
                    <w:widowControl/>
                    <w:jc w:val="center"/>
                    <w:textAlignment w:val="bottom"/>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w:t>
                  </w:r>
                </w:p>
              </w:tc>
              <w:tc>
                <w:tcPr>
                  <w:tcW w:w="1033" w:type="pct"/>
                  <w:tcBorders>
                    <w:top w:val="single" w:color="auto" w:sz="4" w:space="0"/>
                    <w:left w:val="single" w:color="auto" w:sz="4" w:space="0"/>
                    <w:bottom w:val="single" w:color="auto" w:sz="4" w:space="0"/>
                    <w:right w:val="single" w:color="auto" w:sz="4" w:space="0"/>
                  </w:tcBorders>
                  <w:vAlign w:val="center"/>
                </w:tcPr>
                <w:p w14:paraId="33E62CB7">
                  <w:pPr>
                    <w:widowControl/>
                    <w:jc w:val="center"/>
                    <w:textAlignment w:val="bottom"/>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w:t>
                  </w:r>
                  <w:r>
                    <w:rPr>
                      <w:rFonts w:hint="eastAsia" w:cs="Times New Roman"/>
                      <w:color w:val="auto"/>
                      <w:sz w:val="18"/>
                      <w:szCs w:val="18"/>
                      <w:lang w:val="en-US" w:eastAsia="zh-CN"/>
                    </w:rPr>
                    <w:t>216</w:t>
                  </w:r>
                </w:p>
              </w:tc>
              <w:tc>
                <w:tcPr>
                  <w:tcW w:w="1582" w:type="pct"/>
                  <w:gridSpan w:val="2"/>
                  <w:vMerge w:val="continue"/>
                  <w:tcBorders>
                    <w:left w:val="single" w:color="auto" w:sz="4" w:space="0"/>
                    <w:right w:val="single" w:color="auto" w:sz="4" w:space="0"/>
                  </w:tcBorders>
                  <w:vAlign w:val="center"/>
                </w:tcPr>
                <w:p w14:paraId="637B1433">
                  <w:pPr>
                    <w:widowControl/>
                    <w:jc w:val="center"/>
                    <w:textAlignment w:val="center"/>
                    <w:rPr>
                      <w:rFonts w:hint="default" w:ascii="Times New Roman" w:hAnsi="Times New Roman" w:cs="Times New Roman"/>
                      <w:color w:val="auto"/>
                      <w:sz w:val="18"/>
                      <w:szCs w:val="18"/>
                    </w:rPr>
                  </w:pPr>
                </w:p>
              </w:tc>
            </w:tr>
            <w:tr w14:paraId="3EC8D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2282030B">
                  <w:pPr>
                    <w:jc w:val="center"/>
                    <w:rPr>
                      <w:rFonts w:hint="default" w:ascii="Times New Roman" w:hAnsi="Times New Roman" w:cs="Times New Roman"/>
                      <w:color w:val="auto"/>
                      <w:sz w:val="18"/>
                      <w:szCs w:val="18"/>
                    </w:rPr>
                  </w:pPr>
                </w:p>
              </w:tc>
              <w:tc>
                <w:tcPr>
                  <w:tcW w:w="480" w:type="pct"/>
                  <w:vMerge w:val="continue"/>
                  <w:tcBorders>
                    <w:left w:val="single" w:color="auto" w:sz="4" w:space="0"/>
                    <w:right w:val="single" w:color="auto" w:sz="4" w:space="0"/>
                  </w:tcBorders>
                  <w:vAlign w:val="center"/>
                </w:tcPr>
                <w:p w14:paraId="62AA6E42">
                  <w:pPr>
                    <w:jc w:val="center"/>
                    <w:rPr>
                      <w:rFonts w:hint="default" w:ascii="Times New Roman" w:hAnsi="Times New Roman" w:cs="Times New Roman"/>
                      <w:color w:val="auto"/>
                      <w:sz w:val="18"/>
                      <w:szCs w:val="18"/>
                    </w:rPr>
                  </w:pPr>
                </w:p>
              </w:tc>
              <w:tc>
                <w:tcPr>
                  <w:tcW w:w="637" w:type="pct"/>
                  <w:tcBorders>
                    <w:top w:val="single" w:color="auto" w:sz="4" w:space="0"/>
                    <w:left w:val="single" w:color="auto" w:sz="4" w:space="0"/>
                    <w:bottom w:val="single" w:color="auto" w:sz="4" w:space="0"/>
                    <w:right w:val="single" w:color="auto" w:sz="4" w:space="0"/>
                  </w:tcBorders>
                  <w:vAlign w:val="center"/>
                </w:tcPr>
                <w:p w14:paraId="08FECD87">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SS</w:t>
                  </w:r>
                </w:p>
              </w:tc>
              <w:tc>
                <w:tcPr>
                  <w:tcW w:w="774" w:type="pct"/>
                  <w:tcBorders>
                    <w:top w:val="single" w:color="auto" w:sz="4" w:space="0"/>
                    <w:left w:val="single" w:color="auto" w:sz="4" w:space="0"/>
                    <w:bottom w:val="single" w:color="auto" w:sz="4" w:space="0"/>
                    <w:right w:val="single" w:color="auto" w:sz="4" w:space="0"/>
                  </w:tcBorders>
                  <w:vAlign w:val="center"/>
                </w:tcPr>
                <w:p w14:paraId="75D9CA6A">
                  <w:pPr>
                    <w:widowControl/>
                    <w:jc w:val="center"/>
                    <w:textAlignment w:val="bottom"/>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300</w:t>
                  </w:r>
                </w:p>
              </w:tc>
              <w:tc>
                <w:tcPr>
                  <w:tcW w:w="1033" w:type="pct"/>
                  <w:tcBorders>
                    <w:top w:val="single" w:color="auto" w:sz="4" w:space="0"/>
                    <w:left w:val="single" w:color="auto" w:sz="4" w:space="0"/>
                    <w:bottom w:val="single" w:color="auto" w:sz="4" w:space="0"/>
                    <w:right w:val="single" w:color="auto" w:sz="4" w:space="0"/>
                  </w:tcBorders>
                  <w:vAlign w:val="center"/>
                </w:tcPr>
                <w:p w14:paraId="528C4DFF">
                  <w:pPr>
                    <w:widowControl/>
                    <w:jc w:val="center"/>
                    <w:textAlignment w:val="bottom"/>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w:t>
                  </w:r>
                  <w:r>
                    <w:rPr>
                      <w:rFonts w:hint="eastAsia" w:cs="Times New Roman"/>
                      <w:color w:val="auto"/>
                      <w:sz w:val="18"/>
                      <w:szCs w:val="18"/>
                      <w:lang w:val="en-US" w:eastAsia="zh-CN"/>
                    </w:rPr>
                    <w:t>432</w:t>
                  </w:r>
                </w:p>
              </w:tc>
              <w:tc>
                <w:tcPr>
                  <w:tcW w:w="1582" w:type="pct"/>
                  <w:gridSpan w:val="2"/>
                  <w:vMerge w:val="continue"/>
                  <w:tcBorders>
                    <w:left w:val="single" w:color="auto" w:sz="4" w:space="0"/>
                    <w:right w:val="single" w:color="auto" w:sz="4" w:space="0"/>
                  </w:tcBorders>
                  <w:vAlign w:val="center"/>
                </w:tcPr>
                <w:p w14:paraId="3DB39B18">
                  <w:pPr>
                    <w:widowControl/>
                    <w:jc w:val="center"/>
                    <w:textAlignment w:val="center"/>
                    <w:rPr>
                      <w:rFonts w:hint="default" w:ascii="Times New Roman" w:hAnsi="Times New Roman" w:cs="Times New Roman"/>
                      <w:color w:val="auto"/>
                      <w:sz w:val="18"/>
                      <w:szCs w:val="18"/>
                    </w:rPr>
                  </w:pPr>
                </w:p>
              </w:tc>
            </w:tr>
            <w:tr w14:paraId="6B31B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26D79016">
                  <w:pPr>
                    <w:jc w:val="center"/>
                    <w:rPr>
                      <w:rFonts w:hint="default" w:ascii="Times New Roman" w:hAnsi="Times New Roman" w:cs="Times New Roman"/>
                      <w:color w:val="auto"/>
                      <w:sz w:val="18"/>
                      <w:szCs w:val="18"/>
                    </w:rPr>
                  </w:pPr>
                </w:p>
              </w:tc>
              <w:tc>
                <w:tcPr>
                  <w:tcW w:w="480" w:type="pct"/>
                  <w:vMerge w:val="continue"/>
                  <w:tcBorders>
                    <w:left w:val="single" w:color="auto" w:sz="4" w:space="0"/>
                    <w:right w:val="single" w:color="auto" w:sz="4" w:space="0"/>
                  </w:tcBorders>
                  <w:vAlign w:val="center"/>
                </w:tcPr>
                <w:p w14:paraId="5EFE33F3">
                  <w:pPr>
                    <w:jc w:val="center"/>
                    <w:rPr>
                      <w:rFonts w:hint="default" w:ascii="Times New Roman" w:hAnsi="Times New Roman" w:cs="Times New Roman"/>
                      <w:color w:val="auto"/>
                      <w:sz w:val="18"/>
                      <w:szCs w:val="18"/>
                    </w:rPr>
                  </w:pPr>
                </w:p>
              </w:tc>
              <w:tc>
                <w:tcPr>
                  <w:tcW w:w="637" w:type="pct"/>
                  <w:tcBorders>
                    <w:top w:val="single" w:color="auto" w:sz="4" w:space="0"/>
                    <w:left w:val="single" w:color="auto" w:sz="4" w:space="0"/>
                    <w:bottom w:val="single" w:color="auto" w:sz="4" w:space="0"/>
                    <w:right w:val="single" w:color="auto" w:sz="4" w:space="0"/>
                  </w:tcBorders>
                  <w:vAlign w:val="center"/>
                </w:tcPr>
                <w:p w14:paraId="583156BC">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氨氮</w:t>
                  </w:r>
                </w:p>
              </w:tc>
              <w:tc>
                <w:tcPr>
                  <w:tcW w:w="774" w:type="pct"/>
                  <w:tcBorders>
                    <w:top w:val="single" w:color="auto" w:sz="4" w:space="0"/>
                    <w:left w:val="single" w:color="auto" w:sz="4" w:space="0"/>
                    <w:bottom w:val="single" w:color="auto" w:sz="4" w:space="0"/>
                    <w:right w:val="single" w:color="auto" w:sz="4" w:space="0"/>
                  </w:tcBorders>
                  <w:vAlign w:val="center"/>
                </w:tcPr>
                <w:p w14:paraId="412CC097">
                  <w:pPr>
                    <w:widowControl/>
                    <w:jc w:val="center"/>
                    <w:textAlignment w:val="bottom"/>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53.2</w:t>
                  </w:r>
                </w:p>
              </w:tc>
              <w:tc>
                <w:tcPr>
                  <w:tcW w:w="1033" w:type="pct"/>
                  <w:tcBorders>
                    <w:top w:val="single" w:color="auto" w:sz="4" w:space="0"/>
                    <w:left w:val="single" w:color="auto" w:sz="4" w:space="0"/>
                    <w:bottom w:val="single" w:color="auto" w:sz="4" w:space="0"/>
                    <w:right w:val="single" w:color="auto" w:sz="4" w:space="0"/>
                  </w:tcBorders>
                  <w:vAlign w:val="center"/>
                </w:tcPr>
                <w:p w14:paraId="1F7A914A">
                  <w:pPr>
                    <w:widowControl/>
                    <w:jc w:val="center"/>
                    <w:textAlignment w:val="bottom"/>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0.00</w:t>
                  </w:r>
                  <w:r>
                    <w:rPr>
                      <w:rFonts w:hint="eastAsia" w:cs="Times New Roman"/>
                      <w:color w:val="auto"/>
                      <w:sz w:val="18"/>
                      <w:szCs w:val="18"/>
                      <w:lang w:val="en-US" w:eastAsia="zh-CN"/>
                    </w:rPr>
                    <w:t>77</w:t>
                  </w:r>
                </w:p>
              </w:tc>
              <w:tc>
                <w:tcPr>
                  <w:tcW w:w="1582" w:type="pct"/>
                  <w:gridSpan w:val="2"/>
                  <w:vMerge w:val="continue"/>
                  <w:tcBorders>
                    <w:left w:val="single" w:color="auto" w:sz="4" w:space="0"/>
                    <w:right w:val="single" w:color="auto" w:sz="4" w:space="0"/>
                  </w:tcBorders>
                  <w:vAlign w:val="center"/>
                </w:tcPr>
                <w:p w14:paraId="1B95A6B3">
                  <w:pPr>
                    <w:widowControl/>
                    <w:jc w:val="center"/>
                    <w:textAlignment w:val="center"/>
                    <w:rPr>
                      <w:rFonts w:hint="default" w:ascii="Times New Roman" w:hAnsi="Times New Roman" w:cs="Times New Roman"/>
                      <w:color w:val="auto"/>
                      <w:sz w:val="18"/>
                      <w:szCs w:val="18"/>
                    </w:rPr>
                  </w:pPr>
                </w:p>
              </w:tc>
            </w:tr>
            <w:tr w14:paraId="7CBC6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67D73DC0">
                  <w:pPr>
                    <w:jc w:val="center"/>
                    <w:rPr>
                      <w:rFonts w:hint="default" w:ascii="Times New Roman" w:hAnsi="Times New Roman" w:cs="Times New Roman"/>
                      <w:color w:val="auto"/>
                      <w:sz w:val="18"/>
                      <w:szCs w:val="18"/>
                    </w:rPr>
                  </w:pPr>
                </w:p>
              </w:tc>
              <w:tc>
                <w:tcPr>
                  <w:tcW w:w="480" w:type="pct"/>
                  <w:vMerge w:val="continue"/>
                  <w:tcBorders>
                    <w:left w:val="single" w:color="auto" w:sz="4" w:space="0"/>
                    <w:right w:val="single" w:color="auto" w:sz="4" w:space="0"/>
                  </w:tcBorders>
                  <w:vAlign w:val="center"/>
                </w:tcPr>
                <w:p w14:paraId="0211AC45">
                  <w:pPr>
                    <w:jc w:val="center"/>
                    <w:rPr>
                      <w:rFonts w:hint="default" w:ascii="Times New Roman" w:hAnsi="Times New Roman" w:cs="Times New Roman"/>
                      <w:color w:val="auto"/>
                      <w:sz w:val="18"/>
                      <w:szCs w:val="18"/>
                    </w:rPr>
                  </w:pPr>
                </w:p>
              </w:tc>
              <w:tc>
                <w:tcPr>
                  <w:tcW w:w="637" w:type="pct"/>
                  <w:tcBorders>
                    <w:top w:val="single" w:color="auto" w:sz="4" w:space="0"/>
                    <w:left w:val="single" w:color="auto" w:sz="4" w:space="0"/>
                    <w:bottom w:val="single" w:color="auto" w:sz="4" w:space="0"/>
                    <w:right w:val="single" w:color="auto" w:sz="4" w:space="0"/>
                  </w:tcBorders>
                  <w:vAlign w:val="center"/>
                </w:tcPr>
                <w:p w14:paraId="1C3C9200">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总磷</w:t>
                  </w:r>
                </w:p>
              </w:tc>
              <w:tc>
                <w:tcPr>
                  <w:tcW w:w="774" w:type="pct"/>
                  <w:tcBorders>
                    <w:top w:val="single" w:color="auto" w:sz="4" w:space="0"/>
                    <w:left w:val="single" w:color="auto" w:sz="4" w:space="0"/>
                    <w:bottom w:val="single" w:color="auto" w:sz="4" w:space="0"/>
                    <w:right w:val="single" w:color="auto" w:sz="4" w:space="0"/>
                  </w:tcBorders>
                  <w:vAlign w:val="center"/>
                </w:tcPr>
                <w:p w14:paraId="17C60B20">
                  <w:pPr>
                    <w:widowControl/>
                    <w:jc w:val="center"/>
                    <w:textAlignment w:val="bottom"/>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5.76</w:t>
                  </w:r>
                </w:p>
              </w:tc>
              <w:tc>
                <w:tcPr>
                  <w:tcW w:w="1033" w:type="pct"/>
                  <w:tcBorders>
                    <w:top w:val="single" w:color="auto" w:sz="4" w:space="0"/>
                    <w:left w:val="single" w:color="auto" w:sz="4" w:space="0"/>
                    <w:bottom w:val="single" w:color="auto" w:sz="4" w:space="0"/>
                    <w:right w:val="single" w:color="auto" w:sz="4" w:space="0"/>
                  </w:tcBorders>
                  <w:vAlign w:val="center"/>
                </w:tcPr>
                <w:p w14:paraId="4EF2A725">
                  <w:pPr>
                    <w:widowControl/>
                    <w:jc w:val="center"/>
                    <w:textAlignment w:val="bottom"/>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0.000</w:t>
                  </w:r>
                  <w:r>
                    <w:rPr>
                      <w:rFonts w:hint="eastAsia" w:cs="Times New Roman"/>
                      <w:color w:val="auto"/>
                      <w:sz w:val="18"/>
                      <w:szCs w:val="18"/>
                      <w:lang w:val="en-US" w:eastAsia="zh-CN"/>
                    </w:rPr>
                    <w:t>83</w:t>
                  </w:r>
                </w:p>
              </w:tc>
              <w:tc>
                <w:tcPr>
                  <w:tcW w:w="1582" w:type="pct"/>
                  <w:gridSpan w:val="2"/>
                  <w:vMerge w:val="continue"/>
                  <w:tcBorders>
                    <w:left w:val="single" w:color="auto" w:sz="4" w:space="0"/>
                    <w:bottom w:val="single" w:color="auto" w:sz="4" w:space="0"/>
                    <w:right w:val="single" w:color="auto" w:sz="4" w:space="0"/>
                  </w:tcBorders>
                  <w:vAlign w:val="center"/>
                </w:tcPr>
                <w:p w14:paraId="6AF4856C">
                  <w:pPr>
                    <w:widowControl/>
                    <w:jc w:val="center"/>
                    <w:textAlignment w:val="center"/>
                    <w:rPr>
                      <w:rFonts w:hint="default" w:ascii="Times New Roman" w:hAnsi="Times New Roman" w:cs="Times New Roman"/>
                      <w:color w:val="auto"/>
                      <w:sz w:val="18"/>
                      <w:szCs w:val="18"/>
                    </w:rPr>
                  </w:pPr>
                </w:p>
              </w:tc>
            </w:tr>
          </w:tbl>
          <w:p w14:paraId="6AD7A621">
            <w:pPr>
              <w:pStyle w:val="732"/>
              <w:snapToGrid w:val="0"/>
              <w:spacing w:before="120" w:beforeLines="50" w:line="360" w:lineRule="auto"/>
              <w:ind w:firstLine="420" w:firstLineChars="200"/>
              <w:rPr>
                <w:color w:val="auto"/>
                <w:sz w:val="21"/>
                <w:szCs w:val="21"/>
              </w:rPr>
            </w:pPr>
            <w:r>
              <w:rPr>
                <w:color w:val="auto"/>
                <w:sz w:val="21"/>
                <w:szCs w:val="21"/>
              </w:rPr>
              <w:t>项目生活污水治理及排放信息汇总如下：</w:t>
            </w:r>
          </w:p>
          <w:p w14:paraId="42F8B95C">
            <w:pPr>
              <w:adjustRightInd w:val="0"/>
              <w:snapToGrid w:val="0"/>
              <w:spacing w:line="360" w:lineRule="auto"/>
              <w:jc w:val="center"/>
              <w:rPr>
                <w:b/>
                <w:color w:val="auto"/>
              </w:rPr>
            </w:pPr>
            <w:r>
              <w:rPr>
                <w:b/>
                <w:color w:val="auto"/>
              </w:rPr>
              <w:t>表4-</w:t>
            </w:r>
            <w:r>
              <w:rPr>
                <w:rFonts w:hint="eastAsia"/>
                <w:b/>
                <w:color w:val="auto"/>
                <w:lang w:val="en-US" w:eastAsia="zh-CN"/>
              </w:rPr>
              <w:t>11</w:t>
            </w:r>
            <w:r>
              <w:rPr>
                <w:b/>
                <w:color w:val="auto"/>
              </w:rPr>
              <w:t>废水类别、污染物及污染治理设施信息表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67"/>
              <w:gridCol w:w="899"/>
              <w:gridCol w:w="470"/>
              <w:gridCol w:w="532"/>
              <w:gridCol w:w="505"/>
              <w:gridCol w:w="652"/>
              <w:gridCol w:w="686"/>
              <w:gridCol w:w="485"/>
              <w:gridCol w:w="600"/>
              <w:gridCol w:w="592"/>
              <w:gridCol w:w="585"/>
              <w:gridCol w:w="608"/>
              <w:gridCol w:w="653"/>
              <w:gridCol w:w="608"/>
            </w:tblGrid>
            <w:tr w14:paraId="0FBBC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67" w:type="dxa"/>
                  <w:vMerge w:val="restart"/>
                  <w:vAlign w:val="center"/>
                </w:tcPr>
                <w:p w14:paraId="2F097745">
                  <w:pPr>
                    <w:jc w:val="center"/>
                    <w:rPr>
                      <w:b/>
                      <w:bCs/>
                      <w:color w:val="auto"/>
                      <w:sz w:val="18"/>
                      <w:szCs w:val="18"/>
                    </w:rPr>
                  </w:pPr>
                  <w:r>
                    <w:rPr>
                      <w:b/>
                      <w:bCs/>
                      <w:color w:val="auto"/>
                      <w:sz w:val="18"/>
                      <w:szCs w:val="18"/>
                    </w:rPr>
                    <w:t>产污环节</w:t>
                  </w:r>
                </w:p>
              </w:tc>
              <w:tc>
                <w:tcPr>
                  <w:tcW w:w="899" w:type="dxa"/>
                  <w:vMerge w:val="restart"/>
                  <w:vAlign w:val="center"/>
                </w:tcPr>
                <w:p w14:paraId="3ECDA83D">
                  <w:pPr>
                    <w:jc w:val="center"/>
                    <w:rPr>
                      <w:b/>
                      <w:bCs/>
                      <w:color w:val="auto"/>
                      <w:sz w:val="18"/>
                      <w:szCs w:val="18"/>
                    </w:rPr>
                  </w:pPr>
                  <w:r>
                    <w:rPr>
                      <w:b/>
                      <w:bCs/>
                      <w:color w:val="auto"/>
                      <w:sz w:val="18"/>
                      <w:szCs w:val="18"/>
                    </w:rPr>
                    <w:t>污染物</w:t>
                  </w:r>
                </w:p>
                <w:p w14:paraId="26457806">
                  <w:pPr>
                    <w:jc w:val="center"/>
                    <w:rPr>
                      <w:b/>
                      <w:bCs/>
                      <w:color w:val="auto"/>
                      <w:sz w:val="18"/>
                      <w:szCs w:val="18"/>
                    </w:rPr>
                  </w:pPr>
                  <w:r>
                    <w:rPr>
                      <w:b/>
                      <w:bCs/>
                      <w:color w:val="auto"/>
                      <w:sz w:val="18"/>
                      <w:szCs w:val="18"/>
                    </w:rPr>
                    <w:t>种类</w:t>
                  </w:r>
                </w:p>
              </w:tc>
              <w:tc>
                <w:tcPr>
                  <w:tcW w:w="470" w:type="dxa"/>
                  <w:vMerge w:val="restart"/>
                  <w:vAlign w:val="center"/>
                </w:tcPr>
                <w:p w14:paraId="3068281E">
                  <w:pPr>
                    <w:jc w:val="center"/>
                    <w:rPr>
                      <w:b/>
                      <w:bCs/>
                      <w:color w:val="auto"/>
                      <w:sz w:val="18"/>
                      <w:szCs w:val="18"/>
                    </w:rPr>
                  </w:pPr>
                  <w:r>
                    <w:rPr>
                      <w:b/>
                      <w:bCs/>
                      <w:color w:val="auto"/>
                      <w:sz w:val="18"/>
                      <w:szCs w:val="18"/>
                    </w:rPr>
                    <w:t>废水类别</w:t>
                  </w:r>
                </w:p>
              </w:tc>
              <w:tc>
                <w:tcPr>
                  <w:tcW w:w="2851" w:type="dxa"/>
                  <w:gridSpan w:val="5"/>
                  <w:vAlign w:val="center"/>
                </w:tcPr>
                <w:p w14:paraId="3C2F58C1">
                  <w:pPr>
                    <w:jc w:val="center"/>
                    <w:rPr>
                      <w:b/>
                      <w:bCs/>
                      <w:color w:val="auto"/>
                      <w:sz w:val="18"/>
                      <w:szCs w:val="18"/>
                    </w:rPr>
                  </w:pPr>
                  <w:r>
                    <w:rPr>
                      <w:b/>
                      <w:bCs/>
                      <w:color w:val="auto"/>
                      <w:sz w:val="18"/>
                      <w:szCs w:val="18"/>
                    </w:rPr>
                    <w:t>污染治理设施</w:t>
                  </w:r>
                </w:p>
              </w:tc>
              <w:tc>
                <w:tcPr>
                  <w:tcW w:w="600" w:type="dxa"/>
                  <w:vMerge w:val="restart"/>
                  <w:vAlign w:val="center"/>
                </w:tcPr>
                <w:p w14:paraId="5DFCC471">
                  <w:pPr>
                    <w:jc w:val="center"/>
                    <w:rPr>
                      <w:b/>
                      <w:bCs/>
                      <w:color w:val="auto"/>
                      <w:sz w:val="18"/>
                      <w:szCs w:val="18"/>
                    </w:rPr>
                  </w:pPr>
                  <w:r>
                    <w:rPr>
                      <w:b/>
                      <w:bCs/>
                      <w:color w:val="auto"/>
                      <w:sz w:val="18"/>
                      <w:szCs w:val="18"/>
                    </w:rPr>
                    <w:t>排放</w:t>
                  </w:r>
                </w:p>
                <w:p w14:paraId="71DFB84C">
                  <w:pPr>
                    <w:jc w:val="center"/>
                    <w:rPr>
                      <w:b/>
                      <w:bCs/>
                      <w:color w:val="auto"/>
                      <w:sz w:val="18"/>
                      <w:szCs w:val="18"/>
                    </w:rPr>
                  </w:pPr>
                  <w:r>
                    <w:rPr>
                      <w:b/>
                      <w:bCs/>
                      <w:color w:val="auto"/>
                      <w:sz w:val="18"/>
                      <w:szCs w:val="18"/>
                    </w:rPr>
                    <w:t>去向</w:t>
                  </w:r>
                </w:p>
              </w:tc>
              <w:tc>
                <w:tcPr>
                  <w:tcW w:w="592" w:type="dxa"/>
                  <w:vMerge w:val="restart"/>
                  <w:vAlign w:val="center"/>
                </w:tcPr>
                <w:p w14:paraId="7E7832BE">
                  <w:pPr>
                    <w:jc w:val="center"/>
                    <w:rPr>
                      <w:b/>
                      <w:bCs/>
                      <w:color w:val="auto"/>
                      <w:sz w:val="18"/>
                      <w:szCs w:val="18"/>
                    </w:rPr>
                  </w:pPr>
                  <w:r>
                    <w:rPr>
                      <w:b/>
                      <w:bCs/>
                      <w:color w:val="auto"/>
                      <w:sz w:val="18"/>
                      <w:szCs w:val="18"/>
                    </w:rPr>
                    <w:t>排放</w:t>
                  </w:r>
                </w:p>
                <w:p w14:paraId="3184E0EE">
                  <w:pPr>
                    <w:jc w:val="center"/>
                    <w:rPr>
                      <w:b/>
                      <w:bCs/>
                      <w:color w:val="auto"/>
                      <w:sz w:val="18"/>
                      <w:szCs w:val="18"/>
                    </w:rPr>
                  </w:pPr>
                  <w:r>
                    <w:rPr>
                      <w:b/>
                      <w:bCs/>
                      <w:color w:val="auto"/>
                      <w:sz w:val="18"/>
                      <w:szCs w:val="18"/>
                    </w:rPr>
                    <w:t>方式</w:t>
                  </w:r>
                </w:p>
              </w:tc>
              <w:tc>
                <w:tcPr>
                  <w:tcW w:w="585" w:type="dxa"/>
                  <w:vMerge w:val="restart"/>
                  <w:vAlign w:val="center"/>
                </w:tcPr>
                <w:p w14:paraId="6ED79939">
                  <w:pPr>
                    <w:jc w:val="center"/>
                    <w:rPr>
                      <w:b/>
                      <w:bCs/>
                      <w:color w:val="auto"/>
                      <w:sz w:val="18"/>
                      <w:szCs w:val="18"/>
                    </w:rPr>
                  </w:pPr>
                  <w:r>
                    <w:rPr>
                      <w:b/>
                      <w:bCs/>
                      <w:color w:val="auto"/>
                      <w:sz w:val="18"/>
                      <w:szCs w:val="18"/>
                    </w:rPr>
                    <w:t>排放</w:t>
                  </w:r>
                </w:p>
                <w:p w14:paraId="6E24DB24">
                  <w:pPr>
                    <w:jc w:val="center"/>
                    <w:rPr>
                      <w:b/>
                      <w:bCs/>
                      <w:color w:val="auto"/>
                      <w:sz w:val="18"/>
                      <w:szCs w:val="18"/>
                    </w:rPr>
                  </w:pPr>
                  <w:r>
                    <w:rPr>
                      <w:b/>
                      <w:bCs/>
                      <w:color w:val="auto"/>
                      <w:sz w:val="18"/>
                      <w:szCs w:val="18"/>
                    </w:rPr>
                    <w:t>规律</w:t>
                  </w:r>
                </w:p>
              </w:tc>
              <w:tc>
                <w:tcPr>
                  <w:tcW w:w="608" w:type="dxa"/>
                  <w:vMerge w:val="restart"/>
                  <w:vAlign w:val="center"/>
                </w:tcPr>
                <w:p w14:paraId="7967D9A7">
                  <w:pPr>
                    <w:jc w:val="center"/>
                    <w:rPr>
                      <w:b/>
                      <w:bCs/>
                      <w:color w:val="auto"/>
                      <w:sz w:val="18"/>
                      <w:szCs w:val="18"/>
                    </w:rPr>
                  </w:pPr>
                  <w:r>
                    <w:rPr>
                      <w:b/>
                      <w:bCs/>
                      <w:color w:val="auto"/>
                      <w:sz w:val="18"/>
                      <w:szCs w:val="18"/>
                    </w:rPr>
                    <w:t>排放口编号</w:t>
                  </w:r>
                </w:p>
              </w:tc>
              <w:tc>
                <w:tcPr>
                  <w:tcW w:w="653" w:type="dxa"/>
                  <w:vMerge w:val="restart"/>
                  <w:vAlign w:val="center"/>
                </w:tcPr>
                <w:p w14:paraId="2FB51FF1">
                  <w:pPr>
                    <w:jc w:val="center"/>
                    <w:rPr>
                      <w:b/>
                      <w:bCs/>
                      <w:color w:val="auto"/>
                      <w:sz w:val="18"/>
                      <w:szCs w:val="18"/>
                    </w:rPr>
                  </w:pPr>
                  <w:r>
                    <w:rPr>
                      <w:b/>
                      <w:bCs/>
                      <w:color w:val="auto"/>
                      <w:sz w:val="18"/>
                      <w:szCs w:val="18"/>
                    </w:rPr>
                    <w:t>排放口名称</w:t>
                  </w:r>
                </w:p>
              </w:tc>
              <w:tc>
                <w:tcPr>
                  <w:tcW w:w="608" w:type="dxa"/>
                  <w:vMerge w:val="restart"/>
                  <w:vAlign w:val="center"/>
                </w:tcPr>
                <w:p w14:paraId="747E4FDD">
                  <w:pPr>
                    <w:jc w:val="center"/>
                    <w:rPr>
                      <w:b/>
                      <w:bCs/>
                      <w:color w:val="auto"/>
                      <w:sz w:val="18"/>
                      <w:szCs w:val="18"/>
                    </w:rPr>
                  </w:pPr>
                  <w:r>
                    <w:rPr>
                      <w:b/>
                      <w:bCs/>
                      <w:color w:val="auto"/>
                      <w:sz w:val="18"/>
                      <w:szCs w:val="18"/>
                    </w:rPr>
                    <w:t>排放口类型</w:t>
                  </w:r>
                </w:p>
              </w:tc>
            </w:tr>
            <w:tr w14:paraId="37E0B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67" w:type="dxa"/>
                  <w:vMerge w:val="continue"/>
                  <w:vAlign w:val="center"/>
                </w:tcPr>
                <w:p w14:paraId="1AC7F7DE">
                  <w:pPr>
                    <w:jc w:val="center"/>
                    <w:rPr>
                      <w:color w:val="auto"/>
                      <w:sz w:val="18"/>
                      <w:szCs w:val="18"/>
                    </w:rPr>
                  </w:pPr>
                </w:p>
              </w:tc>
              <w:tc>
                <w:tcPr>
                  <w:tcW w:w="899" w:type="dxa"/>
                  <w:vMerge w:val="continue"/>
                  <w:vAlign w:val="center"/>
                </w:tcPr>
                <w:p w14:paraId="58BA836B">
                  <w:pPr>
                    <w:jc w:val="center"/>
                    <w:rPr>
                      <w:color w:val="auto"/>
                      <w:sz w:val="18"/>
                      <w:szCs w:val="18"/>
                    </w:rPr>
                  </w:pPr>
                </w:p>
              </w:tc>
              <w:tc>
                <w:tcPr>
                  <w:tcW w:w="470" w:type="dxa"/>
                  <w:vMerge w:val="continue"/>
                  <w:vAlign w:val="center"/>
                </w:tcPr>
                <w:p w14:paraId="2E09628F">
                  <w:pPr>
                    <w:jc w:val="center"/>
                    <w:rPr>
                      <w:color w:val="auto"/>
                      <w:sz w:val="18"/>
                      <w:szCs w:val="18"/>
                    </w:rPr>
                  </w:pPr>
                </w:p>
              </w:tc>
              <w:tc>
                <w:tcPr>
                  <w:tcW w:w="532" w:type="dxa"/>
                  <w:vAlign w:val="center"/>
                </w:tcPr>
                <w:p w14:paraId="299008C5">
                  <w:pPr>
                    <w:jc w:val="center"/>
                    <w:rPr>
                      <w:b/>
                      <w:bCs/>
                      <w:color w:val="auto"/>
                      <w:sz w:val="18"/>
                      <w:szCs w:val="18"/>
                    </w:rPr>
                  </w:pPr>
                  <w:r>
                    <w:rPr>
                      <w:b/>
                      <w:bCs/>
                      <w:color w:val="auto"/>
                      <w:sz w:val="18"/>
                      <w:szCs w:val="18"/>
                    </w:rPr>
                    <w:t>设施类型</w:t>
                  </w:r>
                </w:p>
              </w:tc>
              <w:tc>
                <w:tcPr>
                  <w:tcW w:w="505" w:type="dxa"/>
                  <w:vAlign w:val="center"/>
                </w:tcPr>
                <w:p w14:paraId="5E148B26">
                  <w:pPr>
                    <w:jc w:val="center"/>
                    <w:rPr>
                      <w:b/>
                      <w:bCs/>
                      <w:color w:val="auto"/>
                      <w:sz w:val="18"/>
                      <w:szCs w:val="18"/>
                    </w:rPr>
                  </w:pPr>
                  <w:r>
                    <w:rPr>
                      <w:b/>
                      <w:bCs/>
                      <w:color w:val="auto"/>
                      <w:sz w:val="18"/>
                      <w:szCs w:val="18"/>
                    </w:rPr>
                    <w:t>处理</w:t>
                  </w:r>
                </w:p>
                <w:p w14:paraId="69808A48">
                  <w:pPr>
                    <w:jc w:val="center"/>
                    <w:rPr>
                      <w:b/>
                      <w:bCs/>
                      <w:color w:val="auto"/>
                      <w:sz w:val="18"/>
                      <w:szCs w:val="18"/>
                    </w:rPr>
                  </w:pPr>
                  <w:r>
                    <w:rPr>
                      <w:b/>
                      <w:bCs/>
                      <w:color w:val="auto"/>
                      <w:sz w:val="18"/>
                      <w:szCs w:val="18"/>
                    </w:rPr>
                    <w:t>工艺</w:t>
                  </w:r>
                </w:p>
              </w:tc>
              <w:tc>
                <w:tcPr>
                  <w:tcW w:w="643" w:type="dxa"/>
                  <w:vAlign w:val="center"/>
                </w:tcPr>
                <w:p w14:paraId="6EADA1EF">
                  <w:pPr>
                    <w:jc w:val="center"/>
                    <w:rPr>
                      <w:b/>
                      <w:bCs/>
                      <w:color w:val="auto"/>
                      <w:sz w:val="18"/>
                      <w:szCs w:val="18"/>
                    </w:rPr>
                  </w:pPr>
                  <w:r>
                    <w:rPr>
                      <w:b/>
                      <w:bCs/>
                      <w:color w:val="auto"/>
                      <w:sz w:val="18"/>
                      <w:szCs w:val="18"/>
                    </w:rPr>
                    <w:t>处理</w:t>
                  </w:r>
                </w:p>
                <w:p w14:paraId="0EA60A66">
                  <w:pPr>
                    <w:jc w:val="center"/>
                    <w:rPr>
                      <w:b/>
                      <w:bCs/>
                      <w:color w:val="auto"/>
                      <w:sz w:val="18"/>
                      <w:szCs w:val="18"/>
                    </w:rPr>
                  </w:pPr>
                  <w:r>
                    <w:rPr>
                      <w:b/>
                      <w:bCs/>
                      <w:color w:val="auto"/>
                      <w:sz w:val="18"/>
                      <w:szCs w:val="18"/>
                    </w:rPr>
                    <w:t>能力（t/h）</w:t>
                  </w:r>
                </w:p>
              </w:tc>
              <w:tc>
                <w:tcPr>
                  <w:tcW w:w="686" w:type="dxa"/>
                  <w:vAlign w:val="center"/>
                </w:tcPr>
                <w:p w14:paraId="4768B815">
                  <w:pPr>
                    <w:jc w:val="center"/>
                    <w:rPr>
                      <w:b/>
                      <w:bCs/>
                      <w:color w:val="auto"/>
                      <w:sz w:val="18"/>
                      <w:szCs w:val="18"/>
                    </w:rPr>
                  </w:pPr>
                  <w:r>
                    <w:rPr>
                      <w:b/>
                      <w:bCs/>
                      <w:color w:val="auto"/>
                      <w:sz w:val="18"/>
                      <w:szCs w:val="18"/>
                    </w:rPr>
                    <w:t>是否为可行技术</w:t>
                  </w:r>
                </w:p>
              </w:tc>
              <w:tc>
                <w:tcPr>
                  <w:tcW w:w="485" w:type="dxa"/>
                  <w:vAlign w:val="center"/>
                </w:tcPr>
                <w:p w14:paraId="01CE7990">
                  <w:pPr>
                    <w:jc w:val="center"/>
                    <w:rPr>
                      <w:b/>
                      <w:bCs/>
                      <w:color w:val="auto"/>
                      <w:sz w:val="18"/>
                      <w:szCs w:val="18"/>
                    </w:rPr>
                  </w:pPr>
                  <w:r>
                    <w:rPr>
                      <w:b/>
                      <w:bCs/>
                      <w:color w:val="auto"/>
                      <w:sz w:val="18"/>
                      <w:szCs w:val="18"/>
                    </w:rPr>
                    <w:t>设施名称</w:t>
                  </w:r>
                </w:p>
              </w:tc>
              <w:tc>
                <w:tcPr>
                  <w:tcW w:w="600" w:type="dxa"/>
                  <w:vMerge w:val="continue"/>
                  <w:vAlign w:val="center"/>
                </w:tcPr>
                <w:p w14:paraId="34DE946B">
                  <w:pPr>
                    <w:jc w:val="center"/>
                    <w:rPr>
                      <w:color w:val="auto"/>
                      <w:sz w:val="18"/>
                      <w:szCs w:val="18"/>
                    </w:rPr>
                  </w:pPr>
                </w:p>
              </w:tc>
              <w:tc>
                <w:tcPr>
                  <w:tcW w:w="592" w:type="dxa"/>
                  <w:vMerge w:val="continue"/>
                  <w:vAlign w:val="center"/>
                </w:tcPr>
                <w:p w14:paraId="28B39849">
                  <w:pPr>
                    <w:jc w:val="center"/>
                    <w:rPr>
                      <w:color w:val="auto"/>
                      <w:sz w:val="18"/>
                      <w:szCs w:val="18"/>
                    </w:rPr>
                  </w:pPr>
                </w:p>
              </w:tc>
              <w:tc>
                <w:tcPr>
                  <w:tcW w:w="585" w:type="dxa"/>
                  <w:vMerge w:val="continue"/>
                  <w:vAlign w:val="center"/>
                </w:tcPr>
                <w:p w14:paraId="52545892">
                  <w:pPr>
                    <w:jc w:val="center"/>
                    <w:rPr>
                      <w:color w:val="auto"/>
                      <w:sz w:val="18"/>
                      <w:szCs w:val="18"/>
                    </w:rPr>
                  </w:pPr>
                </w:p>
              </w:tc>
              <w:tc>
                <w:tcPr>
                  <w:tcW w:w="608" w:type="dxa"/>
                  <w:vMerge w:val="continue"/>
                  <w:vAlign w:val="center"/>
                </w:tcPr>
                <w:p w14:paraId="34207770">
                  <w:pPr>
                    <w:jc w:val="center"/>
                    <w:rPr>
                      <w:color w:val="auto"/>
                      <w:sz w:val="18"/>
                      <w:szCs w:val="18"/>
                    </w:rPr>
                  </w:pPr>
                </w:p>
              </w:tc>
              <w:tc>
                <w:tcPr>
                  <w:tcW w:w="653" w:type="dxa"/>
                  <w:vMerge w:val="continue"/>
                  <w:vAlign w:val="center"/>
                </w:tcPr>
                <w:p w14:paraId="0A5A8401">
                  <w:pPr>
                    <w:jc w:val="center"/>
                    <w:rPr>
                      <w:color w:val="auto"/>
                      <w:sz w:val="18"/>
                      <w:szCs w:val="18"/>
                    </w:rPr>
                  </w:pPr>
                </w:p>
              </w:tc>
              <w:tc>
                <w:tcPr>
                  <w:tcW w:w="608" w:type="dxa"/>
                  <w:vMerge w:val="continue"/>
                  <w:vAlign w:val="center"/>
                </w:tcPr>
                <w:p w14:paraId="7B31AEC9">
                  <w:pPr>
                    <w:jc w:val="center"/>
                    <w:rPr>
                      <w:color w:val="auto"/>
                      <w:sz w:val="18"/>
                      <w:szCs w:val="18"/>
                    </w:rPr>
                  </w:pPr>
                </w:p>
              </w:tc>
            </w:tr>
            <w:tr w14:paraId="36638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67" w:type="dxa"/>
                  <w:vAlign w:val="center"/>
                </w:tcPr>
                <w:p w14:paraId="054B623F">
                  <w:pPr>
                    <w:jc w:val="center"/>
                    <w:rPr>
                      <w:color w:val="auto"/>
                      <w:sz w:val="18"/>
                      <w:szCs w:val="18"/>
                    </w:rPr>
                  </w:pPr>
                  <w:r>
                    <w:rPr>
                      <w:color w:val="auto"/>
                      <w:sz w:val="18"/>
                      <w:szCs w:val="18"/>
                    </w:rPr>
                    <w:t>职工生活</w:t>
                  </w:r>
                </w:p>
              </w:tc>
              <w:tc>
                <w:tcPr>
                  <w:tcW w:w="899" w:type="dxa"/>
                  <w:vAlign w:val="center"/>
                </w:tcPr>
                <w:p w14:paraId="36DA07D6">
                  <w:pPr>
                    <w:jc w:val="center"/>
                    <w:rPr>
                      <w:color w:val="auto"/>
                      <w:sz w:val="18"/>
                      <w:szCs w:val="18"/>
                    </w:rPr>
                  </w:pPr>
                  <w:r>
                    <w:rPr>
                      <w:color w:val="auto"/>
                      <w:sz w:val="18"/>
                      <w:szCs w:val="18"/>
                    </w:rPr>
                    <w:t>COD、氨氮、BOD</w:t>
                  </w:r>
                  <w:r>
                    <w:rPr>
                      <w:color w:val="auto"/>
                      <w:sz w:val="18"/>
                      <w:szCs w:val="18"/>
                      <w:vertAlign w:val="subscript"/>
                    </w:rPr>
                    <w:t>5</w:t>
                  </w:r>
                  <w:r>
                    <w:rPr>
                      <w:color w:val="auto"/>
                      <w:sz w:val="18"/>
                      <w:szCs w:val="18"/>
                    </w:rPr>
                    <w:t>、SS等</w:t>
                  </w:r>
                </w:p>
              </w:tc>
              <w:tc>
                <w:tcPr>
                  <w:tcW w:w="470" w:type="dxa"/>
                  <w:vAlign w:val="center"/>
                </w:tcPr>
                <w:p w14:paraId="3C9891E6">
                  <w:pPr>
                    <w:jc w:val="center"/>
                    <w:rPr>
                      <w:color w:val="auto"/>
                      <w:sz w:val="18"/>
                      <w:szCs w:val="18"/>
                    </w:rPr>
                  </w:pPr>
                  <w:r>
                    <w:rPr>
                      <w:color w:val="auto"/>
                      <w:sz w:val="18"/>
                      <w:szCs w:val="18"/>
                    </w:rPr>
                    <w:t>生活废水</w:t>
                  </w:r>
                </w:p>
              </w:tc>
              <w:tc>
                <w:tcPr>
                  <w:tcW w:w="532" w:type="dxa"/>
                  <w:vAlign w:val="center"/>
                </w:tcPr>
                <w:p w14:paraId="7B7031F7">
                  <w:pPr>
                    <w:jc w:val="center"/>
                    <w:rPr>
                      <w:color w:val="auto"/>
                      <w:sz w:val="18"/>
                      <w:szCs w:val="18"/>
                    </w:rPr>
                  </w:pPr>
                  <w:r>
                    <w:rPr>
                      <w:color w:val="auto"/>
                      <w:sz w:val="18"/>
                      <w:szCs w:val="18"/>
                    </w:rPr>
                    <w:t>预处理设施</w:t>
                  </w:r>
                </w:p>
              </w:tc>
              <w:tc>
                <w:tcPr>
                  <w:tcW w:w="505" w:type="dxa"/>
                  <w:vAlign w:val="center"/>
                </w:tcPr>
                <w:p w14:paraId="7D81EBDE">
                  <w:pPr>
                    <w:jc w:val="center"/>
                    <w:rPr>
                      <w:color w:val="auto"/>
                      <w:sz w:val="18"/>
                      <w:szCs w:val="18"/>
                    </w:rPr>
                  </w:pPr>
                  <w:r>
                    <w:rPr>
                      <w:color w:val="auto"/>
                      <w:sz w:val="18"/>
                      <w:szCs w:val="18"/>
                    </w:rPr>
                    <w:t>沉淀</w:t>
                  </w:r>
                </w:p>
              </w:tc>
              <w:tc>
                <w:tcPr>
                  <w:tcW w:w="643" w:type="dxa"/>
                  <w:vAlign w:val="center"/>
                </w:tcPr>
                <w:p w14:paraId="2B077DC3">
                  <w:pPr>
                    <w:jc w:val="center"/>
                    <w:rPr>
                      <w:color w:val="auto"/>
                      <w:sz w:val="18"/>
                      <w:szCs w:val="18"/>
                    </w:rPr>
                  </w:pPr>
                  <w:r>
                    <w:rPr>
                      <w:color w:val="auto"/>
                      <w:sz w:val="18"/>
                      <w:szCs w:val="18"/>
                    </w:rPr>
                    <w:t>2</w:t>
                  </w:r>
                </w:p>
              </w:tc>
              <w:tc>
                <w:tcPr>
                  <w:tcW w:w="686" w:type="dxa"/>
                  <w:vAlign w:val="center"/>
                </w:tcPr>
                <w:p w14:paraId="7028F7BF">
                  <w:pPr>
                    <w:jc w:val="center"/>
                    <w:rPr>
                      <w:color w:val="auto"/>
                      <w:sz w:val="18"/>
                      <w:szCs w:val="18"/>
                    </w:rPr>
                  </w:pPr>
                  <w:r>
                    <w:rPr>
                      <w:color w:val="auto"/>
                      <w:sz w:val="18"/>
                      <w:szCs w:val="18"/>
                    </w:rPr>
                    <w:t>是</w:t>
                  </w:r>
                </w:p>
              </w:tc>
              <w:tc>
                <w:tcPr>
                  <w:tcW w:w="485" w:type="dxa"/>
                  <w:vAlign w:val="center"/>
                </w:tcPr>
                <w:p w14:paraId="1DF7CE83">
                  <w:pPr>
                    <w:jc w:val="center"/>
                    <w:rPr>
                      <w:color w:val="auto"/>
                      <w:sz w:val="18"/>
                      <w:szCs w:val="18"/>
                    </w:rPr>
                  </w:pPr>
                  <w:r>
                    <w:rPr>
                      <w:color w:val="auto"/>
                      <w:sz w:val="18"/>
                      <w:szCs w:val="18"/>
                    </w:rPr>
                    <w:t>化粪池</w:t>
                  </w:r>
                </w:p>
              </w:tc>
              <w:tc>
                <w:tcPr>
                  <w:tcW w:w="600" w:type="dxa"/>
                  <w:vAlign w:val="center"/>
                </w:tcPr>
                <w:p w14:paraId="5C252EE4">
                  <w:pPr>
                    <w:jc w:val="center"/>
                    <w:rPr>
                      <w:rFonts w:hint="eastAsia" w:eastAsia="宋体"/>
                      <w:color w:val="auto"/>
                      <w:sz w:val="18"/>
                      <w:szCs w:val="18"/>
                      <w:lang w:eastAsia="zh-CN"/>
                    </w:rPr>
                  </w:pPr>
                  <w:r>
                    <w:rPr>
                      <w:rFonts w:hint="eastAsia"/>
                      <w:color w:val="auto"/>
                      <w:sz w:val="18"/>
                      <w:szCs w:val="18"/>
                      <w:lang w:eastAsia="zh-CN"/>
                    </w:rPr>
                    <w:t>环卫清运</w:t>
                  </w:r>
                </w:p>
              </w:tc>
              <w:tc>
                <w:tcPr>
                  <w:tcW w:w="592" w:type="dxa"/>
                  <w:vAlign w:val="center"/>
                </w:tcPr>
                <w:p w14:paraId="4F894965">
                  <w:pPr>
                    <w:jc w:val="center"/>
                    <w:rPr>
                      <w:rFonts w:hint="eastAsia" w:eastAsia="宋体"/>
                      <w:color w:val="auto"/>
                      <w:sz w:val="18"/>
                      <w:szCs w:val="18"/>
                      <w:lang w:eastAsia="zh-CN"/>
                    </w:rPr>
                  </w:pPr>
                  <w:r>
                    <w:rPr>
                      <w:color w:val="auto"/>
                      <w:sz w:val="18"/>
                      <w:szCs w:val="18"/>
                    </w:rPr>
                    <w:t>不</w:t>
                  </w:r>
                  <w:r>
                    <w:rPr>
                      <w:rFonts w:hint="eastAsia"/>
                      <w:color w:val="auto"/>
                      <w:sz w:val="18"/>
                      <w:szCs w:val="18"/>
                      <w:lang w:eastAsia="zh-CN"/>
                    </w:rPr>
                    <w:t>外排</w:t>
                  </w:r>
                </w:p>
              </w:tc>
              <w:tc>
                <w:tcPr>
                  <w:tcW w:w="585" w:type="dxa"/>
                  <w:vAlign w:val="center"/>
                </w:tcPr>
                <w:p w14:paraId="7ABBFCE5">
                  <w:pPr>
                    <w:jc w:val="center"/>
                    <w:rPr>
                      <w:color w:val="auto"/>
                      <w:sz w:val="18"/>
                      <w:szCs w:val="18"/>
                    </w:rPr>
                  </w:pPr>
                  <w:r>
                    <w:rPr>
                      <w:color w:val="auto"/>
                      <w:sz w:val="18"/>
                      <w:szCs w:val="18"/>
                    </w:rPr>
                    <w:t>-</w:t>
                  </w:r>
                </w:p>
              </w:tc>
              <w:tc>
                <w:tcPr>
                  <w:tcW w:w="608" w:type="dxa"/>
                  <w:vAlign w:val="center"/>
                </w:tcPr>
                <w:p w14:paraId="4D670EA2">
                  <w:pPr>
                    <w:jc w:val="center"/>
                    <w:rPr>
                      <w:color w:val="auto"/>
                      <w:sz w:val="18"/>
                      <w:szCs w:val="18"/>
                    </w:rPr>
                  </w:pPr>
                  <w:r>
                    <w:rPr>
                      <w:color w:val="auto"/>
                      <w:sz w:val="18"/>
                      <w:szCs w:val="18"/>
                    </w:rPr>
                    <w:t>-</w:t>
                  </w:r>
                </w:p>
              </w:tc>
              <w:tc>
                <w:tcPr>
                  <w:tcW w:w="653" w:type="dxa"/>
                  <w:vAlign w:val="center"/>
                </w:tcPr>
                <w:p w14:paraId="5B1BB953">
                  <w:pPr>
                    <w:jc w:val="center"/>
                    <w:rPr>
                      <w:color w:val="auto"/>
                      <w:sz w:val="18"/>
                      <w:szCs w:val="18"/>
                    </w:rPr>
                  </w:pPr>
                  <w:r>
                    <w:rPr>
                      <w:color w:val="auto"/>
                      <w:sz w:val="18"/>
                      <w:szCs w:val="18"/>
                    </w:rPr>
                    <w:t>-</w:t>
                  </w:r>
                </w:p>
              </w:tc>
              <w:tc>
                <w:tcPr>
                  <w:tcW w:w="608" w:type="dxa"/>
                  <w:vAlign w:val="center"/>
                </w:tcPr>
                <w:p w14:paraId="2B26926E">
                  <w:pPr>
                    <w:jc w:val="center"/>
                    <w:rPr>
                      <w:color w:val="auto"/>
                      <w:sz w:val="18"/>
                      <w:szCs w:val="18"/>
                    </w:rPr>
                  </w:pPr>
                  <w:r>
                    <w:rPr>
                      <w:color w:val="auto"/>
                      <w:sz w:val="18"/>
                      <w:szCs w:val="18"/>
                    </w:rPr>
                    <w:t>-</w:t>
                  </w:r>
                </w:p>
              </w:tc>
            </w:tr>
          </w:tbl>
          <w:p w14:paraId="106AA917">
            <w:pPr>
              <w:spacing w:line="420" w:lineRule="exact"/>
              <w:ind w:firstLine="420" w:firstLineChars="200"/>
              <w:rPr>
                <w:b/>
                <w:bCs/>
                <w:color w:val="auto"/>
              </w:rPr>
            </w:pPr>
            <w:r>
              <w:rPr>
                <w:bCs/>
                <w:color w:val="auto"/>
              </w:rPr>
              <w:t>综上，</w:t>
            </w:r>
            <w:r>
              <w:rPr>
                <w:rFonts w:hint="eastAsia"/>
                <w:bCs/>
                <w:color w:val="auto"/>
                <w:lang w:eastAsia="zh-CN"/>
              </w:rPr>
              <w:t>化粪池处理能力可以满足本项目需求。</w:t>
            </w:r>
            <w:r>
              <w:rPr>
                <w:color w:val="auto"/>
              </w:rPr>
              <w:t>项目化粪池</w:t>
            </w:r>
            <w:r>
              <w:rPr>
                <w:rFonts w:hint="eastAsia"/>
                <w:color w:val="auto"/>
                <w:lang w:eastAsia="zh-CN"/>
              </w:rPr>
              <w:t>已</w:t>
            </w:r>
            <w:r>
              <w:rPr>
                <w:color w:val="auto"/>
              </w:rPr>
              <w:t>做好防渗、防泄漏措施，项目在落实好各项环保设施的情况下，不会对周边地表水环境造成影响。</w:t>
            </w:r>
          </w:p>
          <w:p w14:paraId="3317FAF2">
            <w:pPr>
              <w:spacing w:line="420" w:lineRule="exact"/>
              <w:ind w:firstLine="422" w:firstLineChars="200"/>
              <w:rPr>
                <w:b/>
                <w:bCs/>
                <w:color w:val="auto"/>
              </w:rPr>
            </w:pPr>
            <w:r>
              <w:rPr>
                <w:b/>
                <w:bCs/>
                <w:color w:val="auto"/>
              </w:rPr>
              <w:t>三、噪声：</w:t>
            </w:r>
          </w:p>
          <w:p w14:paraId="388DA8C9">
            <w:pPr>
              <w:spacing w:line="420" w:lineRule="exact"/>
              <w:ind w:firstLine="420" w:firstLineChars="200"/>
              <w:rPr>
                <w:rFonts w:hint="eastAsia"/>
                <w:bCs/>
                <w:color w:val="auto"/>
                <w:highlight w:val="none"/>
                <w:lang w:eastAsia="zh-CN"/>
              </w:rPr>
            </w:pPr>
            <w:r>
              <w:rPr>
                <w:rFonts w:hint="eastAsia"/>
                <w:bCs/>
                <w:color w:val="auto"/>
                <w:highlight w:val="none"/>
                <w:lang w:eastAsia="zh-CN"/>
              </w:rPr>
              <w:t>1、噪声源描述</w:t>
            </w:r>
          </w:p>
          <w:p w14:paraId="21CF1EE7">
            <w:pPr>
              <w:spacing w:line="420" w:lineRule="exact"/>
              <w:ind w:firstLine="420" w:firstLineChars="200"/>
              <w:rPr>
                <w:color w:val="auto"/>
                <w:highlight w:val="none"/>
                <w:lang w:val="de-DE"/>
              </w:rPr>
            </w:pPr>
            <w:r>
              <w:rPr>
                <w:rFonts w:hint="eastAsia"/>
                <w:bCs/>
                <w:color w:val="auto"/>
                <w:highlight w:val="none"/>
                <w:lang w:eastAsia="zh-CN"/>
              </w:rPr>
              <w:t>本项目噪</w:t>
            </w:r>
            <w:r>
              <w:rPr>
                <w:color w:val="auto"/>
                <w:highlight w:val="none"/>
              </w:rPr>
              <w:t>声源主要</w:t>
            </w:r>
            <w:r>
              <w:rPr>
                <w:rFonts w:hint="eastAsia"/>
                <w:color w:val="auto"/>
                <w:highlight w:val="none"/>
                <w:lang w:eastAsia="zh-CN"/>
              </w:rPr>
              <w:t>为振动筛、螺旋上料机、行星混料机、空压机</w:t>
            </w:r>
            <w:r>
              <w:rPr>
                <w:rFonts w:hint="eastAsia"/>
                <w:color w:val="auto"/>
                <w:highlight w:val="none"/>
                <w:lang w:val="en-US" w:eastAsia="zh-CN"/>
              </w:rPr>
              <w:t>、布袋除尘器和风机</w:t>
            </w:r>
            <w:r>
              <w:rPr>
                <w:color w:val="auto"/>
                <w:highlight w:val="none"/>
              </w:rPr>
              <w:t>等设备</w:t>
            </w:r>
            <w:r>
              <w:rPr>
                <w:rFonts w:hint="eastAsia"/>
                <w:color w:val="auto"/>
                <w:highlight w:val="none"/>
                <w:lang w:eastAsia="zh-CN"/>
              </w:rPr>
              <w:t>运转</w:t>
            </w:r>
            <w:r>
              <w:rPr>
                <w:color w:val="auto"/>
                <w:highlight w:val="none"/>
                <w:lang w:val="de-DE"/>
              </w:rPr>
              <w:t>产生的</w:t>
            </w:r>
            <w:r>
              <w:rPr>
                <w:rFonts w:hint="eastAsia"/>
                <w:color w:val="auto"/>
                <w:highlight w:val="none"/>
                <w:lang w:val="de-DE" w:eastAsia="zh-CN"/>
              </w:rPr>
              <w:t>机械</w:t>
            </w:r>
            <w:r>
              <w:rPr>
                <w:color w:val="auto"/>
                <w:highlight w:val="none"/>
                <w:lang w:val="de-DE"/>
              </w:rPr>
              <w:t>噪声，根据国内同类行业的车间内噪声值的经验数据，其噪声级在</w:t>
            </w:r>
            <w:r>
              <w:rPr>
                <w:rFonts w:hint="eastAsia"/>
                <w:color w:val="auto"/>
                <w:highlight w:val="none"/>
                <w:lang w:val="en-US" w:eastAsia="zh-CN"/>
              </w:rPr>
              <w:t>75-90</w:t>
            </w:r>
            <w:r>
              <w:rPr>
                <w:color w:val="auto"/>
                <w:highlight w:val="none"/>
                <w:lang w:val="de-DE"/>
              </w:rPr>
              <w:t>dB（A）之间。</w:t>
            </w:r>
          </w:p>
          <w:p w14:paraId="3D6B146A">
            <w:pPr>
              <w:spacing w:line="420" w:lineRule="exact"/>
              <w:ind w:firstLine="420" w:firstLineChars="200"/>
              <w:rPr>
                <w:rFonts w:hint="default"/>
                <w:color w:val="auto"/>
                <w:highlight w:val="none"/>
                <w:lang w:val="de-DE"/>
              </w:rPr>
            </w:pPr>
            <w:r>
              <w:rPr>
                <w:rFonts w:hint="default"/>
                <w:color w:val="auto"/>
                <w:highlight w:val="none"/>
                <w:lang w:val="de-DE"/>
              </w:rPr>
              <w:t>2、降噪措施</w:t>
            </w:r>
          </w:p>
          <w:p w14:paraId="6C50C0BF">
            <w:pPr>
              <w:spacing w:line="420" w:lineRule="exact"/>
              <w:ind w:firstLine="420" w:firstLineChars="200"/>
              <w:rPr>
                <w:rFonts w:hint="default"/>
                <w:color w:val="auto"/>
                <w:highlight w:val="none"/>
                <w:lang w:val="de-DE"/>
              </w:rPr>
            </w:pPr>
            <w:r>
              <w:rPr>
                <w:rFonts w:hint="default"/>
                <w:color w:val="auto"/>
                <w:highlight w:val="none"/>
                <w:lang w:val="de-DE"/>
              </w:rPr>
              <w:t>①在满足功能要求的前提下，尽量选择低噪声且符合国家噪声标准的环保型设备。设备安装时加装减振垫，生产时加强对各类机械设备的维护保养，把对环境的影响降到最低限度。</w:t>
            </w:r>
          </w:p>
          <w:p w14:paraId="684B65CC">
            <w:pPr>
              <w:spacing w:line="420" w:lineRule="exact"/>
              <w:ind w:firstLine="420" w:firstLineChars="200"/>
              <w:rPr>
                <w:rFonts w:hint="default"/>
                <w:color w:val="auto"/>
                <w:highlight w:val="none"/>
                <w:lang w:val="de-DE"/>
              </w:rPr>
            </w:pPr>
            <w:r>
              <w:rPr>
                <w:rFonts w:hint="default"/>
                <w:color w:val="auto"/>
                <w:highlight w:val="none"/>
                <w:lang w:val="de-DE"/>
              </w:rPr>
              <w:t>②对于空气动力性噪声的机械设备，如风机等进出风口加装消声器。</w:t>
            </w:r>
          </w:p>
          <w:p w14:paraId="7D7393C6">
            <w:pPr>
              <w:spacing w:line="420" w:lineRule="exact"/>
              <w:ind w:firstLine="420" w:firstLineChars="200"/>
              <w:rPr>
                <w:rFonts w:hint="default"/>
                <w:color w:val="auto"/>
                <w:highlight w:val="none"/>
                <w:lang w:val="de-DE"/>
              </w:rPr>
            </w:pPr>
            <w:r>
              <w:rPr>
                <w:rFonts w:hint="default"/>
                <w:color w:val="auto"/>
                <w:highlight w:val="none"/>
                <w:lang w:val="de-DE"/>
              </w:rPr>
              <w:t>③厂房内装隔声门窗。</w:t>
            </w:r>
          </w:p>
          <w:p w14:paraId="7D46709A">
            <w:pPr>
              <w:spacing w:line="420" w:lineRule="exact"/>
              <w:ind w:firstLine="420" w:firstLineChars="200"/>
              <w:rPr>
                <w:rFonts w:hint="default"/>
                <w:color w:val="auto"/>
                <w:highlight w:val="none"/>
                <w:lang w:val="de-DE"/>
              </w:rPr>
            </w:pPr>
            <w:r>
              <w:rPr>
                <w:rFonts w:hint="default"/>
                <w:color w:val="auto"/>
                <w:highlight w:val="none"/>
                <w:lang w:val="de-DE"/>
              </w:rPr>
              <w:t>④严格规定生产时间，尽量不安排夜间进行生产。产品及原料运输应安排在白天进行，尽量不安排在夜间进行运输作业，避免噪声扰民。</w:t>
            </w:r>
          </w:p>
          <w:p w14:paraId="59934C90">
            <w:pPr>
              <w:spacing w:line="420" w:lineRule="exact"/>
              <w:ind w:firstLine="420" w:firstLineChars="200"/>
              <w:rPr>
                <w:rFonts w:hint="eastAsia" w:cs="Times New Roman"/>
                <w:color w:val="auto"/>
                <w:highlight w:val="none"/>
                <w:lang w:val="de-DE" w:eastAsia="zh-CN"/>
              </w:rPr>
            </w:pPr>
            <w:r>
              <w:rPr>
                <w:rFonts w:hint="default"/>
                <w:color w:val="auto"/>
                <w:highlight w:val="none"/>
                <w:lang w:val="de-DE"/>
              </w:rPr>
              <w:t>⑤加</w:t>
            </w:r>
            <w:r>
              <w:rPr>
                <w:rFonts w:hint="default" w:ascii="Times New Roman" w:hAnsi="Times New Roman" w:eastAsia="宋体" w:cs="Times New Roman"/>
                <w:color w:val="auto"/>
                <w:highlight w:val="none"/>
                <w:lang w:val="de-DE"/>
              </w:rPr>
              <w:t>强职工环保意识教育，提倡文明生产，防止人为噪声；强化行车管理制度，设置降噪标准，严禁鸣号，进入厂区低速行驶，最大限度减少流动噪声源</w:t>
            </w:r>
            <w:r>
              <w:rPr>
                <w:rFonts w:hint="eastAsia" w:cs="Times New Roman"/>
                <w:color w:val="auto"/>
                <w:highlight w:val="none"/>
                <w:lang w:val="de-DE" w:eastAsia="zh-CN"/>
              </w:rPr>
              <w:t>。</w:t>
            </w:r>
          </w:p>
          <w:p w14:paraId="345E3B33">
            <w:pPr>
              <w:spacing w:line="420" w:lineRule="exact"/>
              <w:ind w:firstLine="420" w:firstLineChars="200"/>
              <w:rPr>
                <w:rFonts w:hint="default" w:ascii="Times New Roman" w:hAnsi="Times New Roman" w:eastAsia="宋体" w:cs="Times New Roman"/>
                <w:color w:val="auto"/>
                <w:highlight w:val="none"/>
                <w:lang w:val="de-DE"/>
              </w:rPr>
            </w:pPr>
            <w:r>
              <w:rPr>
                <w:rFonts w:hint="eastAsia" w:ascii="微软雅黑" w:hAnsi="微软雅黑" w:eastAsia="微软雅黑" w:cs="微软雅黑"/>
                <w:color w:val="auto"/>
                <w:highlight w:val="none"/>
                <w:lang w:val="de-DE"/>
              </w:rPr>
              <w:t>⑥</w:t>
            </w:r>
            <w:r>
              <w:rPr>
                <w:rFonts w:hint="eastAsia" w:cs="Times New Roman"/>
                <w:color w:val="auto"/>
                <w:highlight w:val="none"/>
                <w:lang w:val="en-US" w:eastAsia="zh-CN"/>
              </w:rPr>
              <w:t>对敏感目标的降噪措施：车间内装隔声门窗，将噪声源与敏感目标保持一定的距离，将工业区域设置在远离敏感目标</w:t>
            </w:r>
            <w:r>
              <w:rPr>
                <w:rFonts w:hint="default" w:ascii="Times New Roman" w:hAnsi="Times New Roman" w:eastAsia="宋体" w:cs="Times New Roman"/>
                <w:color w:val="auto"/>
                <w:highlight w:val="none"/>
                <w:lang w:val="de-DE"/>
              </w:rPr>
              <w:t>。</w:t>
            </w:r>
          </w:p>
          <w:p w14:paraId="13083C34">
            <w:pPr>
              <w:spacing w:line="420" w:lineRule="exact"/>
              <w:ind w:firstLine="420" w:firstLineChars="200"/>
              <w:rPr>
                <w:rFonts w:hint="default" w:ascii="Times New Roman" w:hAnsi="Times New Roman" w:eastAsia="宋体" w:cs="Times New Roman"/>
                <w:color w:val="auto"/>
                <w:highlight w:val="none"/>
                <w:lang w:val="de-DE"/>
              </w:rPr>
            </w:pPr>
            <w:r>
              <w:rPr>
                <w:rFonts w:hint="default" w:ascii="Times New Roman" w:hAnsi="Times New Roman" w:eastAsia="宋体" w:cs="Times New Roman"/>
                <w:color w:val="auto"/>
                <w:highlight w:val="none"/>
                <w:lang w:val="de-DE"/>
              </w:rPr>
              <w:t>3、声环境保护目标调查</w:t>
            </w:r>
          </w:p>
          <w:p w14:paraId="7E5EC655">
            <w:pPr>
              <w:spacing w:line="420" w:lineRule="exact"/>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de-DE" w:eastAsia="zh-CN"/>
              </w:rPr>
              <w:t>本厂区50米范围内</w:t>
            </w:r>
            <w:r>
              <w:rPr>
                <w:rFonts w:hint="eastAsia" w:cs="Times New Roman"/>
                <w:color w:val="auto"/>
                <w:highlight w:val="none"/>
                <w:lang w:val="en-US" w:eastAsia="zh-CN"/>
              </w:rPr>
              <w:t>无</w:t>
            </w:r>
            <w:r>
              <w:rPr>
                <w:rFonts w:hint="default" w:ascii="Times New Roman" w:hAnsi="Times New Roman" w:eastAsia="宋体" w:cs="Times New Roman"/>
                <w:color w:val="auto"/>
                <w:highlight w:val="none"/>
                <w:lang w:val="en-US" w:eastAsia="zh-CN"/>
              </w:rPr>
              <w:t>声环境保护目标。</w:t>
            </w:r>
          </w:p>
          <w:p w14:paraId="04C32F77">
            <w:pPr>
              <w:spacing w:line="420" w:lineRule="exact"/>
              <w:ind w:firstLine="420" w:firstLineChars="200"/>
              <w:rPr>
                <w:rFonts w:hint="default"/>
                <w:color w:val="auto"/>
                <w:highlight w:val="none"/>
                <w:lang w:val="de-DE"/>
              </w:rPr>
            </w:pPr>
            <w:r>
              <w:rPr>
                <w:rFonts w:hint="default"/>
                <w:color w:val="auto"/>
                <w:highlight w:val="none"/>
                <w:lang w:val="de-DE"/>
              </w:rPr>
              <w:t>4、噪声源调查与分析</w:t>
            </w:r>
          </w:p>
          <w:p w14:paraId="4671DE36">
            <w:pPr>
              <w:spacing w:line="420" w:lineRule="exact"/>
              <w:ind w:firstLine="420" w:firstLineChars="200"/>
              <w:rPr>
                <w:rFonts w:hint="eastAsia" w:eastAsia="宋体"/>
                <w:color w:val="auto"/>
                <w:highlight w:val="none"/>
                <w:lang w:val="de-DE" w:eastAsia="zh-CN"/>
              </w:rPr>
            </w:pPr>
            <w:r>
              <w:rPr>
                <w:rFonts w:hint="default"/>
                <w:color w:val="auto"/>
                <w:highlight w:val="none"/>
                <w:lang w:val="de-DE"/>
              </w:rPr>
              <w:t>类比相关行业设备的噪声源强，本项目噪声源强调查清单如下</w:t>
            </w:r>
            <w:r>
              <w:rPr>
                <w:rFonts w:hint="eastAsia"/>
                <w:color w:val="auto"/>
                <w:highlight w:val="none"/>
                <w:lang w:val="de-DE" w:eastAsia="zh-CN"/>
              </w:rPr>
              <w:t>。</w:t>
            </w:r>
          </w:p>
          <w:p w14:paraId="2060789F">
            <w:pPr>
              <w:spacing w:line="420" w:lineRule="exact"/>
              <w:ind w:firstLine="422" w:firstLineChars="200"/>
              <w:jc w:val="center"/>
              <w:rPr>
                <w:rFonts w:hint="eastAsia"/>
                <w:b/>
                <w:bCs/>
                <w:color w:val="auto"/>
                <w:highlight w:val="none"/>
                <w:lang w:eastAsia="zh-CN"/>
              </w:rPr>
            </w:pPr>
            <w:r>
              <w:rPr>
                <w:b/>
                <w:bCs/>
                <w:color w:val="auto"/>
                <w:highlight w:val="none"/>
              </w:rPr>
              <w:t>表4-</w:t>
            </w:r>
            <w:r>
              <w:rPr>
                <w:rFonts w:hint="eastAsia"/>
                <w:b/>
                <w:bCs/>
                <w:color w:val="auto"/>
                <w:highlight w:val="none"/>
                <w:lang w:val="en-US" w:eastAsia="zh-CN"/>
              </w:rPr>
              <w:t>12本</w:t>
            </w:r>
            <w:r>
              <w:rPr>
                <w:b/>
                <w:bCs/>
                <w:color w:val="auto"/>
                <w:highlight w:val="none"/>
              </w:rPr>
              <w:t>项目设备噪声产生情况</w:t>
            </w:r>
            <w:r>
              <w:rPr>
                <w:rFonts w:hint="eastAsia"/>
                <w:b/>
                <w:bCs/>
                <w:color w:val="auto"/>
                <w:highlight w:val="none"/>
                <w:lang w:eastAsia="zh-CN"/>
              </w:rPr>
              <w:t>（室内声源）</w:t>
            </w:r>
          </w:p>
          <w:tbl>
            <w:tblPr>
              <w:tblStyle w:val="139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40"/>
              <w:gridCol w:w="254"/>
              <w:gridCol w:w="902"/>
              <w:gridCol w:w="705"/>
              <w:gridCol w:w="646"/>
              <w:gridCol w:w="595"/>
              <w:gridCol w:w="287"/>
              <w:gridCol w:w="383"/>
              <w:gridCol w:w="298"/>
              <w:gridCol w:w="767"/>
              <w:gridCol w:w="730"/>
              <w:gridCol w:w="755"/>
              <w:gridCol w:w="647"/>
              <w:gridCol w:w="665"/>
              <w:gridCol w:w="489"/>
            </w:tblGrid>
            <w:tr w14:paraId="0BFD3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113" w:type="pct"/>
                  <w:vMerge w:val="restart"/>
                  <w:noWrap w:val="0"/>
                  <w:vAlign w:val="center"/>
                </w:tcPr>
                <w:p w14:paraId="631B87A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472C0D0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序号</w:t>
                  </w:r>
                </w:p>
              </w:tc>
              <w:tc>
                <w:tcPr>
                  <w:tcW w:w="185" w:type="pct"/>
                  <w:vMerge w:val="restart"/>
                  <w:noWrap w:val="0"/>
                  <w:vAlign w:val="center"/>
                </w:tcPr>
                <w:p w14:paraId="04FF18B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47B26E7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 名称</w:t>
                  </w:r>
                </w:p>
              </w:tc>
              <w:tc>
                <w:tcPr>
                  <w:tcW w:w="572" w:type="pct"/>
                  <w:vMerge w:val="restart"/>
                  <w:noWrap w:val="0"/>
                  <w:vAlign w:val="center"/>
                </w:tcPr>
                <w:p w14:paraId="352D4E9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0E83033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声源名称</w:t>
                  </w:r>
                </w:p>
              </w:tc>
              <w:tc>
                <w:tcPr>
                  <w:tcW w:w="331" w:type="pct"/>
                  <w:vMerge w:val="restart"/>
                  <w:noWrap w:val="0"/>
                  <w:vAlign w:val="center"/>
                </w:tcPr>
                <w:p w14:paraId="4498D6B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3EA913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型号</w:t>
                  </w:r>
                </w:p>
              </w:tc>
              <w:tc>
                <w:tcPr>
                  <w:tcW w:w="342" w:type="pct"/>
                  <w:noWrap w:val="0"/>
                  <w:vAlign w:val="center"/>
                </w:tcPr>
                <w:p w14:paraId="2F4689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声源源强</w:t>
                  </w:r>
                </w:p>
              </w:tc>
              <w:tc>
                <w:tcPr>
                  <w:tcW w:w="389" w:type="pct"/>
                  <w:vMerge w:val="restart"/>
                  <w:noWrap w:val="0"/>
                  <w:vAlign w:val="center"/>
                </w:tcPr>
                <w:p w14:paraId="11349F5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5891A1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声源控制措施</w:t>
                  </w:r>
                </w:p>
              </w:tc>
              <w:tc>
                <w:tcPr>
                  <w:tcW w:w="672" w:type="pct"/>
                  <w:gridSpan w:val="3"/>
                  <w:noWrap w:val="0"/>
                  <w:vAlign w:val="center"/>
                </w:tcPr>
                <w:p w14:paraId="64C166C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空间相对位置</w:t>
                  </w:r>
                  <w:r>
                    <w:rPr>
                      <w:rFonts w:hint="default" w:ascii="Times New Roman" w:hAnsi="Times New Roman" w:eastAsia="Times New Roman" w:cs="Times New Roman"/>
                      <w:b/>
                      <w:bCs/>
                      <w:snapToGrid w:val="0"/>
                      <w:color w:val="auto"/>
                      <w:spacing w:val="0"/>
                      <w:kern w:val="0"/>
                      <w:sz w:val="18"/>
                      <w:szCs w:val="18"/>
                      <w:highlight w:val="none"/>
                    </w:rPr>
                    <w:t>/m</w:t>
                  </w:r>
                </w:p>
              </w:tc>
              <w:tc>
                <w:tcPr>
                  <w:tcW w:w="497" w:type="pct"/>
                  <w:vMerge w:val="restart"/>
                  <w:noWrap w:val="0"/>
                  <w:vAlign w:val="center"/>
                </w:tcPr>
                <w:p w14:paraId="7178776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距室内</w:t>
                  </w:r>
                </w:p>
                <w:p w14:paraId="3B99AD7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边界距</w:t>
                  </w:r>
                </w:p>
                <w:p w14:paraId="4516F23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离</w:t>
                  </w:r>
                  <w:r>
                    <w:rPr>
                      <w:rFonts w:hint="default" w:ascii="Times New Roman" w:hAnsi="Times New Roman" w:eastAsia="Times New Roman" w:cs="Times New Roman"/>
                      <w:b/>
                      <w:bCs/>
                      <w:snapToGrid w:val="0"/>
                      <w:color w:val="auto"/>
                      <w:spacing w:val="0"/>
                      <w:kern w:val="0"/>
                      <w:sz w:val="18"/>
                      <w:szCs w:val="18"/>
                      <w:highlight w:val="none"/>
                    </w:rPr>
                    <w:t>/m</w:t>
                  </w:r>
                </w:p>
              </w:tc>
              <w:tc>
                <w:tcPr>
                  <w:tcW w:w="469" w:type="pct"/>
                  <w:vMerge w:val="restart"/>
                  <w:noWrap w:val="0"/>
                  <w:vAlign w:val="center"/>
                </w:tcPr>
                <w:p w14:paraId="5A296B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 xml:space="preserve">室内边 界声级 </w:t>
                  </w:r>
                  <w:r>
                    <w:rPr>
                      <w:rFonts w:hint="default" w:ascii="Times New Roman" w:hAnsi="Times New Roman" w:eastAsia="Times New Roman" w:cs="Times New Roman"/>
                      <w:b/>
                      <w:bCs/>
                      <w:snapToGrid w:val="0"/>
                      <w:color w:val="auto"/>
                      <w:spacing w:val="0"/>
                      <w:kern w:val="0"/>
                      <w:sz w:val="18"/>
                      <w:szCs w:val="18"/>
                      <w:highlight w:val="none"/>
                    </w:rPr>
                    <w:t>/dB(A)</w:t>
                  </w:r>
                </w:p>
              </w:tc>
              <w:tc>
                <w:tcPr>
                  <w:tcW w:w="352" w:type="pct"/>
                  <w:vMerge w:val="restart"/>
                  <w:noWrap w:val="0"/>
                  <w:vAlign w:val="center"/>
                </w:tcPr>
                <w:p w14:paraId="625F7F7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4DDB5A7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运行时段</w:t>
                  </w:r>
                </w:p>
              </w:tc>
              <w:tc>
                <w:tcPr>
                  <w:tcW w:w="317" w:type="pct"/>
                  <w:vMerge w:val="restart"/>
                  <w:noWrap w:val="0"/>
                  <w:vAlign w:val="center"/>
                </w:tcPr>
                <w:p w14:paraId="1BCC558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 xml:space="preserve">建筑物插 入损失 </w:t>
                  </w:r>
                  <w:r>
                    <w:rPr>
                      <w:rFonts w:hint="default" w:ascii="Times New Roman" w:hAnsi="Times New Roman" w:eastAsia="Times New Roman" w:cs="Times New Roman"/>
                      <w:b/>
                      <w:bCs/>
                      <w:snapToGrid w:val="0"/>
                      <w:color w:val="auto"/>
                      <w:spacing w:val="0"/>
                      <w:kern w:val="0"/>
                      <w:sz w:val="18"/>
                      <w:szCs w:val="18"/>
                      <w:highlight w:val="none"/>
                    </w:rPr>
                    <w:t>/dB(A)</w:t>
                  </w:r>
                </w:p>
              </w:tc>
              <w:tc>
                <w:tcPr>
                  <w:tcW w:w="755" w:type="pct"/>
                  <w:gridSpan w:val="2"/>
                  <w:noWrap w:val="0"/>
                  <w:vAlign w:val="center"/>
                </w:tcPr>
                <w:p w14:paraId="112FE7E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建筑物外噪声</w:t>
                  </w:r>
                </w:p>
              </w:tc>
            </w:tr>
            <w:tr w14:paraId="66BCD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72" w:hRule="atLeast"/>
              </w:trPr>
              <w:tc>
                <w:tcPr>
                  <w:tcW w:w="113" w:type="pct"/>
                  <w:vMerge w:val="continue"/>
                  <w:noWrap w:val="0"/>
                  <w:vAlign w:val="center"/>
                </w:tcPr>
                <w:p w14:paraId="4B5052B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185" w:type="pct"/>
                  <w:vMerge w:val="continue"/>
                  <w:noWrap w:val="0"/>
                  <w:vAlign w:val="center"/>
                </w:tcPr>
                <w:p w14:paraId="353DAD2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vMerge w:val="continue"/>
                  <w:noWrap w:val="0"/>
                  <w:vAlign w:val="center"/>
                </w:tcPr>
                <w:p w14:paraId="25C84F7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31" w:type="pct"/>
                  <w:vMerge w:val="continue"/>
                  <w:noWrap w:val="0"/>
                  <w:vAlign w:val="center"/>
                </w:tcPr>
                <w:p w14:paraId="7339B5F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42" w:type="pct"/>
                  <w:noWrap w:val="0"/>
                  <w:vAlign w:val="center"/>
                </w:tcPr>
                <w:p w14:paraId="296DE1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 xml:space="preserve">声功率级 </w:t>
                  </w:r>
                  <w:r>
                    <w:rPr>
                      <w:rFonts w:hint="default" w:ascii="Times New Roman" w:hAnsi="Times New Roman" w:eastAsia="Times New Roman" w:cs="Times New Roman"/>
                      <w:b/>
                      <w:bCs/>
                      <w:snapToGrid w:val="0"/>
                      <w:color w:val="auto"/>
                      <w:spacing w:val="0"/>
                      <w:kern w:val="0"/>
                      <w:sz w:val="18"/>
                      <w:szCs w:val="18"/>
                      <w:highlight w:val="none"/>
                    </w:rPr>
                    <w:t>/dB(A)</w:t>
                  </w:r>
                </w:p>
              </w:tc>
              <w:tc>
                <w:tcPr>
                  <w:tcW w:w="389" w:type="pct"/>
                  <w:vMerge w:val="continue"/>
                  <w:noWrap w:val="0"/>
                  <w:vAlign w:val="center"/>
                </w:tcPr>
                <w:p w14:paraId="600F7D6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205" w:type="pct"/>
                  <w:noWrap w:val="0"/>
                  <w:vAlign w:val="center"/>
                </w:tcPr>
                <w:p w14:paraId="458A67B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X</w:t>
                  </w:r>
                </w:p>
              </w:tc>
              <w:tc>
                <w:tcPr>
                  <w:tcW w:w="262" w:type="pct"/>
                  <w:noWrap w:val="0"/>
                  <w:vAlign w:val="center"/>
                </w:tcPr>
                <w:p w14:paraId="70B4EFE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Y</w:t>
                  </w:r>
                </w:p>
              </w:tc>
              <w:tc>
                <w:tcPr>
                  <w:tcW w:w="205" w:type="pct"/>
                  <w:noWrap w:val="0"/>
                  <w:vAlign w:val="center"/>
                </w:tcPr>
                <w:p w14:paraId="25CC2F0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Z</w:t>
                  </w:r>
                </w:p>
              </w:tc>
              <w:tc>
                <w:tcPr>
                  <w:tcW w:w="497" w:type="pct"/>
                  <w:vMerge w:val="continue"/>
                  <w:noWrap w:val="0"/>
                  <w:vAlign w:val="center"/>
                </w:tcPr>
                <w:p w14:paraId="67AE19C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469" w:type="pct"/>
                  <w:vMerge w:val="continue"/>
                  <w:noWrap w:val="0"/>
                  <w:vAlign w:val="center"/>
                </w:tcPr>
                <w:p w14:paraId="1D2D89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52" w:type="pct"/>
                  <w:vMerge w:val="continue"/>
                  <w:noWrap w:val="0"/>
                  <w:vAlign w:val="center"/>
                </w:tcPr>
                <w:p w14:paraId="55A2F7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17" w:type="pct"/>
                  <w:vMerge w:val="continue"/>
                  <w:noWrap w:val="0"/>
                  <w:vAlign w:val="center"/>
                </w:tcPr>
                <w:p w14:paraId="019BD2A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430" w:type="pct"/>
                  <w:noWrap w:val="0"/>
                  <w:vAlign w:val="center"/>
                </w:tcPr>
                <w:p w14:paraId="7D2C33A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 xml:space="preserve">声压级 </w:t>
                  </w:r>
                  <w:r>
                    <w:rPr>
                      <w:rFonts w:hint="default" w:ascii="Times New Roman" w:hAnsi="Times New Roman" w:eastAsia="Times New Roman" w:cs="Times New Roman"/>
                      <w:b/>
                      <w:bCs/>
                      <w:snapToGrid w:val="0"/>
                      <w:color w:val="auto"/>
                      <w:spacing w:val="0"/>
                      <w:kern w:val="0"/>
                      <w:sz w:val="18"/>
                      <w:szCs w:val="18"/>
                      <w:highlight w:val="none"/>
                    </w:rPr>
                    <w:t>/dB(A)</w:t>
                  </w:r>
                </w:p>
              </w:tc>
              <w:tc>
                <w:tcPr>
                  <w:tcW w:w="325" w:type="pct"/>
                  <w:noWrap w:val="0"/>
                  <w:vAlign w:val="center"/>
                </w:tcPr>
                <w:p w14:paraId="31F5FB4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 外距离</w:t>
                  </w:r>
                </w:p>
              </w:tc>
            </w:tr>
            <w:tr w14:paraId="41264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13" w:type="pct"/>
                  <w:noWrap w:val="0"/>
                  <w:vAlign w:val="center"/>
                </w:tcPr>
                <w:p w14:paraId="05A8C82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c>
                <w:tcPr>
                  <w:tcW w:w="185" w:type="pct"/>
                  <w:vMerge w:val="restart"/>
                  <w:noWrap w:val="0"/>
                  <w:vAlign w:val="center"/>
                </w:tcPr>
                <w:p w14:paraId="3BC3BA5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生产车间</w:t>
                  </w:r>
                </w:p>
              </w:tc>
              <w:tc>
                <w:tcPr>
                  <w:tcW w:w="572" w:type="pct"/>
                  <w:shd w:val="clear" w:color="auto" w:fill="auto"/>
                  <w:noWrap w:val="0"/>
                  <w:vAlign w:val="center"/>
                </w:tcPr>
                <w:p w14:paraId="7DE362D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隧道窑</w:t>
                  </w:r>
                </w:p>
              </w:tc>
              <w:tc>
                <w:tcPr>
                  <w:tcW w:w="331" w:type="pct"/>
                  <w:shd w:val="clear" w:color="auto" w:fill="auto"/>
                  <w:noWrap w:val="0"/>
                  <w:vAlign w:val="center"/>
                </w:tcPr>
                <w:p w14:paraId="1259225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color w:val="auto"/>
                      <w:sz w:val="18"/>
                      <w:szCs w:val="18"/>
                      <w:lang w:val="en-US" w:eastAsia="zh-CN"/>
                    </w:rPr>
                    <w:t>60m</w:t>
                  </w:r>
                </w:p>
              </w:tc>
              <w:tc>
                <w:tcPr>
                  <w:tcW w:w="342" w:type="pct"/>
                  <w:shd w:val="clear" w:color="auto" w:fill="auto"/>
                  <w:noWrap w:val="0"/>
                  <w:vAlign w:val="center"/>
                </w:tcPr>
                <w:p w14:paraId="23BD15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75</w:t>
                  </w:r>
                </w:p>
              </w:tc>
              <w:tc>
                <w:tcPr>
                  <w:tcW w:w="389" w:type="pct"/>
                  <w:vMerge w:val="restart"/>
                  <w:noWrap w:val="0"/>
                  <w:vAlign w:val="center"/>
                </w:tcPr>
                <w:p w14:paraId="0381865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rPr>
                    <w:t>选择低噪声设备，厂房隔声、隔声罩、基础减震、采用软接头</w:t>
                  </w:r>
                  <w:r>
                    <w:rPr>
                      <w:rFonts w:hint="eastAsia" w:ascii="Times New Roman" w:hAnsi="Times New Roman" w:eastAsia="宋体" w:cs="Times New Roman"/>
                      <w:snapToGrid w:val="0"/>
                      <w:color w:val="auto"/>
                      <w:spacing w:val="0"/>
                      <w:kern w:val="0"/>
                      <w:sz w:val="18"/>
                      <w:szCs w:val="18"/>
                      <w:highlight w:val="none"/>
                      <w:lang w:val="en-US" w:eastAsia="zh-CN"/>
                    </w:rPr>
                    <w:t>-10</w:t>
                  </w:r>
                </w:p>
              </w:tc>
              <w:tc>
                <w:tcPr>
                  <w:tcW w:w="205" w:type="pct"/>
                  <w:noWrap w:val="0"/>
                  <w:vAlign w:val="center"/>
                </w:tcPr>
                <w:p w14:paraId="2AAF5936">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262" w:type="pct"/>
                  <w:noWrap w:val="0"/>
                  <w:vAlign w:val="center"/>
                </w:tcPr>
                <w:p w14:paraId="276B498D">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0</w:t>
                  </w:r>
                </w:p>
              </w:tc>
              <w:tc>
                <w:tcPr>
                  <w:tcW w:w="205" w:type="pct"/>
                  <w:shd w:val="clear" w:color="auto" w:fill="auto"/>
                  <w:noWrap w:val="0"/>
                  <w:vAlign w:val="center"/>
                </w:tcPr>
                <w:p w14:paraId="3FA3C8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97" w:type="pct"/>
                  <w:noWrap w:val="0"/>
                  <w:vAlign w:val="center"/>
                </w:tcPr>
                <w:p w14:paraId="56D9D12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2m</w:t>
                  </w:r>
                </w:p>
                <w:p w14:paraId="47AB92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ascii="Times New Roman" w:hAnsi="Times New Roman" w:eastAsia="宋体" w:cs="Times New Roman"/>
                      <w:snapToGrid w:val="0"/>
                      <w:color w:val="auto"/>
                      <w:spacing w:val="0"/>
                      <w:kern w:val="0"/>
                      <w:sz w:val="18"/>
                      <w:szCs w:val="18"/>
                      <w:highlight w:val="none"/>
                      <w:lang w:val="en-US" w:eastAsia="zh-CN"/>
                    </w:rPr>
                    <w:t>10</w:t>
                  </w:r>
                  <w:r>
                    <w:rPr>
                      <w:rFonts w:hint="default" w:ascii="Times New Roman" w:hAnsi="Times New Roman" w:eastAsia="宋体" w:cs="Times New Roman"/>
                      <w:snapToGrid w:val="0"/>
                      <w:color w:val="auto"/>
                      <w:spacing w:val="0"/>
                      <w:kern w:val="0"/>
                      <w:sz w:val="18"/>
                      <w:szCs w:val="18"/>
                      <w:highlight w:val="none"/>
                      <w:lang w:val="en-US" w:eastAsia="zh-CN"/>
                    </w:rPr>
                    <w:t>m</w:t>
                  </w:r>
                </w:p>
                <w:p w14:paraId="117D434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ascii="Times New Roman" w:hAnsi="Times New Roman" w:eastAsia="宋体" w:cs="Times New Roman"/>
                      <w:snapToGrid w:val="0"/>
                      <w:color w:val="auto"/>
                      <w:spacing w:val="0"/>
                      <w:kern w:val="0"/>
                      <w:sz w:val="18"/>
                      <w:szCs w:val="18"/>
                      <w:highlight w:val="none"/>
                      <w:lang w:val="en-US" w:eastAsia="zh-CN"/>
                    </w:rPr>
                    <w:t>14</w:t>
                  </w:r>
                  <w:r>
                    <w:rPr>
                      <w:rFonts w:hint="default" w:ascii="Times New Roman" w:hAnsi="Times New Roman" w:eastAsia="宋体" w:cs="Times New Roman"/>
                      <w:snapToGrid w:val="0"/>
                      <w:color w:val="auto"/>
                      <w:spacing w:val="0"/>
                      <w:kern w:val="0"/>
                      <w:sz w:val="18"/>
                      <w:szCs w:val="18"/>
                      <w:highlight w:val="none"/>
                      <w:lang w:val="en-US" w:eastAsia="zh-CN"/>
                    </w:rPr>
                    <w:t>m</w:t>
                  </w:r>
                </w:p>
                <w:p w14:paraId="5B0E0A7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ascii="Times New Roman" w:hAnsi="Times New Roman" w:eastAsia="宋体" w:cs="Times New Roman"/>
                      <w:snapToGrid w:val="0"/>
                      <w:color w:val="auto"/>
                      <w:spacing w:val="0"/>
                      <w:kern w:val="0"/>
                      <w:sz w:val="18"/>
                      <w:szCs w:val="18"/>
                      <w:highlight w:val="none"/>
                      <w:lang w:val="en-US" w:eastAsia="zh-CN"/>
                    </w:rPr>
                    <w:t>11</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25961F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59.0</w:t>
                  </w:r>
                </w:p>
                <w:p w14:paraId="606B6D4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45.0</w:t>
                  </w:r>
                </w:p>
                <w:p w14:paraId="431059C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42.1</w:t>
                  </w:r>
                </w:p>
                <w:p w14:paraId="4C30A3F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44.2</w:t>
                  </w:r>
                </w:p>
              </w:tc>
              <w:tc>
                <w:tcPr>
                  <w:tcW w:w="352" w:type="pct"/>
                  <w:vMerge w:val="restart"/>
                  <w:noWrap w:val="0"/>
                  <w:vAlign w:val="center"/>
                </w:tcPr>
                <w:p w14:paraId="71C10C1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72</w:t>
                  </w:r>
                  <w:r>
                    <w:rPr>
                      <w:rFonts w:hint="default" w:ascii="Times New Roman" w:hAnsi="Times New Roman" w:cs="Times New Roman"/>
                      <w:snapToGrid w:val="0"/>
                      <w:color w:val="auto"/>
                      <w:spacing w:val="0"/>
                      <w:kern w:val="0"/>
                      <w:sz w:val="18"/>
                      <w:szCs w:val="18"/>
                      <w:highlight w:val="none"/>
                      <w:lang w:val="en-US" w:eastAsia="zh-CN"/>
                    </w:rPr>
                    <w:t>00h/a</w:t>
                  </w:r>
                </w:p>
              </w:tc>
              <w:tc>
                <w:tcPr>
                  <w:tcW w:w="317" w:type="pct"/>
                  <w:noWrap w:val="0"/>
                  <w:vAlign w:val="center"/>
                </w:tcPr>
                <w:p w14:paraId="4A032C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lang w:val="en-US"/>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76DBF3F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39.0</w:t>
                  </w:r>
                </w:p>
                <w:p w14:paraId="58277A7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25.0</w:t>
                  </w:r>
                </w:p>
                <w:p w14:paraId="381FC40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22.1</w:t>
                  </w:r>
                </w:p>
                <w:p w14:paraId="1BD459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24.2</w:t>
                  </w:r>
                </w:p>
              </w:tc>
              <w:tc>
                <w:tcPr>
                  <w:tcW w:w="325" w:type="pct"/>
                  <w:noWrap w:val="0"/>
                  <w:vAlign w:val="center"/>
                </w:tcPr>
                <w:p w14:paraId="0118C36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20D4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trPr>
              <w:tc>
                <w:tcPr>
                  <w:tcW w:w="113" w:type="pct"/>
                  <w:noWrap w:val="0"/>
                  <w:vAlign w:val="center"/>
                </w:tcPr>
                <w:p w14:paraId="3A1EBD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185" w:type="pct"/>
                  <w:vMerge w:val="continue"/>
                  <w:noWrap w:val="0"/>
                  <w:vAlign w:val="center"/>
                </w:tcPr>
                <w:p w14:paraId="4B5EFFC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73A05D6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sz w:val="18"/>
                      <w:szCs w:val="18"/>
                      <w:lang w:eastAsia="zh-CN"/>
                    </w:rPr>
                  </w:pPr>
                  <w:r>
                    <w:rPr>
                      <w:rFonts w:hint="eastAsia" w:ascii="Times New Roman" w:hAnsi="Times New Roman" w:eastAsia="宋体" w:cs="Times New Roman"/>
                      <w:color w:val="auto"/>
                      <w:sz w:val="18"/>
                      <w:szCs w:val="18"/>
                      <w:lang w:val="en-US" w:eastAsia="zh-CN"/>
                    </w:rPr>
                    <w:t>振动筛</w:t>
                  </w:r>
                </w:p>
              </w:tc>
              <w:tc>
                <w:tcPr>
                  <w:tcW w:w="331" w:type="pct"/>
                  <w:shd w:val="clear" w:color="auto" w:fill="auto"/>
                  <w:noWrap w:val="0"/>
                  <w:vAlign w:val="center"/>
                </w:tcPr>
                <w:p w14:paraId="148618D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imes New Roman"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XZ-1000</w:t>
                  </w:r>
                </w:p>
              </w:tc>
              <w:tc>
                <w:tcPr>
                  <w:tcW w:w="342" w:type="pct"/>
                  <w:shd w:val="clear" w:color="auto" w:fill="auto"/>
                  <w:noWrap w:val="0"/>
                  <w:vAlign w:val="center"/>
                </w:tcPr>
                <w:p w14:paraId="71C0DB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85</w:t>
                  </w:r>
                </w:p>
              </w:tc>
              <w:tc>
                <w:tcPr>
                  <w:tcW w:w="389" w:type="pct"/>
                  <w:vMerge w:val="continue"/>
                  <w:noWrap w:val="0"/>
                  <w:vAlign w:val="center"/>
                </w:tcPr>
                <w:p w14:paraId="50CEBD6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noWrap w:val="0"/>
                  <w:vAlign w:val="center"/>
                </w:tcPr>
                <w:p w14:paraId="10F8BFB3">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262" w:type="pct"/>
                  <w:noWrap w:val="0"/>
                  <w:vAlign w:val="center"/>
                </w:tcPr>
                <w:p w14:paraId="75542AF7">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17</w:t>
                  </w:r>
                </w:p>
              </w:tc>
              <w:tc>
                <w:tcPr>
                  <w:tcW w:w="205" w:type="pct"/>
                  <w:shd w:val="clear" w:color="auto" w:fill="auto"/>
                  <w:noWrap w:val="0"/>
                  <w:vAlign w:val="center"/>
                </w:tcPr>
                <w:p w14:paraId="44886C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97" w:type="pct"/>
                  <w:noWrap w:val="0"/>
                  <w:vAlign w:val="center"/>
                </w:tcPr>
                <w:p w14:paraId="0D6D6C1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ascii="Times New Roman" w:hAnsi="Times New Roman" w:eastAsia="宋体" w:cs="Times New Roman"/>
                      <w:snapToGrid w:val="0"/>
                      <w:color w:val="auto"/>
                      <w:spacing w:val="0"/>
                      <w:kern w:val="0"/>
                      <w:sz w:val="18"/>
                      <w:szCs w:val="18"/>
                      <w:highlight w:val="none"/>
                      <w:lang w:val="en-US" w:eastAsia="zh-CN"/>
                    </w:rPr>
                    <w:t>8</w:t>
                  </w:r>
                  <w:r>
                    <w:rPr>
                      <w:rFonts w:hint="eastAsia" w:cs="Times New Roman"/>
                      <w:snapToGrid w:val="0"/>
                      <w:color w:val="auto"/>
                      <w:spacing w:val="0"/>
                      <w:kern w:val="0"/>
                      <w:sz w:val="18"/>
                      <w:szCs w:val="18"/>
                      <w:highlight w:val="none"/>
                      <w:lang w:val="en-US" w:eastAsia="zh-CN"/>
                    </w:rPr>
                    <w:t>m</w:t>
                  </w:r>
                </w:p>
                <w:p w14:paraId="384B2D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58</w:t>
                  </w:r>
                  <w:r>
                    <w:rPr>
                      <w:rFonts w:hint="default" w:ascii="Times New Roman" w:hAnsi="Times New Roman" w:eastAsia="宋体" w:cs="Times New Roman"/>
                      <w:snapToGrid w:val="0"/>
                      <w:color w:val="auto"/>
                      <w:spacing w:val="0"/>
                      <w:kern w:val="0"/>
                      <w:sz w:val="18"/>
                      <w:szCs w:val="18"/>
                      <w:highlight w:val="none"/>
                      <w:lang w:val="en-US" w:eastAsia="zh-CN"/>
                    </w:rPr>
                    <w:t>m</w:t>
                  </w:r>
                </w:p>
                <w:p w14:paraId="4B0EB03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ascii="Times New Roman" w:hAnsi="Times New Roman" w:eastAsia="宋体" w:cs="Times New Roman"/>
                      <w:snapToGrid w:val="0"/>
                      <w:color w:val="auto"/>
                      <w:spacing w:val="0"/>
                      <w:kern w:val="0"/>
                      <w:sz w:val="18"/>
                      <w:szCs w:val="18"/>
                      <w:highlight w:val="none"/>
                      <w:lang w:val="en-US" w:eastAsia="zh-CN"/>
                    </w:rPr>
                    <w:t>8</w:t>
                  </w:r>
                  <w:r>
                    <w:rPr>
                      <w:rFonts w:hint="default" w:ascii="Times New Roman" w:hAnsi="Times New Roman" w:eastAsia="宋体" w:cs="Times New Roman"/>
                      <w:snapToGrid w:val="0"/>
                      <w:color w:val="auto"/>
                      <w:spacing w:val="0"/>
                      <w:kern w:val="0"/>
                      <w:sz w:val="18"/>
                      <w:szCs w:val="18"/>
                      <w:highlight w:val="none"/>
                      <w:lang w:val="en-US" w:eastAsia="zh-CN"/>
                    </w:rPr>
                    <w:t>m</w:t>
                  </w:r>
                </w:p>
                <w:p w14:paraId="7FA95A4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ascii="Times New Roman" w:hAnsi="Times New Roman" w:eastAsia="宋体" w:cs="Times New Roman"/>
                      <w:snapToGrid w:val="0"/>
                      <w:color w:val="auto"/>
                      <w:spacing w:val="0"/>
                      <w:kern w:val="0"/>
                      <w:sz w:val="18"/>
                      <w:szCs w:val="18"/>
                      <w:highlight w:val="none"/>
                      <w:lang w:val="en-US" w:eastAsia="zh-CN"/>
                    </w:rPr>
                    <w:t>23</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2F2515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56.9</w:t>
                  </w:r>
                </w:p>
                <w:p w14:paraId="24FE4D1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39.7</w:t>
                  </w:r>
                </w:p>
                <w:p w14:paraId="642B1C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56.9</w:t>
                  </w:r>
                </w:p>
                <w:p w14:paraId="133A7B5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47.8</w:t>
                  </w:r>
                </w:p>
              </w:tc>
              <w:tc>
                <w:tcPr>
                  <w:tcW w:w="352" w:type="pct"/>
                  <w:vMerge w:val="continue"/>
                  <w:noWrap w:val="0"/>
                  <w:vAlign w:val="center"/>
                </w:tcPr>
                <w:p w14:paraId="79C0B5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17" w:type="pct"/>
                  <w:noWrap w:val="0"/>
                  <w:vAlign w:val="center"/>
                </w:tcPr>
                <w:p w14:paraId="0B6882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0E54F8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36.9</w:t>
                  </w:r>
                </w:p>
                <w:p w14:paraId="69D8668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19.7</w:t>
                  </w:r>
                </w:p>
                <w:p w14:paraId="6523F22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36.9</w:t>
                  </w:r>
                </w:p>
                <w:p w14:paraId="346B90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27.8</w:t>
                  </w:r>
                </w:p>
              </w:tc>
              <w:tc>
                <w:tcPr>
                  <w:tcW w:w="325" w:type="pct"/>
                  <w:noWrap w:val="0"/>
                  <w:vAlign w:val="center"/>
                </w:tcPr>
                <w:p w14:paraId="3016511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F8DC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3" w:type="pct"/>
                  <w:noWrap w:val="0"/>
                  <w:vAlign w:val="center"/>
                </w:tcPr>
                <w:p w14:paraId="65AE7C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3</w:t>
                  </w:r>
                </w:p>
              </w:tc>
              <w:tc>
                <w:tcPr>
                  <w:tcW w:w="185" w:type="pct"/>
                  <w:vMerge w:val="continue"/>
                  <w:noWrap w:val="0"/>
                  <w:vAlign w:val="center"/>
                </w:tcPr>
                <w:p w14:paraId="25ECCB1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49F2DDE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sz w:val="18"/>
                      <w:szCs w:val="18"/>
                      <w:lang w:eastAsia="zh-CN"/>
                    </w:rPr>
                  </w:pPr>
                  <w:r>
                    <w:rPr>
                      <w:rFonts w:hint="eastAsia" w:ascii="Times New Roman" w:hAnsi="Times New Roman" w:eastAsia="宋体" w:cs="Times New Roman"/>
                      <w:color w:val="auto"/>
                      <w:sz w:val="18"/>
                      <w:szCs w:val="18"/>
                      <w:lang w:val="en-US" w:eastAsia="zh-CN"/>
                    </w:rPr>
                    <w:t>振动筛</w:t>
                  </w:r>
                </w:p>
              </w:tc>
              <w:tc>
                <w:tcPr>
                  <w:tcW w:w="331" w:type="pct"/>
                  <w:shd w:val="clear" w:color="auto" w:fill="auto"/>
                  <w:noWrap w:val="0"/>
                  <w:vAlign w:val="center"/>
                </w:tcPr>
                <w:p w14:paraId="1242C53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imes New Roman"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XZ-1000</w:t>
                  </w:r>
                </w:p>
              </w:tc>
              <w:tc>
                <w:tcPr>
                  <w:tcW w:w="342" w:type="pct"/>
                  <w:shd w:val="clear" w:color="auto" w:fill="auto"/>
                  <w:noWrap w:val="0"/>
                  <w:vAlign w:val="center"/>
                </w:tcPr>
                <w:p w14:paraId="27D7FD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85</w:t>
                  </w:r>
                </w:p>
              </w:tc>
              <w:tc>
                <w:tcPr>
                  <w:tcW w:w="389" w:type="pct"/>
                  <w:vMerge w:val="continue"/>
                  <w:noWrap w:val="0"/>
                  <w:vAlign w:val="center"/>
                </w:tcPr>
                <w:p w14:paraId="12ED35D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noWrap w:val="0"/>
                  <w:vAlign w:val="center"/>
                </w:tcPr>
                <w:p w14:paraId="49F03148">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-4</w:t>
                  </w:r>
                </w:p>
              </w:tc>
              <w:tc>
                <w:tcPr>
                  <w:tcW w:w="262" w:type="pct"/>
                  <w:noWrap w:val="0"/>
                  <w:vAlign w:val="center"/>
                </w:tcPr>
                <w:p w14:paraId="299BF4EE">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17</w:t>
                  </w:r>
                </w:p>
              </w:tc>
              <w:tc>
                <w:tcPr>
                  <w:tcW w:w="205" w:type="pct"/>
                  <w:shd w:val="clear" w:color="auto" w:fill="auto"/>
                  <w:noWrap w:val="0"/>
                  <w:vAlign w:val="center"/>
                </w:tcPr>
                <w:p w14:paraId="49E07B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97" w:type="pct"/>
                  <w:noWrap w:val="0"/>
                  <w:vAlign w:val="center"/>
                </w:tcPr>
                <w:p w14:paraId="3C6BEE7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ascii="Times New Roman" w:hAnsi="Times New Roman" w:eastAsia="宋体" w:cs="Times New Roman"/>
                      <w:snapToGrid w:val="0"/>
                      <w:color w:val="auto"/>
                      <w:spacing w:val="0"/>
                      <w:kern w:val="0"/>
                      <w:sz w:val="18"/>
                      <w:szCs w:val="18"/>
                      <w:highlight w:val="none"/>
                      <w:lang w:val="en-US" w:eastAsia="zh-CN"/>
                    </w:rPr>
                    <w:t>10</w:t>
                  </w:r>
                  <w:r>
                    <w:rPr>
                      <w:rFonts w:hint="eastAsia" w:cs="Times New Roman"/>
                      <w:snapToGrid w:val="0"/>
                      <w:color w:val="auto"/>
                      <w:spacing w:val="0"/>
                      <w:kern w:val="0"/>
                      <w:sz w:val="18"/>
                      <w:szCs w:val="18"/>
                      <w:highlight w:val="none"/>
                      <w:lang w:val="en-US" w:eastAsia="zh-CN"/>
                    </w:rPr>
                    <w:t>m</w:t>
                  </w:r>
                </w:p>
                <w:p w14:paraId="19AF51A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ascii="Times New Roman" w:hAnsi="Times New Roman" w:eastAsia="宋体" w:cs="Times New Roman"/>
                      <w:snapToGrid w:val="0"/>
                      <w:color w:val="auto"/>
                      <w:spacing w:val="0"/>
                      <w:kern w:val="0"/>
                      <w:sz w:val="18"/>
                      <w:szCs w:val="18"/>
                      <w:highlight w:val="none"/>
                      <w:lang w:val="en-US" w:eastAsia="zh-CN"/>
                    </w:rPr>
                    <w:t>58</w:t>
                  </w:r>
                  <w:r>
                    <w:rPr>
                      <w:rFonts w:hint="default" w:ascii="Times New Roman" w:hAnsi="Times New Roman" w:eastAsia="宋体" w:cs="Times New Roman"/>
                      <w:snapToGrid w:val="0"/>
                      <w:color w:val="auto"/>
                      <w:spacing w:val="0"/>
                      <w:kern w:val="0"/>
                      <w:sz w:val="18"/>
                      <w:szCs w:val="18"/>
                      <w:highlight w:val="none"/>
                      <w:lang w:val="en-US" w:eastAsia="zh-CN"/>
                    </w:rPr>
                    <w:t>m</w:t>
                  </w:r>
                </w:p>
                <w:p w14:paraId="35C263E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ascii="Times New Roman" w:hAnsi="Times New Roman" w:eastAsia="宋体" w:cs="Times New Roman"/>
                      <w:snapToGrid w:val="0"/>
                      <w:color w:val="auto"/>
                      <w:spacing w:val="0"/>
                      <w:kern w:val="0"/>
                      <w:sz w:val="18"/>
                      <w:szCs w:val="18"/>
                      <w:highlight w:val="none"/>
                      <w:lang w:val="en-US" w:eastAsia="zh-CN"/>
                    </w:rPr>
                    <w:t>6</w:t>
                  </w:r>
                  <w:r>
                    <w:rPr>
                      <w:rFonts w:hint="default" w:ascii="Times New Roman" w:hAnsi="Times New Roman" w:eastAsia="宋体" w:cs="Times New Roman"/>
                      <w:snapToGrid w:val="0"/>
                      <w:color w:val="auto"/>
                      <w:spacing w:val="0"/>
                      <w:kern w:val="0"/>
                      <w:sz w:val="18"/>
                      <w:szCs w:val="18"/>
                      <w:highlight w:val="none"/>
                      <w:lang w:val="en-US" w:eastAsia="zh-CN"/>
                    </w:rPr>
                    <w:t>m</w:t>
                  </w:r>
                </w:p>
                <w:p w14:paraId="2F4769C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ascii="Times New Roman" w:hAnsi="Times New Roman" w:eastAsia="宋体" w:cs="Times New Roman"/>
                      <w:snapToGrid w:val="0"/>
                      <w:color w:val="auto"/>
                      <w:spacing w:val="0"/>
                      <w:kern w:val="0"/>
                      <w:sz w:val="18"/>
                      <w:szCs w:val="18"/>
                      <w:highlight w:val="none"/>
                      <w:lang w:val="en-US" w:eastAsia="zh-CN"/>
                    </w:rPr>
                    <w:t>23</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33A4BBD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55.0</w:t>
                  </w:r>
                </w:p>
                <w:p w14:paraId="1F0579D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39.7</w:t>
                  </w:r>
                </w:p>
                <w:p w14:paraId="62EDEF6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59.3</w:t>
                  </w:r>
                </w:p>
                <w:p w14:paraId="136675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47.8</w:t>
                  </w:r>
                </w:p>
              </w:tc>
              <w:tc>
                <w:tcPr>
                  <w:tcW w:w="352" w:type="pct"/>
                  <w:vMerge w:val="continue"/>
                  <w:noWrap w:val="0"/>
                  <w:vAlign w:val="center"/>
                </w:tcPr>
                <w:p w14:paraId="6A870C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17" w:type="pct"/>
                  <w:noWrap w:val="0"/>
                  <w:vAlign w:val="center"/>
                </w:tcPr>
                <w:p w14:paraId="676B5B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77BBA86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35.0</w:t>
                  </w:r>
                </w:p>
                <w:p w14:paraId="465A55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19.7</w:t>
                  </w:r>
                </w:p>
                <w:p w14:paraId="69B74B0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39.3</w:t>
                  </w:r>
                </w:p>
                <w:p w14:paraId="1596B02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27.8</w:t>
                  </w:r>
                </w:p>
              </w:tc>
              <w:tc>
                <w:tcPr>
                  <w:tcW w:w="325" w:type="pct"/>
                  <w:noWrap w:val="0"/>
                  <w:vAlign w:val="center"/>
                </w:tcPr>
                <w:p w14:paraId="02F84EE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3AFB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trPr>
              <w:tc>
                <w:tcPr>
                  <w:tcW w:w="113" w:type="pct"/>
                  <w:noWrap w:val="0"/>
                  <w:vAlign w:val="center"/>
                </w:tcPr>
                <w:p w14:paraId="285AD7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4</w:t>
                  </w:r>
                </w:p>
              </w:tc>
              <w:tc>
                <w:tcPr>
                  <w:tcW w:w="185" w:type="pct"/>
                  <w:vMerge w:val="continue"/>
                  <w:noWrap w:val="0"/>
                  <w:vAlign w:val="center"/>
                </w:tcPr>
                <w:p w14:paraId="4483F2A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7C1D867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sz w:val="18"/>
                      <w:szCs w:val="18"/>
                      <w:lang w:eastAsia="zh-CN"/>
                    </w:rPr>
                  </w:pPr>
                  <w:r>
                    <w:rPr>
                      <w:rFonts w:hint="eastAsia" w:ascii="Times New Roman" w:hAnsi="Times New Roman" w:eastAsia="宋体" w:cs="Times New Roman"/>
                      <w:color w:val="auto"/>
                      <w:sz w:val="18"/>
                      <w:szCs w:val="18"/>
                      <w:lang w:val="en-US" w:eastAsia="zh-CN"/>
                    </w:rPr>
                    <w:t>振动筛</w:t>
                  </w:r>
                </w:p>
              </w:tc>
              <w:tc>
                <w:tcPr>
                  <w:tcW w:w="331" w:type="pct"/>
                  <w:shd w:val="clear" w:color="auto" w:fill="auto"/>
                  <w:noWrap w:val="0"/>
                  <w:vAlign w:val="center"/>
                </w:tcPr>
                <w:p w14:paraId="57B2510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imes New Roman"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XZ-1000</w:t>
                  </w:r>
                </w:p>
              </w:tc>
              <w:tc>
                <w:tcPr>
                  <w:tcW w:w="342" w:type="pct"/>
                  <w:shd w:val="clear" w:color="auto" w:fill="auto"/>
                  <w:noWrap w:val="0"/>
                  <w:vAlign w:val="center"/>
                </w:tcPr>
                <w:p w14:paraId="747FB6F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85</w:t>
                  </w:r>
                </w:p>
              </w:tc>
              <w:tc>
                <w:tcPr>
                  <w:tcW w:w="389" w:type="pct"/>
                  <w:vMerge w:val="continue"/>
                  <w:noWrap w:val="0"/>
                  <w:vAlign w:val="center"/>
                </w:tcPr>
                <w:p w14:paraId="48DE11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noWrap w:val="0"/>
                  <w:vAlign w:val="center"/>
                </w:tcPr>
                <w:p w14:paraId="2C248BE3">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w:t>
                  </w:r>
                </w:p>
              </w:tc>
              <w:tc>
                <w:tcPr>
                  <w:tcW w:w="262" w:type="pct"/>
                  <w:noWrap w:val="0"/>
                  <w:vAlign w:val="center"/>
                </w:tcPr>
                <w:p w14:paraId="1A821B02">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17</w:t>
                  </w:r>
                </w:p>
              </w:tc>
              <w:tc>
                <w:tcPr>
                  <w:tcW w:w="205" w:type="pct"/>
                  <w:shd w:val="clear" w:color="auto" w:fill="auto"/>
                  <w:noWrap w:val="0"/>
                  <w:vAlign w:val="center"/>
                </w:tcPr>
                <w:p w14:paraId="20C258E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97" w:type="pct"/>
                  <w:noWrap w:val="0"/>
                  <w:vAlign w:val="center"/>
                </w:tcPr>
                <w:p w14:paraId="3B320A3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ascii="Times New Roman" w:hAnsi="Times New Roman" w:eastAsia="宋体" w:cs="Times New Roman"/>
                      <w:snapToGrid w:val="0"/>
                      <w:color w:val="auto"/>
                      <w:spacing w:val="0"/>
                      <w:kern w:val="0"/>
                      <w:sz w:val="18"/>
                      <w:szCs w:val="18"/>
                      <w:highlight w:val="none"/>
                      <w:lang w:val="en-US" w:eastAsia="zh-CN"/>
                    </w:rPr>
                    <w:t>12</w:t>
                  </w:r>
                  <w:r>
                    <w:rPr>
                      <w:rFonts w:hint="eastAsia" w:cs="Times New Roman"/>
                      <w:snapToGrid w:val="0"/>
                      <w:color w:val="auto"/>
                      <w:spacing w:val="0"/>
                      <w:kern w:val="0"/>
                      <w:sz w:val="18"/>
                      <w:szCs w:val="18"/>
                      <w:highlight w:val="none"/>
                      <w:lang w:val="en-US" w:eastAsia="zh-CN"/>
                    </w:rPr>
                    <w:t>m</w:t>
                  </w:r>
                </w:p>
                <w:p w14:paraId="3E5D9C2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ascii="Times New Roman" w:hAnsi="Times New Roman" w:eastAsia="宋体" w:cs="Times New Roman"/>
                      <w:snapToGrid w:val="0"/>
                      <w:color w:val="auto"/>
                      <w:spacing w:val="0"/>
                      <w:kern w:val="0"/>
                      <w:sz w:val="18"/>
                      <w:szCs w:val="18"/>
                      <w:highlight w:val="none"/>
                      <w:lang w:val="en-US" w:eastAsia="zh-CN"/>
                    </w:rPr>
                    <w:t>58</w:t>
                  </w:r>
                  <w:r>
                    <w:rPr>
                      <w:rFonts w:hint="default" w:ascii="Times New Roman" w:hAnsi="Times New Roman" w:eastAsia="宋体" w:cs="Times New Roman"/>
                      <w:snapToGrid w:val="0"/>
                      <w:color w:val="auto"/>
                      <w:spacing w:val="0"/>
                      <w:kern w:val="0"/>
                      <w:sz w:val="18"/>
                      <w:szCs w:val="18"/>
                      <w:highlight w:val="none"/>
                      <w:lang w:val="en-US" w:eastAsia="zh-CN"/>
                    </w:rPr>
                    <w:t>m</w:t>
                  </w:r>
                </w:p>
                <w:p w14:paraId="4322A46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ascii="Times New Roman" w:hAnsi="Times New Roman" w:eastAsia="宋体" w:cs="Times New Roman"/>
                      <w:snapToGrid w:val="0"/>
                      <w:color w:val="auto"/>
                      <w:spacing w:val="0"/>
                      <w:kern w:val="0"/>
                      <w:sz w:val="18"/>
                      <w:szCs w:val="18"/>
                      <w:highlight w:val="none"/>
                      <w:lang w:val="en-US" w:eastAsia="zh-CN"/>
                    </w:rPr>
                    <w:t>4</w:t>
                  </w:r>
                  <w:r>
                    <w:rPr>
                      <w:rFonts w:hint="default" w:ascii="Times New Roman" w:hAnsi="Times New Roman" w:eastAsia="宋体" w:cs="Times New Roman"/>
                      <w:snapToGrid w:val="0"/>
                      <w:color w:val="auto"/>
                      <w:spacing w:val="0"/>
                      <w:kern w:val="0"/>
                      <w:sz w:val="18"/>
                      <w:szCs w:val="18"/>
                      <w:highlight w:val="none"/>
                      <w:lang w:val="en-US" w:eastAsia="zh-CN"/>
                    </w:rPr>
                    <w:t>m</w:t>
                  </w:r>
                </w:p>
                <w:p w14:paraId="6642F3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ascii="Times New Roman" w:hAnsi="Times New Roman" w:eastAsia="宋体" w:cs="Times New Roman"/>
                      <w:snapToGrid w:val="0"/>
                      <w:color w:val="auto"/>
                      <w:spacing w:val="0"/>
                      <w:kern w:val="0"/>
                      <w:sz w:val="18"/>
                      <w:szCs w:val="18"/>
                      <w:highlight w:val="none"/>
                      <w:lang w:val="en-US" w:eastAsia="zh-CN"/>
                    </w:rPr>
                    <w:t>23</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568DF4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53.4</w:t>
                  </w:r>
                </w:p>
                <w:p w14:paraId="4679C6C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39.7</w:t>
                  </w:r>
                </w:p>
                <w:p w14:paraId="52B5CB1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63.0</w:t>
                  </w:r>
                </w:p>
                <w:p w14:paraId="40E724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47.8</w:t>
                  </w:r>
                </w:p>
              </w:tc>
              <w:tc>
                <w:tcPr>
                  <w:tcW w:w="352" w:type="pct"/>
                  <w:vMerge w:val="continue"/>
                  <w:noWrap w:val="0"/>
                  <w:vAlign w:val="center"/>
                </w:tcPr>
                <w:p w14:paraId="03B6B6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17" w:type="pct"/>
                  <w:noWrap w:val="0"/>
                  <w:vAlign w:val="center"/>
                </w:tcPr>
                <w:p w14:paraId="0C5C32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73F41C9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33.4</w:t>
                  </w:r>
                </w:p>
                <w:p w14:paraId="387C6D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19.7</w:t>
                  </w:r>
                </w:p>
                <w:p w14:paraId="75D46C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43.0</w:t>
                  </w:r>
                </w:p>
                <w:p w14:paraId="1BEA02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27.8</w:t>
                  </w:r>
                </w:p>
              </w:tc>
              <w:tc>
                <w:tcPr>
                  <w:tcW w:w="325" w:type="pct"/>
                  <w:noWrap w:val="0"/>
                  <w:vAlign w:val="center"/>
                </w:tcPr>
                <w:p w14:paraId="7A24B73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66E1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3" w:type="pct"/>
                  <w:noWrap w:val="0"/>
                  <w:vAlign w:val="center"/>
                </w:tcPr>
                <w:p w14:paraId="646DFD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5</w:t>
                  </w:r>
                </w:p>
              </w:tc>
              <w:tc>
                <w:tcPr>
                  <w:tcW w:w="185" w:type="pct"/>
                  <w:vMerge w:val="continue"/>
                  <w:noWrap w:val="0"/>
                  <w:vAlign w:val="center"/>
                </w:tcPr>
                <w:p w14:paraId="43F4AF7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20C6348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sz w:val="18"/>
                      <w:szCs w:val="18"/>
                      <w:lang w:eastAsia="zh-CN"/>
                    </w:rPr>
                  </w:pPr>
                  <w:r>
                    <w:rPr>
                      <w:rFonts w:hint="eastAsia" w:ascii="Times New Roman" w:hAnsi="Times New Roman" w:eastAsia="宋体" w:cs="Times New Roman"/>
                      <w:color w:val="auto"/>
                      <w:sz w:val="18"/>
                      <w:szCs w:val="18"/>
                      <w:lang w:val="en-US" w:eastAsia="zh-CN"/>
                    </w:rPr>
                    <w:t>螺旋上料机</w:t>
                  </w:r>
                </w:p>
              </w:tc>
              <w:tc>
                <w:tcPr>
                  <w:tcW w:w="331" w:type="pct"/>
                  <w:shd w:val="clear" w:color="auto" w:fill="auto"/>
                  <w:noWrap w:val="0"/>
                  <w:vAlign w:val="center"/>
                </w:tcPr>
                <w:p w14:paraId="497A834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imes New Roman"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Φ110mm</w:t>
                  </w:r>
                </w:p>
              </w:tc>
              <w:tc>
                <w:tcPr>
                  <w:tcW w:w="342" w:type="pct"/>
                  <w:shd w:val="clear" w:color="auto" w:fill="auto"/>
                  <w:noWrap w:val="0"/>
                  <w:vAlign w:val="center"/>
                </w:tcPr>
                <w:p w14:paraId="513F7A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80</w:t>
                  </w:r>
                </w:p>
              </w:tc>
              <w:tc>
                <w:tcPr>
                  <w:tcW w:w="389" w:type="pct"/>
                  <w:vMerge w:val="continue"/>
                  <w:noWrap w:val="0"/>
                  <w:vAlign w:val="center"/>
                </w:tcPr>
                <w:p w14:paraId="5D41EBB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shd w:val="clear" w:color="auto" w:fill="auto"/>
                  <w:noWrap w:val="0"/>
                  <w:vAlign w:val="center"/>
                </w:tcPr>
                <w:p w14:paraId="4F7671A8">
                  <w:pPr>
                    <w:keepNext w:val="0"/>
                    <w:keepLines w:val="0"/>
                    <w:pageBreakBefore w:val="0"/>
                    <w:widowControl w:val="0"/>
                    <w:kinsoku/>
                    <w:wordWrap/>
                    <w:overflowPunct/>
                    <w:topLinePunct w:val="0"/>
                    <w:autoSpaceDE w:val="0"/>
                    <w:autoSpaceDN w:val="0"/>
                    <w:bidi w:val="0"/>
                    <w:adjustRightInd w:val="0"/>
                    <w:snapToGrid w:val="0"/>
                    <w:spacing w:line="240" w:lineRule="auto"/>
                    <w:ind w:right="0" w:rightChars="0"/>
                    <w:jc w:val="center"/>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-2</w:t>
                  </w:r>
                </w:p>
              </w:tc>
              <w:tc>
                <w:tcPr>
                  <w:tcW w:w="262" w:type="pct"/>
                  <w:noWrap w:val="0"/>
                  <w:vAlign w:val="center"/>
                </w:tcPr>
                <w:p w14:paraId="7AE1B856">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14</w:t>
                  </w:r>
                </w:p>
              </w:tc>
              <w:tc>
                <w:tcPr>
                  <w:tcW w:w="205" w:type="pct"/>
                  <w:shd w:val="clear" w:color="auto" w:fill="auto"/>
                  <w:noWrap w:val="0"/>
                  <w:vAlign w:val="center"/>
                </w:tcPr>
                <w:p w14:paraId="5920512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97" w:type="pct"/>
                  <w:noWrap w:val="0"/>
                  <w:vAlign w:val="center"/>
                </w:tcPr>
                <w:p w14:paraId="14C196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ascii="Times New Roman" w:hAnsi="Times New Roman" w:eastAsia="宋体" w:cs="Times New Roman"/>
                      <w:snapToGrid w:val="0"/>
                      <w:color w:val="auto"/>
                      <w:spacing w:val="0"/>
                      <w:kern w:val="0"/>
                      <w:sz w:val="18"/>
                      <w:szCs w:val="18"/>
                      <w:highlight w:val="none"/>
                      <w:lang w:val="en-US" w:eastAsia="zh-CN"/>
                    </w:rPr>
                    <w:t>8</w:t>
                  </w:r>
                  <w:r>
                    <w:rPr>
                      <w:rFonts w:hint="eastAsia" w:cs="Times New Roman"/>
                      <w:snapToGrid w:val="0"/>
                      <w:color w:val="auto"/>
                      <w:spacing w:val="0"/>
                      <w:kern w:val="0"/>
                      <w:sz w:val="18"/>
                      <w:szCs w:val="18"/>
                      <w:highlight w:val="none"/>
                      <w:lang w:val="en-US" w:eastAsia="zh-CN"/>
                    </w:rPr>
                    <w:t>m</w:t>
                  </w:r>
                </w:p>
                <w:p w14:paraId="68BB79E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ascii="Times New Roman" w:hAnsi="Times New Roman" w:eastAsia="宋体" w:cs="Times New Roman"/>
                      <w:snapToGrid w:val="0"/>
                      <w:color w:val="auto"/>
                      <w:spacing w:val="0"/>
                      <w:kern w:val="0"/>
                      <w:sz w:val="18"/>
                      <w:szCs w:val="18"/>
                      <w:highlight w:val="none"/>
                      <w:lang w:val="en-US" w:eastAsia="zh-CN"/>
                    </w:rPr>
                    <w:t>55</w:t>
                  </w:r>
                  <w:r>
                    <w:rPr>
                      <w:rFonts w:hint="default" w:ascii="Times New Roman" w:hAnsi="Times New Roman" w:eastAsia="宋体" w:cs="Times New Roman"/>
                      <w:snapToGrid w:val="0"/>
                      <w:color w:val="auto"/>
                      <w:spacing w:val="0"/>
                      <w:kern w:val="0"/>
                      <w:sz w:val="18"/>
                      <w:szCs w:val="18"/>
                      <w:highlight w:val="none"/>
                      <w:lang w:val="en-US" w:eastAsia="zh-CN"/>
                    </w:rPr>
                    <w:t>m</w:t>
                  </w:r>
                </w:p>
                <w:p w14:paraId="1611819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ascii="Times New Roman" w:hAnsi="Times New Roman" w:eastAsia="宋体" w:cs="Times New Roman"/>
                      <w:snapToGrid w:val="0"/>
                      <w:color w:val="auto"/>
                      <w:spacing w:val="0"/>
                      <w:kern w:val="0"/>
                      <w:sz w:val="18"/>
                      <w:szCs w:val="18"/>
                      <w:highlight w:val="none"/>
                      <w:lang w:val="en-US" w:eastAsia="zh-CN"/>
                    </w:rPr>
                    <w:t>8</w:t>
                  </w:r>
                  <w:r>
                    <w:rPr>
                      <w:rFonts w:hint="default" w:ascii="Times New Roman" w:hAnsi="Times New Roman" w:eastAsia="宋体" w:cs="Times New Roman"/>
                      <w:snapToGrid w:val="0"/>
                      <w:color w:val="auto"/>
                      <w:spacing w:val="0"/>
                      <w:kern w:val="0"/>
                      <w:sz w:val="18"/>
                      <w:szCs w:val="18"/>
                      <w:highlight w:val="none"/>
                      <w:lang w:val="en-US" w:eastAsia="zh-CN"/>
                    </w:rPr>
                    <w:t>m</w:t>
                  </w:r>
                </w:p>
                <w:p w14:paraId="1223BCF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ascii="Times New Roman" w:hAnsi="Times New Roman" w:eastAsia="宋体" w:cs="Times New Roman"/>
                      <w:snapToGrid w:val="0"/>
                      <w:color w:val="auto"/>
                      <w:spacing w:val="0"/>
                      <w:kern w:val="0"/>
                      <w:sz w:val="18"/>
                      <w:szCs w:val="18"/>
                      <w:highlight w:val="none"/>
                      <w:lang w:val="en-US" w:eastAsia="zh-CN"/>
                    </w:rPr>
                    <w:t>26</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026A29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51.9</w:t>
                  </w:r>
                </w:p>
                <w:p w14:paraId="536FA05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35.2</w:t>
                  </w:r>
                </w:p>
                <w:p w14:paraId="7750D31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51.9</w:t>
                  </w:r>
                </w:p>
                <w:p w14:paraId="2CD1B5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41.7</w:t>
                  </w:r>
                </w:p>
              </w:tc>
              <w:tc>
                <w:tcPr>
                  <w:tcW w:w="352" w:type="pct"/>
                  <w:vMerge w:val="continue"/>
                  <w:noWrap w:val="0"/>
                  <w:vAlign w:val="center"/>
                </w:tcPr>
                <w:p w14:paraId="60100E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17" w:type="pct"/>
                  <w:noWrap w:val="0"/>
                  <w:vAlign w:val="center"/>
                </w:tcPr>
                <w:p w14:paraId="58AF80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6FC870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31.9</w:t>
                  </w:r>
                </w:p>
                <w:p w14:paraId="57AB2D3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15.2</w:t>
                  </w:r>
                </w:p>
                <w:p w14:paraId="41A6C04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31.9</w:t>
                  </w:r>
                </w:p>
                <w:p w14:paraId="1DDBEA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21.7</w:t>
                  </w:r>
                </w:p>
              </w:tc>
              <w:tc>
                <w:tcPr>
                  <w:tcW w:w="325" w:type="pct"/>
                  <w:noWrap w:val="0"/>
                  <w:vAlign w:val="center"/>
                </w:tcPr>
                <w:p w14:paraId="1D52840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6DDE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trPr>
              <w:tc>
                <w:tcPr>
                  <w:tcW w:w="113" w:type="pct"/>
                  <w:noWrap w:val="0"/>
                  <w:vAlign w:val="center"/>
                </w:tcPr>
                <w:p w14:paraId="2CC818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w:t>
                  </w:r>
                </w:p>
              </w:tc>
              <w:tc>
                <w:tcPr>
                  <w:tcW w:w="185" w:type="pct"/>
                  <w:vMerge w:val="continue"/>
                  <w:noWrap w:val="0"/>
                  <w:vAlign w:val="center"/>
                </w:tcPr>
                <w:p w14:paraId="2BAD95A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4142572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sz w:val="18"/>
                      <w:szCs w:val="18"/>
                      <w:lang w:eastAsia="zh-CN"/>
                    </w:rPr>
                  </w:pPr>
                  <w:r>
                    <w:rPr>
                      <w:rFonts w:hint="eastAsia" w:ascii="Times New Roman" w:hAnsi="Times New Roman" w:eastAsia="宋体" w:cs="Times New Roman"/>
                      <w:color w:val="auto"/>
                      <w:sz w:val="18"/>
                      <w:szCs w:val="18"/>
                      <w:lang w:val="en-US" w:eastAsia="zh-CN"/>
                    </w:rPr>
                    <w:t>螺旋上料机</w:t>
                  </w:r>
                </w:p>
              </w:tc>
              <w:tc>
                <w:tcPr>
                  <w:tcW w:w="331" w:type="pct"/>
                  <w:shd w:val="clear" w:color="auto" w:fill="auto"/>
                  <w:noWrap w:val="0"/>
                  <w:vAlign w:val="center"/>
                </w:tcPr>
                <w:p w14:paraId="6070263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imes New Roman"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Φ110mm</w:t>
                  </w:r>
                </w:p>
              </w:tc>
              <w:tc>
                <w:tcPr>
                  <w:tcW w:w="342" w:type="pct"/>
                  <w:shd w:val="clear" w:color="auto" w:fill="auto"/>
                  <w:noWrap w:val="0"/>
                  <w:vAlign w:val="center"/>
                </w:tcPr>
                <w:p w14:paraId="26C674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80</w:t>
                  </w:r>
                </w:p>
              </w:tc>
              <w:tc>
                <w:tcPr>
                  <w:tcW w:w="389" w:type="pct"/>
                  <w:vMerge w:val="continue"/>
                  <w:noWrap w:val="0"/>
                  <w:vAlign w:val="center"/>
                </w:tcPr>
                <w:p w14:paraId="4238738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shd w:val="clear" w:color="auto" w:fill="auto"/>
                  <w:noWrap w:val="0"/>
                  <w:vAlign w:val="center"/>
                </w:tcPr>
                <w:p w14:paraId="2C9801DC">
                  <w:pPr>
                    <w:keepNext w:val="0"/>
                    <w:keepLines w:val="0"/>
                    <w:pageBreakBefore w:val="0"/>
                    <w:widowControl w:val="0"/>
                    <w:kinsoku/>
                    <w:wordWrap/>
                    <w:overflowPunct/>
                    <w:topLinePunct w:val="0"/>
                    <w:autoSpaceDE w:val="0"/>
                    <w:autoSpaceDN w:val="0"/>
                    <w:bidi w:val="0"/>
                    <w:adjustRightInd w:val="0"/>
                    <w:snapToGrid w:val="0"/>
                    <w:spacing w:line="240" w:lineRule="auto"/>
                    <w:ind w:right="0" w:rightChars="0"/>
                    <w:jc w:val="center"/>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-4</w:t>
                  </w:r>
                </w:p>
              </w:tc>
              <w:tc>
                <w:tcPr>
                  <w:tcW w:w="262" w:type="pct"/>
                  <w:noWrap w:val="0"/>
                  <w:vAlign w:val="center"/>
                </w:tcPr>
                <w:p w14:paraId="3A122878">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14</w:t>
                  </w:r>
                </w:p>
              </w:tc>
              <w:tc>
                <w:tcPr>
                  <w:tcW w:w="205" w:type="pct"/>
                  <w:shd w:val="clear" w:color="auto" w:fill="auto"/>
                  <w:noWrap w:val="0"/>
                  <w:vAlign w:val="center"/>
                </w:tcPr>
                <w:p w14:paraId="6549F5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97" w:type="pct"/>
                  <w:noWrap w:val="0"/>
                  <w:vAlign w:val="center"/>
                </w:tcPr>
                <w:p w14:paraId="7B2ADB9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ascii="Times New Roman" w:hAnsi="Times New Roman" w:eastAsia="宋体" w:cs="Times New Roman"/>
                      <w:snapToGrid w:val="0"/>
                      <w:color w:val="auto"/>
                      <w:spacing w:val="0"/>
                      <w:kern w:val="0"/>
                      <w:sz w:val="18"/>
                      <w:szCs w:val="18"/>
                      <w:highlight w:val="none"/>
                      <w:lang w:val="en-US" w:eastAsia="zh-CN"/>
                    </w:rPr>
                    <w:t>10</w:t>
                  </w:r>
                  <w:r>
                    <w:rPr>
                      <w:rFonts w:hint="eastAsia" w:cs="Times New Roman"/>
                      <w:snapToGrid w:val="0"/>
                      <w:color w:val="auto"/>
                      <w:spacing w:val="0"/>
                      <w:kern w:val="0"/>
                      <w:sz w:val="18"/>
                      <w:szCs w:val="18"/>
                      <w:highlight w:val="none"/>
                      <w:lang w:val="en-US" w:eastAsia="zh-CN"/>
                    </w:rPr>
                    <w:t>m</w:t>
                  </w:r>
                </w:p>
                <w:p w14:paraId="0692C96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ascii="Times New Roman" w:hAnsi="Times New Roman" w:eastAsia="宋体" w:cs="Times New Roman"/>
                      <w:snapToGrid w:val="0"/>
                      <w:color w:val="auto"/>
                      <w:spacing w:val="0"/>
                      <w:kern w:val="0"/>
                      <w:sz w:val="18"/>
                      <w:szCs w:val="18"/>
                      <w:highlight w:val="none"/>
                      <w:lang w:val="en-US" w:eastAsia="zh-CN"/>
                    </w:rPr>
                    <w:t>55</w:t>
                  </w:r>
                  <w:r>
                    <w:rPr>
                      <w:rFonts w:hint="default" w:ascii="Times New Roman" w:hAnsi="Times New Roman" w:eastAsia="宋体" w:cs="Times New Roman"/>
                      <w:snapToGrid w:val="0"/>
                      <w:color w:val="auto"/>
                      <w:spacing w:val="0"/>
                      <w:kern w:val="0"/>
                      <w:sz w:val="18"/>
                      <w:szCs w:val="18"/>
                      <w:highlight w:val="none"/>
                      <w:lang w:val="en-US" w:eastAsia="zh-CN"/>
                    </w:rPr>
                    <w:t>m</w:t>
                  </w:r>
                </w:p>
                <w:p w14:paraId="7EAEAD2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ascii="Times New Roman" w:hAnsi="Times New Roman" w:eastAsia="宋体" w:cs="Times New Roman"/>
                      <w:snapToGrid w:val="0"/>
                      <w:color w:val="auto"/>
                      <w:spacing w:val="0"/>
                      <w:kern w:val="0"/>
                      <w:sz w:val="18"/>
                      <w:szCs w:val="18"/>
                      <w:highlight w:val="none"/>
                      <w:lang w:val="en-US" w:eastAsia="zh-CN"/>
                    </w:rPr>
                    <w:t>6</w:t>
                  </w:r>
                  <w:r>
                    <w:rPr>
                      <w:rFonts w:hint="default" w:ascii="Times New Roman" w:hAnsi="Times New Roman" w:eastAsia="宋体" w:cs="Times New Roman"/>
                      <w:snapToGrid w:val="0"/>
                      <w:color w:val="auto"/>
                      <w:spacing w:val="0"/>
                      <w:kern w:val="0"/>
                      <w:sz w:val="18"/>
                      <w:szCs w:val="18"/>
                      <w:highlight w:val="none"/>
                      <w:lang w:val="en-US" w:eastAsia="zh-CN"/>
                    </w:rPr>
                    <w:t>m</w:t>
                  </w:r>
                </w:p>
                <w:p w14:paraId="7696A5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ascii="Times New Roman" w:hAnsi="Times New Roman" w:eastAsia="宋体" w:cs="Times New Roman"/>
                      <w:snapToGrid w:val="0"/>
                      <w:color w:val="auto"/>
                      <w:spacing w:val="0"/>
                      <w:kern w:val="0"/>
                      <w:sz w:val="18"/>
                      <w:szCs w:val="18"/>
                      <w:highlight w:val="none"/>
                      <w:lang w:val="en-US" w:eastAsia="zh-CN"/>
                    </w:rPr>
                    <w:t>26</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082B513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50.0</w:t>
                  </w:r>
                </w:p>
                <w:p w14:paraId="07A0BEB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35.2</w:t>
                  </w:r>
                </w:p>
                <w:p w14:paraId="407173C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54.3</w:t>
                  </w:r>
                </w:p>
                <w:p w14:paraId="499BA5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41.7</w:t>
                  </w:r>
                </w:p>
              </w:tc>
              <w:tc>
                <w:tcPr>
                  <w:tcW w:w="352" w:type="pct"/>
                  <w:vMerge w:val="continue"/>
                  <w:noWrap w:val="0"/>
                  <w:vAlign w:val="center"/>
                </w:tcPr>
                <w:p w14:paraId="1E318A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17" w:type="pct"/>
                  <w:noWrap w:val="0"/>
                  <w:vAlign w:val="center"/>
                </w:tcPr>
                <w:p w14:paraId="432D3D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4396D02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30.0</w:t>
                  </w:r>
                </w:p>
                <w:p w14:paraId="5F281CC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15.2</w:t>
                  </w:r>
                </w:p>
                <w:p w14:paraId="5DD40E5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34.3</w:t>
                  </w:r>
                </w:p>
                <w:p w14:paraId="5FCB03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21.7</w:t>
                  </w:r>
                </w:p>
              </w:tc>
              <w:tc>
                <w:tcPr>
                  <w:tcW w:w="325" w:type="pct"/>
                  <w:noWrap w:val="0"/>
                  <w:vAlign w:val="center"/>
                </w:tcPr>
                <w:p w14:paraId="78E5C3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646F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3" w:type="pct"/>
                  <w:noWrap w:val="0"/>
                  <w:vAlign w:val="center"/>
                </w:tcPr>
                <w:p w14:paraId="0F572E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w:t>
                  </w:r>
                </w:p>
              </w:tc>
              <w:tc>
                <w:tcPr>
                  <w:tcW w:w="185" w:type="pct"/>
                  <w:vMerge w:val="continue"/>
                  <w:noWrap w:val="0"/>
                  <w:vAlign w:val="center"/>
                </w:tcPr>
                <w:p w14:paraId="47269F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0D49893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sz w:val="18"/>
                      <w:szCs w:val="18"/>
                      <w:lang w:eastAsia="zh-CN"/>
                    </w:rPr>
                  </w:pPr>
                  <w:r>
                    <w:rPr>
                      <w:rFonts w:hint="eastAsia" w:ascii="Times New Roman" w:hAnsi="Times New Roman" w:eastAsia="宋体" w:cs="Times New Roman"/>
                      <w:color w:val="auto"/>
                      <w:sz w:val="18"/>
                      <w:szCs w:val="18"/>
                      <w:lang w:val="en-US" w:eastAsia="zh-CN"/>
                    </w:rPr>
                    <w:t>螺旋上料机</w:t>
                  </w:r>
                </w:p>
              </w:tc>
              <w:tc>
                <w:tcPr>
                  <w:tcW w:w="331" w:type="pct"/>
                  <w:shd w:val="clear" w:color="auto" w:fill="auto"/>
                  <w:noWrap w:val="0"/>
                  <w:vAlign w:val="center"/>
                </w:tcPr>
                <w:p w14:paraId="6CACD75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imes New Roman"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Φ110mm</w:t>
                  </w:r>
                </w:p>
              </w:tc>
              <w:tc>
                <w:tcPr>
                  <w:tcW w:w="342" w:type="pct"/>
                  <w:shd w:val="clear" w:color="auto" w:fill="auto"/>
                  <w:noWrap w:val="0"/>
                  <w:vAlign w:val="center"/>
                </w:tcPr>
                <w:p w14:paraId="4BC1C8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80</w:t>
                  </w:r>
                </w:p>
              </w:tc>
              <w:tc>
                <w:tcPr>
                  <w:tcW w:w="389" w:type="pct"/>
                  <w:vMerge w:val="continue"/>
                  <w:noWrap w:val="0"/>
                  <w:vAlign w:val="center"/>
                </w:tcPr>
                <w:p w14:paraId="6B33669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shd w:val="clear" w:color="auto" w:fill="auto"/>
                  <w:noWrap w:val="0"/>
                  <w:vAlign w:val="center"/>
                </w:tcPr>
                <w:p w14:paraId="2DA81E80">
                  <w:pPr>
                    <w:keepNext w:val="0"/>
                    <w:keepLines w:val="0"/>
                    <w:pageBreakBefore w:val="0"/>
                    <w:widowControl w:val="0"/>
                    <w:kinsoku/>
                    <w:wordWrap/>
                    <w:overflowPunct/>
                    <w:topLinePunct w:val="0"/>
                    <w:autoSpaceDE w:val="0"/>
                    <w:autoSpaceDN w:val="0"/>
                    <w:bidi w:val="0"/>
                    <w:adjustRightInd w:val="0"/>
                    <w:snapToGrid w:val="0"/>
                    <w:spacing w:line="240" w:lineRule="auto"/>
                    <w:ind w:right="0" w:rightChars="0"/>
                    <w:jc w:val="center"/>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-6</w:t>
                  </w:r>
                </w:p>
              </w:tc>
              <w:tc>
                <w:tcPr>
                  <w:tcW w:w="262" w:type="pct"/>
                  <w:noWrap w:val="0"/>
                  <w:vAlign w:val="center"/>
                </w:tcPr>
                <w:p w14:paraId="10DDBFCB">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14</w:t>
                  </w:r>
                </w:p>
              </w:tc>
              <w:tc>
                <w:tcPr>
                  <w:tcW w:w="205" w:type="pct"/>
                  <w:shd w:val="clear" w:color="auto" w:fill="auto"/>
                  <w:noWrap w:val="0"/>
                  <w:vAlign w:val="center"/>
                </w:tcPr>
                <w:p w14:paraId="60218B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97" w:type="pct"/>
                  <w:noWrap w:val="0"/>
                  <w:vAlign w:val="center"/>
                </w:tcPr>
                <w:p w14:paraId="7A23509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ascii="Times New Roman" w:hAnsi="Times New Roman" w:eastAsia="宋体" w:cs="Times New Roman"/>
                      <w:snapToGrid w:val="0"/>
                      <w:color w:val="auto"/>
                      <w:spacing w:val="0"/>
                      <w:kern w:val="0"/>
                      <w:sz w:val="18"/>
                      <w:szCs w:val="18"/>
                      <w:highlight w:val="none"/>
                      <w:lang w:val="en-US" w:eastAsia="zh-CN"/>
                    </w:rPr>
                    <w:t>12</w:t>
                  </w:r>
                  <w:r>
                    <w:rPr>
                      <w:rFonts w:hint="eastAsia" w:cs="Times New Roman"/>
                      <w:snapToGrid w:val="0"/>
                      <w:color w:val="auto"/>
                      <w:spacing w:val="0"/>
                      <w:kern w:val="0"/>
                      <w:sz w:val="18"/>
                      <w:szCs w:val="18"/>
                      <w:highlight w:val="none"/>
                      <w:lang w:val="en-US" w:eastAsia="zh-CN"/>
                    </w:rPr>
                    <w:t>m</w:t>
                  </w:r>
                </w:p>
                <w:p w14:paraId="6691C7F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ascii="Times New Roman" w:hAnsi="Times New Roman" w:eastAsia="宋体" w:cs="Times New Roman"/>
                      <w:snapToGrid w:val="0"/>
                      <w:color w:val="auto"/>
                      <w:spacing w:val="0"/>
                      <w:kern w:val="0"/>
                      <w:sz w:val="18"/>
                      <w:szCs w:val="18"/>
                      <w:highlight w:val="none"/>
                      <w:lang w:val="en-US" w:eastAsia="zh-CN"/>
                    </w:rPr>
                    <w:t>55</w:t>
                  </w:r>
                  <w:r>
                    <w:rPr>
                      <w:rFonts w:hint="default" w:ascii="Times New Roman" w:hAnsi="Times New Roman" w:eastAsia="宋体" w:cs="Times New Roman"/>
                      <w:snapToGrid w:val="0"/>
                      <w:color w:val="auto"/>
                      <w:spacing w:val="0"/>
                      <w:kern w:val="0"/>
                      <w:sz w:val="18"/>
                      <w:szCs w:val="18"/>
                      <w:highlight w:val="none"/>
                      <w:lang w:val="en-US" w:eastAsia="zh-CN"/>
                    </w:rPr>
                    <w:t>m</w:t>
                  </w:r>
                </w:p>
                <w:p w14:paraId="046F941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ascii="Times New Roman" w:hAnsi="Times New Roman" w:eastAsia="宋体" w:cs="Times New Roman"/>
                      <w:snapToGrid w:val="0"/>
                      <w:color w:val="auto"/>
                      <w:spacing w:val="0"/>
                      <w:kern w:val="0"/>
                      <w:sz w:val="18"/>
                      <w:szCs w:val="18"/>
                      <w:highlight w:val="none"/>
                      <w:lang w:val="en-US" w:eastAsia="zh-CN"/>
                    </w:rPr>
                    <w:t>4</w:t>
                  </w:r>
                  <w:r>
                    <w:rPr>
                      <w:rFonts w:hint="default" w:ascii="Times New Roman" w:hAnsi="Times New Roman" w:eastAsia="宋体" w:cs="Times New Roman"/>
                      <w:snapToGrid w:val="0"/>
                      <w:color w:val="auto"/>
                      <w:spacing w:val="0"/>
                      <w:kern w:val="0"/>
                      <w:sz w:val="18"/>
                      <w:szCs w:val="18"/>
                      <w:highlight w:val="none"/>
                      <w:lang w:val="en-US" w:eastAsia="zh-CN"/>
                    </w:rPr>
                    <w:t>m</w:t>
                  </w:r>
                </w:p>
                <w:p w14:paraId="1B58C5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ascii="Times New Roman" w:hAnsi="Times New Roman" w:eastAsia="宋体" w:cs="Times New Roman"/>
                      <w:snapToGrid w:val="0"/>
                      <w:color w:val="auto"/>
                      <w:spacing w:val="0"/>
                      <w:kern w:val="0"/>
                      <w:sz w:val="18"/>
                      <w:szCs w:val="18"/>
                      <w:highlight w:val="none"/>
                      <w:lang w:val="en-US" w:eastAsia="zh-CN"/>
                    </w:rPr>
                    <w:t>26</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4DC4B60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48.4</w:t>
                  </w:r>
                </w:p>
                <w:p w14:paraId="6EAE62F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35.2</w:t>
                  </w:r>
                </w:p>
                <w:p w14:paraId="2BB77C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58.0</w:t>
                  </w:r>
                </w:p>
                <w:p w14:paraId="0F7E23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41.7</w:t>
                  </w:r>
                </w:p>
              </w:tc>
              <w:tc>
                <w:tcPr>
                  <w:tcW w:w="352" w:type="pct"/>
                  <w:vMerge w:val="continue"/>
                  <w:noWrap w:val="0"/>
                  <w:vAlign w:val="center"/>
                </w:tcPr>
                <w:p w14:paraId="1D463B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17" w:type="pct"/>
                  <w:noWrap w:val="0"/>
                  <w:vAlign w:val="center"/>
                </w:tcPr>
                <w:p w14:paraId="58D4AA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01A0D85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28.4</w:t>
                  </w:r>
                </w:p>
                <w:p w14:paraId="31CF8D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15.2</w:t>
                  </w:r>
                </w:p>
                <w:p w14:paraId="70C56A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38.0</w:t>
                  </w:r>
                </w:p>
                <w:p w14:paraId="0C849D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21.7</w:t>
                  </w:r>
                </w:p>
              </w:tc>
              <w:tc>
                <w:tcPr>
                  <w:tcW w:w="325" w:type="pct"/>
                  <w:noWrap w:val="0"/>
                  <w:vAlign w:val="center"/>
                </w:tcPr>
                <w:p w14:paraId="7CFEB28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9452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trPr>
              <w:tc>
                <w:tcPr>
                  <w:tcW w:w="113" w:type="pct"/>
                  <w:noWrap w:val="0"/>
                  <w:vAlign w:val="center"/>
                </w:tcPr>
                <w:p w14:paraId="2E3109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w:t>
                  </w:r>
                </w:p>
              </w:tc>
              <w:tc>
                <w:tcPr>
                  <w:tcW w:w="185" w:type="pct"/>
                  <w:vMerge w:val="continue"/>
                  <w:noWrap w:val="0"/>
                  <w:vAlign w:val="center"/>
                </w:tcPr>
                <w:p w14:paraId="03BEF93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7F9EB46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sz w:val="18"/>
                      <w:szCs w:val="18"/>
                      <w:lang w:eastAsia="zh-CN"/>
                    </w:rPr>
                  </w:pPr>
                  <w:r>
                    <w:rPr>
                      <w:rFonts w:hint="eastAsia" w:ascii="Times New Roman" w:hAnsi="Times New Roman" w:eastAsia="宋体" w:cs="Times New Roman"/>
                      <w:color w:val="auto"/>
                      <w:sz w:val="18"/>
                      <w:szCs w:val="18"/>
                      <w:lang w:val="en-US" w:eastAsia="zh-CN"/>
                    </w:rPr>
                    <w:t>行星混料机</w:t>
                  </w:r>
                </w:p>
              </w:tc>
              <w:tc>
                <w:tcPr>
                  <w:tcW w:w="331" w:type="pct"/>
                  <w:shd w:val="clear" w:color="auto" w:fill="auto"/>
                  <w:noWrap w:val="0"/>
                  <w:vAlign w:val="center"/>
                </w:tcPr>
                <w:p w14:paraId="3C37CA6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imes New Roman"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500kg</w:t>
                  </w:r>
                </w:p>
              </w:tc>
              <w:tc>
                <w:tcPr>
                  <w:tcW w:w="342" w:type="pct"/>
                  <w:shd w:val="clear" w:color="auto" w:fill="auto"/>
                  <w:noWrap w:val="0"/>
                  <w:vAlign w:val="center"/>
                </w:tcPr>
                <w:p w14:paraId="22AAD0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89" w:type="pct"/>
                  <w:vMerge w:val="continue"/>
                  <w:noWrap w:val="0"/>
                  <w:vAlign w:val="center"/>
                </w:tcPr>
                <w:p w14:paraId="568843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shd w:val="clear" w:color="auto" w:fill="auto"/>
                  <w:noWrap w:val="0"/>
                  <w:vAlign w:val="center"/>
                </w:tcPr>
                <w:p w14:paraId="1548FF6E">
                  <w:pPr>
                    <w:keepNext w:val="0"/>
                    <w:keepLines w:val="0"/>
                    <w:pageBreakBefore w:val="0"/>
                    <w:widowControl w:val="0"/>
                    <w:kinsoku/>
                    <w:wordWrap/>
                    <w:overflowPunct/>
                    <w:topLinePunct w:val="0"/>
                    <w:autoSpaceDE w:val="0"/>
                    <w:autoSpaceDN w:val="0"/>
                    <w:bidi w:val="0"/>
                    <w:adjustRightInd w:val="0"/>
                    <w:snapToGrid w:val="0"/>
                    <w:spacing w:line="240" w:lineRule="auto"/>
                    <w:ind w:right="0" w:rightChars="0"/>
                    <w:jc w:val="center"/>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-4</w:t>
                  </w:r>
                </w:p>
              </w:tc>
              <w:tc>
                <w:tcPr>
                  <w:tcW w:w="262" w:type="pct"/>
                  <w:noWrap w:val="0"/>
                  <w:vAlign w:val="center"/>
                </w:tcPr>
                <w:p w14:paraId="08109884">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w:t>
                  </w:r>
                </w:p>
              </w:tc>
              <w:tc>
                <w:tcPr>
                  <w:tcW w:w="205" w:type="pct"/>
                  <w:shd w:val="clear" w:color="auto" w:fill="auto"/>
                  <w:noWrap w:val="0"/>
                  <w:vAlign w:val="center"/>
                </w:tcPr>
                <w:p w14:paraId="44D0B7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97" w:type="pct"/>
                  <w:noWrap w:val="0"/>
                  <w:vAlign w:val="center"/>
                </w:tcPr>
                <w:p w14:paraId="515BEB4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ascii="Times New Roman" w:hAnsi="Times New Roman" w:eastAsia="宋体" w:cs="Times New Roman"/>
                      <w:snapToGrid w:val="0"/>
                      <w:color w:val="auto"/>
                      <w:spacing w:val="0"/>
                      <w:kern w:val="0"/>
                      <w:sz w:val="18"/>
                      <w:szCs w:val="18"/>
                      <w:highlight w:val="none"/>
                      <w:lang w:val="en-US" w:eastAsia="zh-CN"/>
                    </w:rPr>
                    <w:t>10</w:t>
                  </w:r>
                  <w:r>
                    <w:rPr>
                      <w:rFonts w:hint="eastAsia" w:cs="Times New Roman"/>
                      <w:snapToGrid w:val="0"/>
                      <w:color w:val="auto"/>
                      <w:spacing w:val="0"/>
                      <w:kern w:val="0"/>
                      <w:sz w:val="18"/>
                      <w:szCs w:val="18"/>
                      <w:highlight w:val="none"/>
                      <w:lang w:val="en-US" w:eastAsia="zh-CN"/>
                    </w:rPr>
                    <w:t>m</w:t>
                  </w:r>
                </w:p>
                <w:p w14:paraId="09488F8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ascii="Times New Roman" w:hAnsi="Times New Roman" w:eastAsia="宋体" w:cs="Times New Roman"/>
                      <w:snapToGrid w:val="0"/>
                      <w:color w:val="auto"/>
                      <w:spacing w:val="0"/>
                      <w:kern w:val="0"/>
                      <w:sz w:val="18"/>
                      <w:szCs w:val="18"/>
                      <w:highlight w:val="none"/>
                      <w:lang w:val="en-US" w:eastAsia="zh-CN"/>
                    </w:rPr>
                    <w:t>49</w:t>
                  </w:r>
                  <w:r>
                    <w:rPr>
                      <w:rFonts w:hint="default" w:ascii="Times New Roman" w:hAnsi="Times New Roman" w:eastAsia="宋体" w:cs="Times New Roman"/>
                      <w:snapToGrid w:val="0"/>
                      <w:color w:val="auto"/>
                      <w:spacing w:val="0"/>
                      <w:kern w:val="0"/>
                      <w:sz w:val="18"/>
                      <w:szCs w:val="18"/>
                      <w:highlight w:val="none"/>
                      <w:lang w:val="en-US" w:eastAsia="zh-CN"/>
                    </w:rPr>
                    <w:t>m</w:t>
                  </w:r>
                </w:p>
                <w:p w14:paraId="063F22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ascii="Times New Roman" w:hAnsi="Times New Roman" w:eastAsia="宋体" w:cs="Times New Roman"/>
                      <w:snapToGrid w:val="0"/>
                      <w:color w:val="auto"/>
                      <w:spacing w:val="0"/>
                      <w:kern w:val="0"/>
                      <w:sz w:val="18"/>
                      <w:szCs w:val="18"/>
                      <w:highlight w:val="none"/>
                      <w:lang w:val="en-US" w:eastAsia="zh-CN"/>
                    </w:rPr>
                    <w:t>6</w:t>
                  </w:r>
                  <w:r>
                    <w:rPr>
                      <w:rFonts w:hint="default" w:ascii="Times New Roman" w:hAnsi="Times New Roman" w:eastAsia="宋体" w:cs="Times New Roman"/>
                      <w:snapToGrid w:val="0"/>
                      <w:color w:val="auto"/>
                      <w:spacing w:val="0"/>
                      <w:kern w:val="0"/>
                      <w:sz w:val="18"/>
                      <w:szCs w:val="18"/>
                      <w:highlight w:val="none"/>
                      <w:lang w:val="en-US" w:eastAsia="zh-CN"/>
                    </w:rPr>
                    <w:t>m</w:t>
                  </w:r>
                </w:p>
                <w:p w14:paraId="062806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ascii="Times New Roman" w:hAnsi="Times New Roman" w:eastAsia="宋体" w:cs="Times New Roman"/>
                      <w:snapToGrid w:val="0"/>
                      <w:color w:val="auto"/>
                      <w:spacing w:val="0"/>
                      <w:kern w:val="0"/>
                      <w:sz w:val="18"/>
                      <w:szCs w:val="18"/>
                      <w:highlight w:val="none"/>
                      <w:lang w:val="en-US" w:eastAsia="zh-CN"/>
                    </w:rPr>
                    <w:t>32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483668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45.0</w:t>
                  </w:r>
                </w:p>
                <w:p w14:paraId="2673643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31.2</w:t>
                  </w:r>
                </w:p>
                <w:p w14:paraId="50EA136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49.3</w:t>
                  </w:r>
                </w:p>
                <w:p w14:paraId="5B6142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34.9</w:t>
                  </w:r>
                </w:p>
              </w:tc>
              <w:tc>
                <w:tcPr>
                  <w:tcW w:w="352" w:type="pct"/>
                  <w:vMerge w:val="continue"/>
                  <w:noWrap w:val="0"/>
                  <w:vAlign w:val="center"/>
                </w:tcPr>
                <w:p w14:paraId="5329A3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17" w:type="pct"/>
                  <w:noWrap w:val="0"/>
                  <w:vAlign w:val="center"/>
                </w:tcPr>
                <w:p w14:paraId="3C21F8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2020CEB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25.0</w:t>
                  </w:r>
                </w:p>
                <w:p w14:paraId="056D345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11.2</w:t>
                  </w:r>
                </w:p>
                <w:p w14:paraId="4D583E5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29.3</w:t>
                  </w:r>
                </w:p>
                <w:p w14:paraId="7D0A9C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14.9</w:t>
                  </w:r>
                </w:p>
              </w:tc>
              <w:tc>
                <w:tcPr>
                  <w:tcW w:w="325" w:type="pct"/>
                  <w:noWrap w:val="0"/>
                  <w:vAlign w:val="center"/>
                </w:tcPr>
                <w:p w14:paraId="5356CCD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D4A2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3" w:type="pct"/>
                  <w:noWrap w:val="0"/>
                  <w:vAlign w:val="center"/>
                </w:tcPr>
                <w:p w14:paraId="573170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9</w:t>
                  </w:r>
                </w:p>
              </w:tc>
              <w:tc>
                <w:tcPr>
                  <w:tcW w:w="185" w:type="pct"/>
                  <w:vMerge w:val="continue"/>
                  <w:noWrap w:val="0"/>
                  <w:vAlign w:val="center"/>
                </w:tcPr>
                <w:p w14:paraId="7D44D5F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6C00D3F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sz w:val="18"/>
                      <w:szCs w:val="18"/>
                      <w:lang w:eastAsia="zh-CN"/>
                    </w:rPr>
                  </w:pPr>
                  <w:r>
                    <w:rPr>
                      <w:rFonts w:hint="eastAsia" w:ascii="Times New Roman" w:hAnsi="Times New Roman" w:eastAsia="宋体" w:cs="Times New Roman"/>
                      <w:color w:val="auto"/>
                      <w:sz w:val="18"/>
                      <w:szCs w:val="18"/>
                      <w:lang w:val="en-US" w:eastAsia="zh-CN"/>
                    </w:rPr>
                    <w:t>行星混料机</w:t>
                  </w:r>
                </w:p>
              </w:tc>
              <w:tc>
                <w:tcPr>
                  <w:tcW w:w="331" w:type="pct"/>
                  <w:shd w:val="clear" w:color="auto" w:fill="auto"/>
                  <w:noWrap w:val="0"/>
                  <w:vAlign w:val="center"/>
                </w:tcPr>
                <w:p w14:paraId="2941E1F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imes New Roman"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500kg</w:t>
                  </w:r>
                </w:p>
              </w:tc>
              <w:tc>
                <w:tcPr>
                  <w:tcW w:w="342" w:type="pct"/>
                  <w:shd w:val="clear" w:color="auto" w:fill="auto"/>
                  <w:noWrap w:val="0"/>
                  <w:vAlign w:val="center"/>
                </w:tcPr>
                <w:p w14:paraId="4C157D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89" w:type="pct"/>
                  <w:vMerge w:val="continue"/>
                  <w:noWrap w:val="0"/>
                  <w:vAlign w:val="center"/>
                </w:tcPr>
                <w:p w14:paraId="7C601DC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shd w:val="clear" w:color="auto" w:fill="auto"/>
                  <w:noWrap w:val="0"/>
                  <w:vAlign w:val="center"/>
                </w:tcPr>
                <w:p w14:paraId="424AC99C">
                  <w:pPr>
                    <w:keepNext w:val="0"/>
                    <w:keepLines w:val="0"/>
                    <w:pageBreakBefore w:val="0"/>
                    <w:widowControl w:val="0"/>
                    <w:kinsoku/>
                    <w:wordWrap/>
                    <w:overflowPunct/>
                    <w:topLinePunct w:val="0"/>
                    <w:autoSpaceDE w:val="0"/>
                    <w:autoSpaceDN w:val="0"/>
                    <w:bidi w:val="0"/>
                    <w:adjustRightInd w:val="0"/>
                    <w:snapToGrid w:val="0"/>
                    <w:spacing w:line="240" w:lineRule="auto"/>
                    <w:ind w:right="0" w:rightChars="0"/>
                    <w:jc w:val="center"/>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-6</w:t>
                  </w:r>
                </w:p>
              </w:tc>
              <w:tc>
                <w:tcPr>
                  <w:tcW w:w="262" w:type="pct"/>
                  <w:noWrap w:val="0"/>
                  <w:vAlign w:val="center"/>
                </w:tcPr>
                <w:p w14:paraId="4473E518">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w:t>
                  </w:r>
                </w:p>
              </w:tc>
              <w:tc>
                <w:tcPr>
                  <w:tcW w:w="205" w:type="pct"/>
                  <w:shd w:val="clear" w:color="auto" w:fill="auto"/>
                  <w:noWrap w:val="0"/>
                  <w:vAlign w:val="center"/>
                </w:tcPr>
                <w:p w14:paraId="7CEB7B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97" w:type="pct"/>
                  <w:noWrap w:val="0"/>
                  <w:vAlign w:val="center"/>
                </w:tcPr>
                <w:p w14:paraId="7986B31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ascii="Times New Roman" w:hAnsi="Times New Roman" w:eastAsia="宋体" w:cs="Times New Roman"/>
                      <w:snapToGrid w:val="0"/>
                      <w:color w:val="auto"/>
                      <w:spacing w:val="0"/>
                      <w:kern w:val="0"/>
                      <w:sz w:val="18"/>
                      <w:szCs w:val="18"/>
                      <w:highlight w:val="none"/>
                      <w:lang w:val="en-US" w:eastAsia="zh-CN"/>
                    </w:rPr>
                    <w:t>12</w:t>
                  </w:r>
                  <w:r>
                    <w:rPr>
                      <w:rFonts w:hint="eastAsia" w:cs="Times New Roman"/>
                      <w:snapToGrid w:val="0"/>
                      <w:color w:val="auto"/>
                      <w:spacing w:val="0"/>
                      <w:kern w:val="0"/>
                      <w:sz w:val="18"/>
                      <w:szCs w:val="18"/>
                      <w:highlight w:val="none"/>
                      <w:lang w:val="en-US" w:eastAsia="zh-CN"/>
                    </w:rPr>
                    <w:t>m</w:t>
                  </w:r>
                </w:p>
                <w:p w14:paraId="2DF6C7D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ascii="Times New Roman" w:hAnsi="Times New Roman" w:eastAsia="宋体" w:cs="Times New Roman"/>
                      <w:snapToGrid w:val="0"/>
                      <w:color w:val="auto"/>
                      <w:spacing w:val="0"/>
                      <w:kern w:val="0"/>
                      <w:sz w:val="18"/>
                      <w:szCs w:val="18"/>
                      <w:highlight w:val="none"/>
                      <w:lang w:val="en-US" w:eastAsia="zh-CN"/>
                    </w:rPr>
                    <w:t>49</w:t>
                  </w:r>
                  <w:r>
                    <w:rPr>
                      <w:rFonts w:hint="default" w:ascii="Times New Roman" w:hAnsi="Times New Roman" w:eastAsia="宋体" w:cs="Times New Roman"/>
                      <w:snapToGrid w:val="0"/>
                      <w:color w:val="auto"/>
                      <w:spacing w:val="0"/>
                      <w:kern w:val="0"/>
                      <w:sz w:val="18"/>
                      <w:szCs w:val="18"/>
                      <w:highlight w:val="none"/>
                      <w:lang w:val="en-US" w:eastAsia="zh-CN"/>
                    </w:rPr>
                    <w:t>m</w:t>
                  </w:r>
                </w:p>
                <w:p w14:paraId="697E6B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ascii="Times New Roman" w:hAnsi="Times New Roman" w:eastAsia="宋体" w:cs="Times New Roman"/>
                      <w:snapToGrid w:val="0"/>
                      <w:color w:val="auto"/>
                      <w:spacing w:val="0"/>
                      <w:kern w:val="0"/>
                      <w:sz w:val="18"/>
                      <w:szCs w:val="18"/>
                      <w:highlight w:val="none"/>
                      <w:lang w:val="en-US" w:eastAsia="zh-CN"/>
                    </w:rPr>
                    <w:t>4</w:t>
                  </w:r>
                  <w:r>
                    <w:rPr>
                      <w:rFonts w:hint="default" w:ascii="Times New Roman" w:hAnsi="Times New Roman" w:eastAsia="宋体" w:cs="Times New Roman"/>
                      <w:snapToGrid w:val="0"/>
                      <w:color w:val="auto"/>
                      <w:spacing w:val="0"/>
                      <w:kern w:val="0"/>
                      <w:sz w:val="18"/>
                      <w:szCs w:val="18"/>
                      <w:highlight w:val="none"/>
                      <w:lang w:val="en-US" w:eastAsia="zh-CN"/>
                    </w:rPr>
                    <w:t>m</w:t>
                  </w:r>
                </w:p>
                <w:p w14:paraId="5BEF30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ascii="Times New Roman" w:hAnsi="Times New Roman" w:eastAsia="宋体" w:cs="Times New Roman"/>
                      <w:snapToGrid w:val="0"/>
                      <w:color w:val="auto"/>
                      <w:spacing w:val="0"/>
                      <w:kern w:val="0"/>
                      <w:sz w:val="18"/>
                      <w:szCs w:val="18"/>
                      <w:highlight w:val="none"/>
                      <w:lang w:val="en-US" w:eastAsia="zh-CN"/>
                    </w:rPr>
                    <w:t>32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61F3701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45.4</w:t>
                  </w:r>
                </w:p>
                <w:p w14:paraId="7A1F142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31.2</w:t>
                  </w:r>
                </w:p>
                <w:p w14:paraId="4052491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53.0</w:t>
                  </w:r>
                </w:p>
                <w:p w14:paraId="20EDFE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34.9</w:t>
                  </w:r>
                </w:p>
              </w:tc>
              <w:tc>
                <w:tcPr>
                  <w:tcW w:w="352" w:type="pct"/>
                  <w:vMerge w:val="continue"/>
                  <w:noWrap w:val="0"/>
                  <w:vAlign w:val="center"/>
                </w:tcPr>
                <w:p w14:paraId="205703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17" w:type="pct"/>
                  <w:noWrap w:val="0"/>
                  <w:vAlign w:val="center"/>
                </w:tcPr>
                <w:p w14:paraId="6C048C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29E8EF3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25.4</w:t>
                  </w:r>
                </w:p>
                <w:p w14:paraId="75FEAB0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11.2</w:t>
                  </w:r>
                </w:p>
                <w:p w14:paraId="7187561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33.0</w:t>
                  </w:r>
                </w:p>
                <w:p w14:paraId="4198F1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14.9</w:t>
                  </w:r>
                </w:p>
              </w:tc>
              <w:tc>
                <w:tcPr>
                  <w:tcW w:w="325" w:type="pct"/>
                  <w:noWrap w:val="0"/>
                  <w:vAlign w:val="center"/>
                </w:tcPr>
                <w:p w14:paraId="07A0720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C8FA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trPr>
              <w:tc>
                <w:tcPr>
                  <w:tcW w:w="113" w:type="pct"/>
                  <w:noWrap w:val="0"/>
                  <w:vAlign w:val="center"/>
                </w:tcPr>
                <w:p w14:paraId="080C30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w:t>
                  </w:r>
                </w:p>
              </w:tc>
              <w:tc>
                <w:tcPr>
                  <w:tcW w:w="185" w:type="pct"/>
                  <w:vMerge w:val="continue"/>
                  <w:noWrap w:val="0"/>
                  <w:vAlign w:val="center"/>
                </w:tcPr>
                <w:p w14:paraId="02E13C9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20A2B40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sz w:val="18"/>
                      <w:szCs w:val="18"/>
                      <w:lang w:eastAsia="zh-CN"/>
                    </w:rPr>
                  </w:pPr>
                  <w:r>
                    <w:rPr>
                      <w:rFonts w:hint="eastAsia" w:ascii="Times New Roman" w:hAnsi="Times New Roman" w:eastAsia="宋体" w:cs="Times New Roman"/>
                      <w:color w:val="auto"/>
                      <w:sz w:val="18"/>
                      <w:szCs w:val="18"/>
                      <w:lang w:val="en-US" w:eastAsia="zh-CN"/>
                    </w:rPr>
                    <w:t>装粉机</w:t>
                  </w:r>
                </w:p>
              </w:tc>
              <w:tc>
                <w:tcPr>
                  <w:tcW w:w="331" w:type="pct"/>
                  <w:shd w:val="clear" w:color="auto" w:fill="auto"/>
                  <w:noWrap w:val="0"/>
                  <w:vAlign w:val="center"/>
                </w:tcPr>
                <w:p w14:paraId="7C010B2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imes New Roman"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定制</w:t>
                  </w:r>
                </w:p>
              </w:tc>
              <w:tc>
                <w:tcPr>
                  <w:tcW w:w="342" w:type="pct"/>
                  <w:shd w:val="clear" w:color="auto" w:fill="auto"/>
                  <w:noWrap w:val="0"/>
                  <w:vAlign w:val="center"/>
                </w:tcPr>
                <w:p w14:paraId="77E6289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89" w:type="pct"/>
                  <w:vMerge w:val="continue"/>
                  <w:noWrap w:val="0"/>
                  <w:vAlign w:val="center"/>
                </w:tcPr>
                <w:p w14:paraId="5A9E42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noWrap w:val="0"/>
                  <w:vAlign w:val="center"/>
                </w:tcPr>
                <w:p w14:paraId="7DAF3AEA">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-4</w:t>
                  </w:r>
                </w:p>
              </w:tc>
              <w:tc>
                <w:tcPr>
                  <w:tcW w:w="262" w:type="pct"/>
                  <w:noWrap w:val="0"/>
                  <w:vAlign w:val="center"/>
                </w:tcPr>
                <w:p w14:paraId="6D8A4CED">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w:t>
                  </w:r>
                </w:p>
              </w:tc>
              <w:tc>
                <w:tcPr>
                  <w:tcW w:w="205" w:type="pct"/>
                  <w:shd w:val="clear" w:color="auto" w:fill="auto"/>
                  <w:noWrap w:val="0"/>
                  <w:vAlign w:val="center"/>
                </w:tcPr>
                <w:p w14:paraId="70105C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97" w:type="pct"/>
                  <w:noWrap w:val="0"/>
                  <w:vAlign w:val="center"/>
                </w:tcPr>
                <w:p w14:paraId="77D18C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ascii="Times New Roman" w:hAnsi="Times New Roman" w:eastAsia="宋体" w:cs="Times New Roman"/>
                      <w:snapToGrid w:val="0"/>
                      <w:color w:val="auto"/>
                      <w:spacing w:val="0"/>
                      <w:kern w:val="0"/>
                      <w:sz w:val="18"/>
                      <w:szCs w:val="18"/>
                      <w:highlight w:val="none"/>
                      <w:lang w:val="en-US" w:eastAsia="zh-CN"/>
                    </w:rPr>
                    <w:t>10</w:t>
                  </w:r>
                  <w:r>
                    <w:rPr>
                      <w:rFonts w:hint="eastAsia" w:cs="Times New Roman"/>
                      <w:snapToGrid w:val="0"/>
                      <w:color w:val="auto"/>
                      <w:spacing w:val="0"/>
                      <w:kern w:val="0"/>
                      <w:sz w:val="18"/>
                      <w:szCs w:val="18"/>
                      <w:highlight w:val="none"/>
                      <w:lang w:val="en-US" w:eastAsia="zh-CN"/>
                    </w:rPr>
                    <w:t>m</w:t>
                  </w:r>
                </w:p>
                <w:p w14:paraId="67E330A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ascii="Times New Roman" w:hAnsi="Times New Roman" w:eastAsia="宋体" w:cs="Times New Roman"/>
                      <w:snapToGrid w:val="0"/>
                      <w:color w:val="auto"/>
                      <w:spacing w:val="0"/>
                      <w:kern w:val="0"/>
                      <w:sz w:val="18"/>
                      <w:szCs w:val="18"/>
                      <w:highlight w:val="none"/>
                      <w:lang w:val="en-US" w:eastAsia="zh-CN"/>
                    </w:rPr>
                    <w:t>47</w:t>
                  </w:r>
                  <w:r>
                    <w:rPr>
                      <w:rFonts w:hint="default" w:ascii="Times New Roman" w:hAnsi="Times New Roman" w:eastAsia="宋体" w:cs="Times New Roman"/>
                      <w:snapToGrid w:val="0"/>
                      <w:color w:val="auto"/>
                      <w:spacing w:val="0"/>
                      <w:kern w:val="0"/>
                      <w:sz w:val="18"/>
                      <w:szCs w:val="18"/>
                      <w:highlight w:val="none"/>
                      <w:lang w:val="en-US" w:eastAsia="zh-CN"/>
                    </w:rPr>
                    <w:t>m</w:t>
                  </w:r>
                </w:p>
                <w:p w14:paraId="5F57B42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ascii="Times New Roman" w:hAnsi="Times New Roman" w:eastAsia="宋体" w:cs="Times New Roman"/>
                      <w:snapToGrid w:val="0"/>
                      <w:color w:val="auto"/>
                      <w:spacing w:val="0"/>
                      <w:kern w:val="0"/>
                      <w:sz w:val="18"/>
                      <w:szCs w:val="18"/>
                      <w:highlight w:val="none"/>
                      <w:lang w:val="en-US" w:eastAsia="zh-CN"/>
                    </w:rPr>
                    <w:t>6</w:t>
                  </w:r>
                  <w:r>
                    <w:rPr>
                      <w:rFonts w:hint="default" w:ascii="Times New Roman" w:hAnsi="Times New Roman" w:eastAsia="宋体" w:cs="Times New Roman"/>
                      <w:snapToGrid w:val="0"/>
                      <w:color w:val="auto"/>
                      <w:spacing w:val="0"/>
                      <w:kern w:val="0"/>
                      <w:sz w:val="18"/>
                      <w:szCs w:val="18"/>
                      <w:highlight w:val="none"/>
                      <w:lang w:val="en-US" w:eastAsia="zh-CN"/>
                    </w:rPr>
                    <w:t>m</w:t>
                  </w:r>
                </w:p>
                <w:p w14:paraId="4C2E88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ascii="Times New Roman" w:hAnsi="Times New Roman" w:eastAsia="宋体" w:cs="Times New Roman"/>
                      <w:snapToGrid w:val="0"/>
                      <w:color w:val="auto"/>
                      <w:spacing w:val="0"/>
                      <w:kern w:val="0"/>
                      <w:sz w:val="18"/>
                      <w:szCs w:val="18"/>
                      <w:highlight w:val="none"/>
                      <w:lang w:val="en-US" w:eastAsia="zh-CN"/>
                    </w:rPr>
                    <w:t>34</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0658C4F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45.0</w:t>
                  </w:r>
                </w:p>
                <w:p w14:paraId="545658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31.6</w:t>
                  </w:r>
                </w:p>
                <w:p w14:paraId="2ACD05D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49.3</w:t>
                  </w:r>
                </w:p>
                <w:p w14:paraId="295CB13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34.4</w:t>
                  </w:r>
                </w:p>
              </w:tc>
              <w:tc>
                <w:tcPr>
                  <w:tcW w:w="352" w:type="pct"/>
                  <w:vMerge w:val="continue"/>
                  <w:noWrap w:val="0"/>
                  <w:vAlign w:val="center"/>
                </w:tcPr>
                <w:p w14:paraId="7B1805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17" w:type="pct"/>
                  <w:noWrap w:val="0"/>
                  <w:vAlign w:val="center"/>
                </w:tcPr>
                <w:p w14:paraId="283785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4370609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25.0</w:t>
                  </w:r>
                </w:p>
                <w:p w14:paraId="2C1F420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11.6</w:t>
                  </w:r>
                </w:p>
                <w:p w14:paraId="1440A99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29.3</w:t>
                  </w:r>
                </w:p>
                <w:p w14:paraId="2188B2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14.4</w:t>
                  </w:r>
                </w:p>
              </w:tc>
              <w:tc>
                <w:tcPr>
                  <w:tcW w:w="325" w:type="pct"/>
                  <w:noWrap w:val="0"/>
                  <w:vAlign w:val="center"/>
                </w:tcPr>
                <w:p w14:paraId="0ADF6FD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168F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3" w:type="pct"/>
                  <w:noWrap w:val="0"/>
                  <w:vAlign w:val="center"/>
                </w:tcPr>
                <w:p w14:paraId="26BEE9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11</w:t>
                  </w:r>
                </w:p>
              </w:tc>
              <w:tc>
                <w:tcPr>
                  <w:tcW w:w="185" w:type="pct"/>
                  <w:vMerge w:val="continue"/>
                  <w:noWrap w:val="0"/>
                  <w:vAlign w:val="center"/>
                </w:tcPr>
                <w:p w14:paraId="4007B0C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71F4063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sz w:val="18"/>
                      <w:szCs w:val="18"/>
                      <w:lang w:eastAsia="zh-CN"/>
                    </w:rPr>
                  </w:pPr>
                  <w:r>
                    <w:rPr>
                      <w:rFonts w:hint="eastAsia" w:ascii="Times New Roman" w:hAnsi="Times New Roman" w:eastAsia="宋体" w:cs="Times New Roman"/>
                      <w:color w:val="auto"/>
                      <w:sz w:val="18"/>
                      <w:szCs w:val="18"/>
                      <w:lang w:val="en-US" w:eastAsia="zh-CN"/>
                    </w:rPr>
                    <w:t>空压机</w:t>
                  </w:r>
                </w:p>
              </w:tc>
              <w:tc>
                <w:tcPr>
                  <w:tcW w:w="331" w:type="pct"/>
                  <w:shd w:val="clear" w:color="auto" w:fill="auto"/>
                  <w:noWrap w:val="0"/>
                  <w:vAlign w:val="center"/>
                </w:tcPr>
                <w:p w14:paraId="02CE33A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imes New Roman"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Hz-22kW</w:t>
                  </w:r>
                </w:p>
              </w:tc>
              <w:tc>
                <w:tcPr>
                  <w:tcW w:w="342" w:type="pct"/>
                  <w:shd w:val="clear" w:color="auto" w:fill="auto"/>
                  <w:noWrap w:val="0"/>
                  <w:vAlign w:val="center"/>
                </w:tcPr>
                <w:p w14:paraId="438AB5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c>
                <w:tcPr>
                  <w:tcW w:w="389" w:type="pct"/>
                  <w:vMerge w:val="continue"/>
                  <w:noWrap w:val="0"/>
                  <w:vAlign w:val="center"/>
                </w:tcPr>
                <w:p w14:paraId="06F6726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noWrap w:val="0"/>
                  <w:vAlign w:val="center"/>
                </w:tcPr>
                <w:p w14:paraId="3F51F9AE">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w:t>
                  </w:r>
                </w:p>
              </w:tc>
              <w:tc>
                <w:tcPr>
                  <w:tcW w:w="262" w:type="pct"/>
                  <w:noWrap w:val="0"/>
                  <w:vAlign w:val="center"/>
                </w:tcPr>
                <w:p w14:paraId="58FF217D">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12</w:t>
                  </w:r>
                </w:p>
              </w:tc>
              <w:tc>
                <w:tcPr>
                  <w:tcW w:w="205" w:type="pct"/>
                  <w:shd w:val="clear" w:color="auto" w:fill="auto"/>
                  <w:noWrap w:val="0"/>
                  <w:vAlign w:val="center"/>
                </w:tcPr>
                <w:p w14:paraId="6D2FD0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97" w:type="pct"/>
                  <w:noWrap w:val="0"/>
                  <w:vAlign w:val="center"/>
                </w:tcPr>
                <w:p w14:paraId="200434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ascii="Times New Roman" w:hAnsi="Times New Roman" w:eastAsia="宋体" w:cs="Times New Roman"/>
                      <w:snapToGrid w:val="0"/>
                      <w:color w:val="auto"/>
                      <w:spacing w:val="0"/>
                      <w:kern w:val="0"/>
                      <w:sz w:val="18"/>
                      <w:szCs w:val="18"/>
                      <w:highlight w:val="none"/>
                      <w:lang w:val="en-US" w:eastAsia="zh-CN"/>
                    </w:rPr>
                    <w:t>1</w:t>
                  </w:r>
                  <w:r>
                    <w:rPr>
                      <w:rFonts w:hint="eastAsia" w:cs="Times New Roman"/>
                      <w:snapToGrid w:val="0"/>
                      <w:color w:val="auto"/>
                      <w:spacing w:val="0"/>
                      <w:kern w:val="0"/>
                      <w:sz w:val="18"/>
                      <w:szCs w:val="18"/>
                      <w:highlight w:val="none"/>
                      <w:lang w:val="en-US" w:eastAsia="zh-CN"/>
                    </w:rPr>
                    <w:t>0m</w:t>
                  </w:r>
                </w:p>
                <w:p w14:paraId="007A847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ascii="Times New Roman" w:hAnsi="Times New Roman" w:eastAsia="宋体" w:cs="Times New Roman"/>
                      <w:snapToGrid w:val="0"/>
                      <w:color w:val="auto"/>
                      <w:spacing w:val="0"/>
                      <w:kern w:val="0"/>
                      <w:sz w:val="18"/>
                      <w:szCs w:val="18"/>
                      <w:highlight w:val="none"/>
                      <w:lang w:val="en-US" w:eastAsia="zh-CN"/>
                    </w:rPr>
                    <w:t>53</w:t>
                  </w:r>
                  <w:r>
                    <w:rPr>
                      <w:rFonts w:hint="default" w:ascii="Times New Roman" w:hAnsi="Times New Roman" w:eastAsia="宋体" w:cs="Times New Roman"/>
                      <w:snapToGrid w:val="0"/>
                      <w:color w:val="auto"/>
                      <w:spacing w:val="0"/>
                      <w:kern w:val="0"/>
                      <w:sz w:val="18"/>
                      <w:szCs w:val="18"/>
                      <w:highlight w:val="none"/>
                      <w:lang w:val="en-US" w:eastAsia="zh-CN"/>
                    </w:rPr>
                    <w:t>m</w:t>
                  </w:r>
                </w:p>
                <w:p w14:paraId="2D379F4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w:t>
                  </w:r>
                  <w:r>
                    <w:rPr>
                      <w:rFonts w:hint="default" w:ascii="Times New Roman" w:hAnsi="Times New Roman" w:eastAsia="宋体" w:cs="Times New Roman"/>
                      <w:snapToGrid w:val="0"/>
                      <w:color w:val="auto"/>
                      <w:spacing w:val="0"/>
                      <w:kern w:val="0"/>
                      <w:sz w:val="18"/>
                      <w:szCs w:val="18"/>
                      <w:highlight w:val="none"/>
                      <w:lang w:val="en-US" w:eastAsia="zh-CN"/>
                    </w:rPr>
                    <w:t>m</w:t>
                  </w:r>
                </w:p>
                <w:p w14:paraId="254077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ascii="Times New Roman" w:hAnsi="Times New Roman" w:eastAsia="宋体" w:cs="Times New Roman"/>
                      <w:snapToGrid w:val="0"/>
                      <w:color w:val="auto"/>
                      <w:spacing w:val="0"/>
                      <w:kern w:val="0"/>
                      <w:sz w:val="18"/>
                      <w:szCs w:val="18"/>
                      <w:highlight w:val="none"/>
                      <w:lang w:val="en-US" w:eastAsia="zh-CN"/>
                    </w:rPr>
                    <w:t>28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0B46E2E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60.0</w:t>
                  </w:r>
                </w:p>
                <w:p w14:paraId="1322E87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45.5</w:t>
                  </w:r>
                </w:p>
                <w:p w14:paraId="3DEC116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64.4</w:t>
                  </w:r>
                </w:p>
                <w:p w14:paraId="2BF186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51.1</w:t>
                  </w:r>
                </w:p>
              </w:tc>
              <w:tc>
                <w:tcPr>
                  <w:tcW w:w="352" w:type="pct"/>
                  <w:vMerge w:val="continue"/>
                  <w:noWrap w:val="0"/>
                  <w:vAlign w:val="center"/>
                </w:tcPr>
                <w:p w14:paraId="14F569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17" w:type="pct"/>
                  <w:noWrap w:val="0"/>
                  <w:vAlign w:val="center"/>
                </w:tcPr>
                <w:p w14:paraId="29D762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138677B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40.0</w:t>
                  </w:r>
                </w:p>
                <w:p w14:paraId="47E9F8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25.5</w:t>
                  </w:r>
                </w:p>
                <w:p w14:paraId="638D1C8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44.4</w:t>
                  </w:r>
                </w:p>
                <w:p w14:paraId="6B8D15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31.1</w:t>
                  </w:r>
                </w:p>
              </w:tc>
              <w:tc>
                <w:tcPr>
                  <w:tcW w:w="325" w:type="pct"/>
                  <w:noWrap w:val="0"/>
                  <w:vAlign w:val="center"/>
                </w:tcPr>
                <w:p w14:paraId="47E0B8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BB33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trPr>
              <w:tc>
                <w:tcPr>
                  <w:tcW w:w="113" w:type="pct"/>
                  <w:noWrap w:val="0"/>
                  <w:vAlign w:val="center"/>
                </w:tcPr>
                <w:p w14:paraId="5F0CDC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12</w:t>
                  </w:r>
                </w:p>
              </w:tc>
              <w:tc>
                <w:tcPr>
                  <w:tcW w:w="185" w:type="pct"/>
                  <w:vMerge w:val="continue"/>
                  <w:noWrap w:val="0"/>
                  <w:vAlign w:val="center"/>
                </w:tcPr>
                <w:p w14:paraId="62A4CD7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04DD8BE1">
                  <w:pPr>
                    <w:keepNext w:val="0"/>
                    <w:keepLines w:val="0"/>
                    <w:pageBreakBefore w:val="0"/>
                    <w:kinsoku/>
                    <w:wordWrap/>
                    <w:overflowPunct/>
                    <w:topLinePunct w:val="0"/>
                    <w:bidi w:val="0"/>
                    <w:adjustRightInd w:val="0"/>
                    <w:snapToGrid w:val="0"/>
                    <w:ind w:right="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lang w:val="en-US" w:eastAsia="zh-CN"/>
                    </w:rPr>
                    <w:t>烧制工序风机</w:t>
                  </w:r>
                </w:p>
              </w:tc>
              <w:tc>
                <w:tcPr>
                  <w:tcW w:w="331" w:type="pct"/>
                  <w:shd w:val="clear" w:color="auto" w:fill="auto"/>
                  <w:noWrap w:val="0"/>
                  <w:vAlign w:val="center"/>
                </w:tcPr>
                <w:p w14:paraId="6BE608ED">
                  <w:pPr>
                    <w:keepNext w:val="0"/>
                    <w:keepLines w:val="0"/>
                    <w:pageBreakBefore w:val="0"/>
                    <w:widowControl/>
                    <w:suppressLineNumbers w:val="0"/>
                    <w:kinsoku/>
                    <w:wordWrap/>
                    <w:overflowPunct/>
                    <w:topLinePunct w:val="0"/>
                    <w:autoSpaceDE/>
                    <w:autoSpaceDN/>
                    <w:bidi w:val="0"/>
                    <w:adjustRightInd w:val="0"/>
                    <w:snapToGrid w:val="0"/>
                    <w:spacing w:line="240" w:lineRule="auto"/>
                    <w:ind w:right="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eastAsia="Times New Roman" w:cs="Times New Roman"/>
                      <w:color w:val="auto"/>
                      <w:kern w:val="2"/>
                      <w:sz w:val="18"/>
                      <w:szCs w:val="18"/>
                      <w:highlight w:val="none"/>
                      <w:lang w:val="en-US" w:eastAsia="zh-CN" w:bidi="ar-SA"/>
                    </w:rPr>
                    <w:t>-</w:t>
                  </w:r>
                </w:p>
              </w:tc>
              <w:tc>
                <w:tcPr>
                  <w:tcW w:w="342" w:type="pct"/>
                  <w:shd w:val="clear" w:color="auto" w:fill="auto"/>
                  <w:noWrap w:val="0"/>
                  <w:vAlign w:val="center"/>
                </w:tcPr>
                <w:p w14:paraId="40E629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pacing w:val="-3"/>
                      <w:sz w:val="18"/>
                      <w:szCs w:val="18"/>
                      <w:highlight w:val="none"/>
                      <w:lang w:val="en-US" w:eastAsia="zh-CN"/>
                    </w:rPr>
                    <w:t>85</w:t>
                  </w:r>
                </w:p>
              </w:tc>
              <w:tc>
                <w:tcPr>
                  <w:tcW w:w="389" w:type="pct"/>
                  <w:vMerge w:val="continue"/>
                  <w:noWrap w:val="0"/>
                  <w:vAlign w:val="center"/>
                </w:tcPr>
                <w:p w14:paraId="31B2EA9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noWrap w:val="0"/>
                  <w:vAlign w:val="center"/>
                </w:tcPr>
                <w:p w14:paraId="2DED1F6C">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4</w:t>
                  </w:r>
                </w:p>
              </w:tc>
              <w:tc>
                <w:tcPr>
                  <w:tcW w:w="262" w:type="pct"/>
                  <w:noWrap w:val="0"/>
                  <w:vAlign w:val="center"/>
                </w:tcPr>
                <w:p w14:paraId="414ED8B1">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-28</w:t>
                  </w:r>
                </w:p>
              </w:tc>
              <w:tc>
                <w:tcPr>
                  <w:tcW w:w="205" w:type="pct"/>
                  <w:shd w:val="clear" w:color="auto" w:fill="auto"/>
                  <w:noWrap w:val="0"/>
                  <w:vAlign w:val="center"/>
                </w:tcPr>
                <w:p w14:paraId="1EBB94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w:t>
                  </w:r>
                </w:p>
              </w:tc>
              <w:tc>
                <w:tcPr>
                  <w:tcW w:w="497" w:type="pct"/>
                  <w:noWrap w:val="0"/>
                  <w:vAlign w:val="center"/>
                </w:tcPr>
                <w:p w14:paraId="43D89B8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4m</w:t>
                  </w:r>
                </w:p>
                <w:p w14:paraId="7DC39A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11</w:t>
                  </w:r>
                  <w:r>
                    <w:rPr>
                      <w:rFonts w:hint="default" w:ascii="Times New Roman" w:hAnsi="Times New Roman" w:eastAsia="宋体" w:cs="Times New Roman"/>
                      <w:snapToGrid w:val="0"/>
                      <w:color w:val="auto"/>
                      <w:spacing w:val="0"/>
                      <w:kern w:val="0"/>
                      <w:sz w:val="18"/>
                      <w:szCs w:val="18"/>
                      <w:highlight w:val="none"/>
                      <w:lang w:val="en-US" w:eastAsia="zh-CN"/>
                    </w:rPr>
                    <w:t>m</w:t>
                  </w:r>
                </w:p>
                <w:p w14:paraId="025F55B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12</w:t>
                  </w:r>
                  <w:r>
                    <w:rPr>
                      <w:rFonts w:hint="default" w:ascii="Times New Roman" w:hAnsi="Times New Roman" w:eastAsia="宋体" w:cs="Times New Roman"/>
                      <w:snapToGrid w:val="0"/>
                      <w:color w:val="auto"/>
                      <w:spacing w:val="0"/>
                      <w:kern w:val="0"/>
                      <w:sz w:val="18"/>
                      <w:szCs w:val="18"/>
                      <w:highlight w:val="none"/>
                      <w:lang w:val="en-US" w:eastAsia="zh-CN"/>
                    </w:rPr>
                    <w:t>m</w:t>
                  </w:r>
                </w:p>
                <w:p w14:paraId="1788F1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70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0894226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63.0</w:t>
                  </w:r>
                </w:p>
                <w:p w14:paraId="3EEEE5A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54.2</w:t>
                  </w:r>
                </w:p>
                <w:p w14:paraId="3B2EDC5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53.4</w:t>
                  </w:r>
                </w:p>
                <w:p w14:paraId="263B3F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38.1</w:t>
                  </w:r>
                </w:p>
              </w:tc>
              <w:tc>
                <w:tcPr>
                  <w:tcW w:w="352" w:type="pct"/>
                  <w:vMerge w:val="continue"/>
                  <w:noWrap w:val="0"/>
                  <w:vAlign w:val="center"/>
                </w:tcPr>
                <w:p w14:paraId="66629B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17" w:type="pct"/>
                  <w:noWrap w:val="0"/>
                  <w:vAlign w:val="center"/>
                </w:tcPr>
                <w:p w14:paraId="41956B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36779AB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43.0</w:t>
                  </w:r>
                </w:p>
                <w:p w14:paraId="118A15B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34.2</w:t>
                  </w:r>
                </w:p>
                <w:p w14:paraId="4884914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33.4</w:t>
                  </w:r>
                </w:p>
                <w:p w14:paraId="64B124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18.1</w:t>
                  </w:r>
                </w:p>
              </w:tc>
              <w:tc>
                <w:tcPr>
                  <w:tcW w:w="325" w:type="pct"/>
                  <w:noWrap w:val="0"/>
                  <w:vAlign w:val="center"/>
                </w:tcPr>
                <w:p w14:paraId="4731362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EC01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3" w:type="pct"/>
                  <w:noWrap w:val="0"/>
                  <w:vAlign w:val="center"/>
                </w:tcPr>
                <w:p w14:paraId="5F9132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13</w:t>
                  </w:r>
                </w:p>
              </w:tc>
              <w:tc>
                <w:tcPr>
                  <w:tcW w:w="185" w:type="pct"/>
                  <w:vMerge w:val="continue"/>
                  <w:noWrap w:val="0"/>
                  <w:vAlign w:val="center"/>
                </w:tcPr>
                <w:p w14:paraId="64D98E0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2" w:type="pct"/>
                  <w:shd w:val="clear" w:color="auto" w:fill="auto"/>
                  <w:noWrap w:val="0"/>
                  <w:vAlign w:val="center"/>
                </w:tcPr>
                <w:p w14:paraId="41DF296A">
                  <w:pPr>
                    <w:keepNext w:val="0"/>
                    <w:keepLines w:val="0"/>
                    <w:pageBreakBefore w:val="0"/>
                    <w:kinsoku/>
                    <w:wordWrap/>
                    <w:overflowPunct/>
                    <w:topLinePunct w:val="0"/>
                    <w:bidi w:val="0"/>
                    <w:adjustRightInd w:val="0"/>
                    <w:snapToGrid w:val="0"/>
                    <w:spacing w:line="0" w:lineRule="atLeast"/>
                    <w:ind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lang w:val="en-US" w:eastAsia="zh-CN"/>
                    </w:rPr>
                    <w:t>布袋</w:t>
                  </w:r>
                  <w:r>
                    <w:rPr>
                      <w:rFonts w:hint="eastAsia" w:cs="Times New Roman"/>
                      <w:color w:val="auto"/>
                      <w:sz w:val="18"/>
                      <w:szCs w:val="18"/>
                      <w:lang w:eastAsia="zh-CN"/>
                    </w:rPr>
                    <w:t>除尘器</w:t>
                  </w:r>
                  <w:r>
                    <w:rPr>
                      <w:rFonts w:hint="eastAsia" w:cs="Times New Roman"/>
                      <w:color w:val="auto"/>
                      <w:sz w:val="18"/>
                      <w:szCs w:val="18"/>
                      <w:lang w:val="en-US" w:eastAsia="zh-CN"/>
                    </w:rPr>
                    <w:t>+风机</w:t>
                  </w:r>
                </w:p>
              </w:tc>
              <w:tc>
                <w:tcPr>
                  <w:tcW w:w="331" w:type="pct"/>
                  <w:shd w:val="clear" w:color="auto" w:fill="auto"/>
                  <w:noWrap w:val="0"/>
                  <w:vAlign w:val="center"/>
                </w:tcPr>
                <w:p w14:paraId="418DE0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eastAsia" w:eastAsia="Times New Roman" w:cs="Times New Roman"/>
                      <w:color w:val="auto"/>
                      <w:kern w:val="2"/>
                      <w:sz w:val="18"/>
                      <w:szCs w:val="18"/>
                      <w:highlight w:val="none"/>
                      <w:lang w:val="en-US" w:eastAsia="zh-CN" w:bidi="ar-SA"/>
                    </w:rPr>
                    <w:t>-</w:t>
                  </w:r>
                </w:p>
              </w:tc>
              <w:tc>
                <w:tcPr>
                  <w:tcW w:w="342" w:type="pct"/>
                  <w:shd w:val="clear" w:color="auto" w:fill="auto"/>
                  <w:noWrap w:val="0"/>
                  <w:vAlign w:val="center"/>
                </w:tcPr>
                <w:p w14:paraId="2FBE95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3"/>
                      <w:kern w:val="2"/>
                      <w:sz w:val="18"/>
                      <w:szCs w:val="18"/>
                      <w:highlight w:val="none"/>
                      <w:lang w:val="en-US" w:eastAsia="zh-CN" w:bidi="ar-SA"/>
                    </w:rPr>
                  </w:pPr>
                  <w:r>
                    <w:rPr>
                      <w:rFonts w:hint="eastAsia" w:cs="Times New Roman"/>
                      <w:color w:val="auto"/>
                      <w:spacing w:val="-3"/>
                      <w:sz w:val="18"/>
                      <w:szCs w:val="18"/>
                      <w:highlight w:val="none"/>
                      <w:lang w:val="en-US" w:eastAsia="zh-CN"/>
                    </w:rPr>
                    <w:t>85</w:t>
                  </w:r>
                </w:p>
              </w:tc>
              <w:tc>
                <w:tcPr>
                  <w:tcW w:w="389" w:type="pct"/>
                  <w:vMerge w:val="continue"/>
                  <w:noWrap w:val="0"/>
                  <w:vAlign w:val="center"/>
                </w:tcPr>
                <w:p w14:paraId="05FE73E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205" w:type="pct"/>
                  <w:noWrap w:val="0"/>
                  <w:vAlign w:val="center"/>
                </w:tcPr>
                <w:p w14:paraId="6758A541">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-7</w:t>
                  </w:r>
                </w:p>
              </w:tc>
              <w:tc>
                <w:tcPr>
                  <w:tcW w:w="262" w:type="pct"/>
                  <w:noWrap w:val="0"/>
                  <w:vAlign w:val="center"/>
                </w:tcPr>
                <w:p w14:paraId="4DA6D2A3">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-22</w:t>
                  </w:r>
                </w:p>
              </w:tc>
              <w:tc>
                <w:tcPr>
                  <w:tcW w:w="205" w:type="pct"/>
                  <w:shd w:val="clear" w:color="auto" w:fill="auto"/>
                  <w:noWrap w:val="0"/>
                  <w:vAlign w:val="center"/>
                </w:tcPr>
                <w:p w14:paraId="11EA85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w:t>
                  </w:r>
                </w:p>
              </w:tc>
              <w:tc>
                <w:tcPr>
                  <w:tcW w:w="497" w:type="pct"/>
                  <w:noWrap w:val="0"/>
                  <w:vAlign w:val="center"/>
                </w:tcPr>
                <w:p w14:paraId="713EF9A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14m</w:t>
                  </w:r>
                </w:p>
                <w:p w14:paraId="2D98E8C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18</w:t>
                  </w:r>
                  <w:r>
                    <w:rPr>
                      <w:rFonts w:hint="default" w:ascii="Times New Roman" w:hAnsi="Times New Roman" w:eastAsia="宋体" w:cs="Times New Roman"/>
                      <w:snapToGrid w:val="0"/>
                      <w:color w:val="auto"/>
                      <w:spacing w:val="0"/>
                      <w:kern w:val="0"/>
                      <w:sz w:val="18"/>
                      <w:szCs w:val="18"/>
                      <w:highlight w:val="none"/>
                      <w:lang w:val="en-US" w:eastAsia="zh-CN"/>
                    </w:rPr>
                    <w:t>m</w:t>
                  </w:r>
                </w:p>
                <w:p w14:paraId="14FA483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w:t>
                  </w:r>
                  <w:r>
                    <w:rPr>
                      <w:rFonts w:hint="default" w:ascii="Times New Roman" w:hAnsi="Times New Roman" w:eastAsia="宋体" w:cs="Times New Roman"/>
                      <w:snapToGrid w:val="0"/>
                      <w:color w:val="auto"/>
                      <w:spacing w:val="0"/>
                      <w:kern w:val="0"/>
                      <w:sz w:val="18"/>
                      <w:szCs w:val="18"/>
                      <w:highlight w:val="none"/>
                      <w:lang w:val="en-US" w:eastAsia="zh-CN"/>
                    </w:rPr>
                    <w:t>m</w:t>
                  </w:r>
                </w:p>
                <w:p w14:paraId="5199C7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63</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469" w:type="pct"/>
                  <w:noWrap w:val="0"/>
                  <w:vAlign w:val="center"/>
                </w:tcPr>
                <w:p w14:paraId="16BAF6A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52.1</w:t>
                  </w:r>
                </w:p>
                <w:p w14:paraId="64246C1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49.9</w:t>
                  </w:r>
                </w:p>
                <w:p w14:paraId="3D3510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69.0</w:t>
                  </w:r>
                </w:p>
                <w:p w14:paraId="37C307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39.0</w:t>
                  </w:r>
                </w:p>
              </w:tc>
              <w:tc>
                <w:tcPr>
                  <w:tcW w:w="352" w:type="pct"/>
                  <w:vMerge w:val="continue"/>
                  <w:noWrap w:val="0"/>
                  <w:vAlign w:val="center"/>
                </w:tcPr>
                <w:p w14:paraId="1E24CDF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yellow"/>
                      <w:lang w:val="en-US" w:eastAsia="zh-CN"/>
                    </w:rPr>
                  </w:pPr>
                </w:p>
              </w:tc>
              <w:tc>
                <w:tcPr>
                  <w:tcW w:w="317" w:type="pct"/>
                  <w:noWrap w:val="0"/>
                  <w:vAlign w:val="center"/>
                </w:tcPr>
                <w:p w14:paraId="2167A0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30" w:type="pct"/>
                  <w:shd w:val="clear" w:color="auto" w:fill="auto"/>
                  <w:noWrap w:val="0"/>
                  <w:vAlign w:val="center"/>
                </w:tcPr>
                <w:p w14:paraId="13406B2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32.1</w:t>
                  </w:r>
                </w:p>
                <w:p w14:paraId="5C209E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29.9</w:t>
                  </w:r>
                </w:p>
                <w:p w14:paraId="75122C6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49.0</w:t>
                  </w:r>
                </w:p>
                <w:p w14:paraId="094668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19.0</w:t>
                  </w:r>
                </w:p>
              </w:tc>
              <w:tc>
                <w:tcPr>
                  <w:tcW w:w="325" w:type="pct"/>
                  <w:noWrap w:val="0"/>
                  <w:vAlign w:val="center"/>
                </w:tcPr>
                <w:p w14:paraId="6ED2104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bl>
          <w:p w14:paraId="66FD560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b w:val="0"/>
                <w:bCs w:val="0"/>
                <w:color w:val="auto"/>
              </w:rPr>
            </w:pPr>
            <w:r>
              <w:rPr>
                <w:rFonts w:hint="eastAsia"/>
                <w:b w:val="0"/>
                <w:bCs w:val="0"/>
                <w:color w:val="auto"/>
                <w:lang w:val="en-US" w:eastAsia="zh-CN"/>
              </w:rPr>
              <w:t>5</w:t>
            </w:r>
            <w:r>
              <w:rPr>
                <w:b w:val="0"/>
                <w:bCs w:val="0"/>
                <w:color w:val="auto"/>
              </w:rPr>
              <w:t>、达标分析</w:t>
            </w:r>
          </w:p>
          <w:p w14:paraId="14FF6DCA">
            <w:pPr>
              <w:spacing w:line="360" w:lineRule="auto"/>
              <w:ind w:firstLine="420" w:firstLineChars="200"/>
              <w:rPr>
                <w:color w:val="auto"/>
              </w:rPr>
            </w:pPr>
            <w:r>
              <w:rPr>
                <w:color w:val="auto"/>
              </w:rPr>
              <w:t>依据《环境工作手册-环境噪声控制卷》（高等教育出版社，2000年）可知，采取隔减振等措施均可达到10~25dB（A）的隔声（消声）量，墙壁可降低23~30dB（A）的噪声。本项目各风机、泵类等设施均配套隔声罩。</w:t>
            </w:r>
          </w:p>
          <w:p w14:paraId="6D44E32A">
            <w:pPr>
              <w:adjustRightInd w:val="0"/>
              <w:snapToGrid w:val="0"/>
              <w:spacing w:line="360" w:lineRule="auto"/>
              <w:ind w:firstLine="420"/>
              <w:rPr>
                <w:color w:val="auto"/>
              </w:rPr>
            </w:pPr>
            <w:r>
              <w:rPr>
                <w:color w:val="auto"/>
              </w:rPr>
              <w:t>本次评价采用《环境影响评价技术导则—声环境》（HJ2.4-2021）中）附录B中推荐模式进行预测，用A声级计算，模式如下：</w:t>
            </w:r>
          </w:p>
          <w:p w14:paraId="3F6B356E">
            <w:pPr>
              <w:adjustRightInd w:val="0"/>
              <w:snapToGrid w:val="0"/>
              <w:spacing w:line="360" w:lineRule="auto"/>
              <w:ind w:firstLine="420"/>
              <w:rPr>
                <w:color w:val="auto"/>
              </w:rPr>
            </w:pPr>
            <w:r>
              <w:rPr>
                <w:color w:val="auto"/>
              </w:rPr>
              <w:t xml:space="preserve">户外声传播衰减包括几何发散（Adiv）、大气吸收（Aatm）、地面效应（Agr）、障碍物屏蔽（Abar）、其他多方面效应（Amisc）引起的衰减。 </w:t>
            </w:r>
          </w:p>
          <w:p w14:paraId="58EA03DA">
            <w:pPr>
              <w:adjustRightInd w:val="0"/>
              <w:snapToGrid w:val="0"/>
              <w:spacing w:line="360" w:lineRule="auto"/>
              <w:ind w:firstLine="420"/>
              <w:rPr>
                <w:color w:val="auto"/>
              </w:rPr>
            </w:pPr>
            <w:r>
              <w:rPr>
                <w:color w:val="auto"/>
              </w:rPr>
              <w:t xml:space="preserve">（1）室内声源等效室外声源声功率级计算方法 </w:t>
            </w:r>
          </w:p>
          <w:p w14:paraId="2DA750D8">
            <w:pPr>
              <w:adjustRightInd w:val="0"/>
              <w:snapToGrid w:val="0"/>
              <w:spacing w:line="360" w:lineRule="auto"/>
              <w:ind w:firstLine="420"/>
              <w:rPr>
                <w:color w:val="auto"/>
              </w:rPr>
            </w:pPr>
            <w:r>
              <w:rPr>
                <w:color w:val="auto"/>
              </w:rPr>
              <w:t>声源位于室内， 室内声源可采用等效室外声源声功率级法进行计算。设靠近开口处 （或窗户） 室内、室外某倍频带的声压级或 A 声级分别为 Lp1 和 Lp2。若声源所在室内声场为近似扩散声场，则室外的倍频带声压级可按式（B. 1）近似求出：</w:t>
            </w:r>
          </w:p>
          <w:p w14:paraId="15B57969">
            <w:pPr>
              <w:widowControl/>
              <w:adjustRightInd w:val="0"/>
              <w:snapToGrid w:val="0"/>
              <w:spacing w:line="360" w:lineRule="auto"/>
              <w:ind w:firstLine="840" w:firstLineChars="400"/>
              <w:rPr>
                <w:color w:val="auto"/>
                <w:kern w:val="0"/>
                <w:lang w:bidi="ar"/>
              </w:rPr>
            </w:pPr>
            <w:r>
              <w:rPr>
                <w:color w:val="auto"/>
                <w:kern w:val="0"/>
                <w:lang w:bidi="ar"/>
              </w:rPr>
              <w:t>Lp2 = Lp1 - （TL + 6）   （B.1）</w:t>
            </w:r>
          </w:p>
          <w:p w14:paraId="55614B19">
            <w:pPr>
              <w:pStyle w:val="1404"/>
              <w:spacing w:line="360" w:lineRule="auto"/>
              <w:ind w:firstLine="630" w:firstLineChars="300"/>
              <w:jc w:val="both"/>
              <w:rPr>
                <w:color w:val="auto"/>
                <w:sz w:val="21"/>
              </w:rPr>
            </w:pPr>
            <w:r>
              <w:rPr>
                <w:color w:val="auto"/>
                <w:sz w:val="21"/>
              </w:rPr>
              <w:t>式中：Lp</w:t>
            </w:r>
            <w:r>
              <w:rPr>
                <w:color w:val="auto"/>
                <w:sz w:val="21"/>
                <w:vertAlign w:val="subscript"/>
              </w:rPr>
              <w:t>1</w:t>
            </w:r>
            <w:r>
              <w:rPr>
                <w:color w:val="auto"/>
                <w:sz w:val="21"/>
              </w:rPr>
              <w:t xml:space="preserve">——靠近开口处（或窗户） 室内某倍频带的声压级或 A 声级，dB； </w:t>
            </w:r>
          </w:p>
          <w:p w14:paraId="64DEF0EA">
            <w:pPr>
              <w:pStyle w:val="1404"/>
              <w:spacing w:line="360" w:lineRule="auto"/>
              <w:ind w:firstLine="1260" w:firstLineChars="600"/>
              <w:jc w:val="both"/>
              <w:rPr>
                <w:color w:val="auto"/>
                <w:sz w:val="21"/>
              </w:rPr>
            </w:pPr>
            <w:r>
              <w:rPr>
                <w:color w:val="auto"/>
                <w:sz w:val="21"/>
              </w:rPr>
              <w:t>Lp</w:t>
            </w:r>
            <w:r>
              <w:rPr>
                <w:color w:val="auto"/>
                <w:sz w:val="21"/>
                <w:vertAlign w:val="subscript"/>
              </w:rPr>
              <w:t>2</w:t>
            </w:r>
            <w:r>
              <w:rPr>
                <w:color w:val="auto"/>
                <w:sz w:val="21"/>
              </w:rPr>
              <w:t xml:space="preserve">——靠近开口处（或窗户） 室外某倍频带的声压级或 A 声级，dB； </w:t>
            </w:r>
          </w:p>
          <w:p w14:paraId="4B932088">
            <w:pPr>
              <w:pStyle w:val="1404"/>
              <w:spacing w:line="360" w:lineRule="auto"/>
              <w:ind w:firstLine="1260" w:firstLineChars="600"/>
              <w:jc w:val="both"/>
              <w:rPr>
                <w:color w:val="auto"/>
                <w:sz w:val="21"/>
              </w:rPr>
            </w:pPr>
            <w:r>
              <w:rPr>
                <w:color w:val="auto"/>
                <w:sz w:val="21"/>
              </w:rPr>
              <w:t>TL—— 隔墙（或窗户） 倍频带或 A 声级的隔声量，dB。</w:t>
            </w:r>
          </w:p>
          <w:p w14:paraId="761A8E70">
            <w:pPr>
              <w:widowControl/>
              <w:adjustRightInd w:val="0"/>
              <w:snapToGrid w:val="0"/>
              <w:spacing w:line="360" w:lineRule="auto"/>
              <w:ind w:firstLine="400"/>
              <w:jc w:val="left"/>
              <w:rPr>
                <w:color w:val="auto"/>
              </w:rPr>
            </w:pPr>
            <w:r>
              <w:rPr>
                <w:color w:val="auto"/>
                <w:kern w:val="0"/>
                <w:lang w:bidi="ar"/>
              </w:rPr>
              <w:t>（2）工业企业噪声计算:</w:t>
            </w:r>
          </w:p>
          <w:p w14:paraId="30464CA2">
            <w:pPr>
              <w:adjustRightInd w:val="0"/>
              <w:snapToGrid w:val="0"/>
              <w:spacing w:line="360" w:lineRule="auto"/>
              <w:ind w:firstLine="420"/>
              <w:rPr>
                <w:color w:val="auto"/>
              </w:rPr>
            </w:pPr>
            <w:r>
              <w:rPr>
                <w:color w:val="auto"/>
              </w:rPr>
              <w:t>①设第i个室外声源在预测点产生的A声级为L</w:t>
            </w:r>
            <w:r>
              <w:rPr>
                <w:color w:val="auto"/>
                <w:vertAlign w:val="subscript"/>
              </w:rPr>
              <w:t>Ai</w:t>
            </w:r>
            <w:r>
              <w:rPr>
                <w:color w:val="auto"/>
              </w:rPr>
              <w:t xml:space="preserve"> ，在T时间内该声源工作时间为ti ；第j个等效室外声源在预测点产生的A声级为L</w:t>
            </w:r>
            <w:r>
              <w:rPr>
                <w:color w:val="auto"/>
                <w:vertAlign w:val="subscript"/>
              </w:rPr>
              <w:t>Aj</w:t>
            </w:r>
            <w:r>
              <w:rPr>
                <w:color w:val="auto"/>
              </w:rPr>
              <w:t xml:space="preserve"> ，在 T 时间内该声源工作时间为tj，则拟建工程声源对预测点产生的贡献值（Leqg ）为：</w:t>
            </w:r>
          </w:p>
          <w:p w14:paraId="68212513">
            <w:pPr>
              <w:adjustRightInd w:val="0"/>
              <w:snapToGrid w:val="0"/>
              <w:spacing w:line="360" w:lineRule="auto"/>
              <w:ind w:firstLine="420"/>
              <w:rPr>
                <w:color w:val="auto"/>
              </w:rPr>
            </w:pPr>
            <w:r>
              <w:rPr>
                <w:color w:val="auto"/>
              </w:rPr>
              <w:drawing>
                <wp:inline distT="0" distB="0" distL="114300" distR="114300">
                  <wp:extent cx="3368040" cy="483870"/>
                  <wp:effectExtent l="0" t="0" r="3810" b="11430"/>
                  <wp:docPr id="1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
                          <pic:cNvPicPr>
                            <a:picLocks noChangeAspect="1"/>
                          </pic:cNvPicPr>
                        </pic:nvPicPr>
                        <pic:blipFill>
                          <a:blip r:embed="rId20"/>
                          <a:stretch>
                            <a:fillRect/>
                          </a:stretch>
                        </pic:blipFill>
                        <pic:spPr>
                          <a:xfrm>
                            <a:off x="0" y="0"/>
                            <a:ext cx="3368040" cy="483870"/>
                          </a:xfrm>
                          <a:prstGeom prst="rect">
                            <a:avLst/>
                          </a:prstGeom>
                          <a:noFill/>
                          <a:ln>
                            <a:noFill/>
                          </a:ln>
                        </pic:spPr>
                      </pic:pic>
                    </a:graphicData>
                  </a:graphic>
                </wp:inline>
              </w:drawing>
            </w:r>
          </w:p>
          <w:p w14:paraId="40318F80">
            <w:pPr>
              <w:widowControl/>
              <w:adjustRightInd w:val="0"/>
              <w:snapToGrid w:val="0"/>
              <w:spacing w:line="360" w:lineRule="auto"/>
              <w:ind w:firstLine="400"/>
              <w:jc w:val="left"/>
              <w:rPr>
                <w:color w:val="auto"/>
              </w:rPr>
            </w:pPr>
            <w:r>
              <w:rPr>
                <w:color w:val="auto"/>
                <w:kern w:val="0"/>
                <w:lang w:bidi="ar"/>
              </w:rPr>
              <w:t xml:space="preserve">式中：Leqg——建设项目声源在预测点产生的噪声贡献值，dB； </w:t>
            </w:r>
          </w:p>
          <w:p w14:paraId="67A70DF7">
            <w:pPr>
              <w:widowControl/>
              <w:adjustRightInd w:val="0"/>
              <w:snapToGrid w:val="0"/>
              <w:spacing w:line="360" w:lineRule="auto"/>
              <w:ind w:firstLine="400"/>
              <w:jc w:val="left"/>
              <w:rPr>
                <w:color w:val="auto"/>
              </w:rPr>
            </w:pPr>
            <w:r>
              <w:rPr>
                <w:color w:val="auto"/>
                <w:kern w:val="0"/>
                <w:lang w:bidi="ar"/>
              </w:rPr>
              <w:t xml:space="preserve">T ——用于计算等效声级的时间， s； </w:t>
            </w:r>
          </w:p>
          <w:p w14:paraId="5837C40D">
            <w:pPr>
              <w:widowControl/>
              <w:adjustRightInd w:val="0"/>
              <w:snapToGrid w:val="0"/>
              <w:spacing w:line="360" w:lineRule="auto"/>
              <w:ind w:firstLine="400"/>
              <w:jc w:val="left"/>
              <w:rPr>
                <w:color w:val="auto"/>
              </w:rPr>
            </w:pPr>
            <w:r>
              <w:rPr>
                <w:color w:val="auto"/>
                <w:kern w:val="0"/>
                <w:lang w:bidi="ar"/>
              </w:rPr>
              <w:t xml:space="preserve">N ——室外声源个数； </w:t>
            </w:r>
          </w:p>
          <w:p w14:paraId="7B7134DF">
            <w:pPr>
              <w:widowControl/>
              <w:adjustRightInd w:val="0"/>
              <w:snapToGrid w:val="0"/>
              <w:spacing w:line="360" w:lineRule="auto"/>
              <w:ind w:firstLine="400"/>
              <w:jc w:val="left"/>
              <w:rPr>
                <w:color w:val="auto"/>
              </w:rPr>
            </w:pPr>
            <w:r>
              <w:rPr>
                <w:color w:val="auto"/>
                <w:kern w:val="0"/>
                <w:lang w:bidi="ar"/>
              </w:rPr>
              <w:t xml:space="preserve">ti ——在 T 时间内 i 声源工作时间，s； </w:t>
            </w:r>
          </w:p>
          <w:p w14:paraId="04921498">
            <w:pPr>
              <w:widowControl/>
              <w:adjustRightInd w:val="0"/>
              <w:snapToGrid w:val="0"/>
              <w:spacing w:line="360" w:lineRule="auto"/>
              <w:ind w:firstLine="400"/>
              <w:jc w:val="left"/>
              <w:rPr>
                <w:color w:val="auto"/>
              </w:rPr>
            </w:pPr>
            <w:r>
              <w:rPr>
                <w:color w:val="auto"/>
                <w:kern w:val="0"/>
                <w:lang w:bidi="ar"/>
              </w:rPr>
              <w:t xml:space="preserve">M ——等效室外声源个数； </w:t>
            </w:r>
          </w:p>
          <w:p w14:paraId="7AEB67FE">
            <w:pPr>
              <w:widowControl/>
              <w:adjustRightInd w:val="0"/>
              <w:snapToGrid w:val="0"/>
              <w:spacing w:line="360" w:lineRule="auto"/>
              <w:ind w:firstLine="400"/>
              <w:jc w:val="left"/>
              <w:rPr>
                <w:color w:val="auto"/>
              </w:rPr>
            </w:pPr>
            <w:r>
              <w:rPr>
                <w:color w:val="auto"/>
                <w:kern w:val="0"/>
                <w:lang w:bidi="ar"/>
              </w:rPr>
              <w:t>tj ——在 T 时间内 j 声源工作时间，s。</w:t>
            </w:r>
          </w:p>
          <w:p w14:paraId="02798442">
            <w:pPr>
              <w:adjustRightInd w:val="0"/>
              <w:snapToGrid w:val="0"/>
              <w:spacing w:line="360" w:lineRule="auto"/>
              <w:ind w:firstLine="420"/>
              <w:rPr>
                <w:color w:val="auto"/>
              </w:rPr>
            </w:pPr>
            <w:r>
              <w:rPr>
                <w:color w:val="auto"/>
              </w:rPr>
              <w:t>②计算出所有室内声源在围护结构处产生的 i 倍频带叠加声压级</w:t>
            </w:r>
          </w:p>
          <w:p w14:paraId="21ED1F92">
            <w:pPr>
              <w:adjustRightInd w:val="0"/>
              <w:snapToGrid w:val="0"/>
              <w:spacing w:line="360" w:lineRule="auto"/>
              <w:ind w:firstLine="420"/>
              <w:rPr>
                <w:color w:val="auto"/>
              </w:rPr>
            </w:pPr>
            <w:r>
              <w:rPr>
                <w:color w:val="auto"/>
              </w:rPr>
              <w:drawing>
                <wp:inline distT="0" distB="0" distL="114300" distR="114300">
                  <wp:extent cx="1588135" cy="512445"/>
                  <wp:effectExtent l="0" t="0" r="12065" b="1905"/>
                  <wp:docPr id="1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3"/>
                          <pic:cNvPicPr>
                            <a:picLocks noChangeAspect="1"/>
                          </pic:cNvPicPr>
                        </pic:nvPicPr>
                        <pic:blipFill>
                          <a:blip r:embed="rId21"/>
                          <a:stretch>
                            <a:fillRect/>
                          </a:stretch>
                        </pic:blipFill>
                        <pic:spPr>
                          <a:xfrm>
                            <a:off x="0" y="0"/>
                            <a:ext cx="1588135" cy="512445"/>
                          </a:xfrm>
                          <a:prstGeom prst="rect">
                            <a:avLst/>
                          </a:prstGeom>
                          <a:noFill/>
                          <a:ln>
                            <a:noFill/>
                          </a:ln>
                        </pic:spPr>
                      </pic:pic>
                    </a:graphicData>
                  </a:graphic>
                </wp:inline>
              </w:drawing>
            </w:r>
          </w:p>
          <w:p w14:paraId="13F4A970">
            <w:pPr>
              <w:adjustRightInd w:val="0"/>
              <w:snapToGrid w:val="0"/>
              <w:spacing w:line="360" w:lineRule="auto"/>
              <w:ind w:firstLine="420"/>
              <w:rPr>
                <w:color w:val="auto"/>
              </w:rPr>
            </w:pPr>
            <w:r>
              <w:rPr>
                <w:color w:val="auto"/>
              </w:rPr>
              <w:t>式中：LP1i（T）—靠近围护结构处N个室内声源产生的i倍频带的叠加声压级，dB（A）；</w:t>
            </w:r>
          </w:p>
          <w:p w14:paraId="2F5B000D">
            <w:pPr>
              <w:adjustRightInd w:val="0"/>
              <w:snapToGrid w:val="0"/>
              <w:spacing w:line="360" w:lineRule="auto"/>
              <w:ind w:firstLine="420"/>
              <w:rPr>
                <w:color w:val="auto"/>
              </w:rPr>
            </w:pPr>
            <w:r>
              <w:rPr>
                <w:color w:val="auto"/>
              </w:rPr>
              <w:t>LP1ij—室内j声源i倍频带的声压级，dB（A）；</w:t>
            </w:r>
          </w:p>
          <w:p w14:paraId="39493240">
            <w:pPr>
              <w:adjustRightInd w:val="0"/>
              <w:snapToGrid w:val="0"/>
              <w:spacing w:line="360" w:lineRule="auto"/>
              <w:ind w:firstLine="420"/>
              <w:rPr>
                <w:color w:val="auto"/>
              </w:rPr>
            </w:pPr>
            <w:r>
              <w:rPr>
                <w:color w:val="auto"/>
              </w:rPr>
              <w:t>N—室内声源总数；</w:t>
            </w:r>
          </w:p>
          <w:p w14:paraId="6A971F48">
            <w:pPr>
              <w:adjustRightInd w:val="0"/>
              <w:snapToGrid w:val="0"/>
              <w:spacing w:line="360" w:lineRule="auto"/>
              <w:ind w:firstLine="420"/>
              <w:rPr>
                <w:color w:val="auto"/>
              </w:rPr>
            </w:pPr>
            <w:r>
              <w:rPr>
                <w:color w:val="auto"/>
              </w:rPr>
              <w:t>③然后按照室外声源预测方法计算预测点处的A声级;</w:t>
            </w:r>
          </w:p>
          <w:p w14:paraId="3B33F00A">
            <w:pPr>
              <w:adjustRightInd w:val="0"/>
              <w:snapToGrid w:val="0"/>
              <w:spacing w:line="360" w:lineRule="auto"/>
              <w:ind w:firstLine="420"/>
              <w:rPr>
                <w:color w:val="auto"/>
              </w:rPr>
            </w:pPr>
            <w:r>
              <w:rPr>
                <w:color w:val="auto"/>
              </w:rPr>
              <w:t>（3）户外声传播衰减包括几何发散（Adiv）、大气吸收（Aatm）、地面效应（Agr）、障碍物屏蔽（Abar）、其他多方面效应（Amisc）</w:t>
            </w:r>
          </w:p>
          <w:p w14:paraId="7C4A0DEF">
            <w:pPr>
              <w:adjustRightInd w:val="0"/>
              <w:snapToGrid w:val="0"/>
              <w:spacing w:line="360" w:lineRule="auto"/>
              <w:rPr>
                <w:color w:val="auto"/>
              </w:rPr>
            </w:pPr>
            <w:r>
              <w:rPr>
                <w:color w:val="auto"/>
              </w:rPr>
              <w:t>引起的衰减。</w:t>
            </w:r>
          </w:p>
          <w:p w14:paraId="41589358">
            <w:pPr>
              <w:adjustRightInd w:val="0"/>
              <w:snapToGrid w:val="0"/>
              <w:spacing w:line="360" w:lineRule="auto"/>
              <w:ind w:firstLine="420"/>
              <w:rPr>
                <w:color w:val="auto"/>
              </w:rPr>
            </w:pPr>
            <w:r>
              <w:rPr>
                <w:color w:val="auto"/>
              </w:rPr>
              <w:t>根据导则，评价应根据声源声功率级或参考位置处的声压级、户外声传播衰减，计算预测点的声级，分别按式（A.1）或式（A.2）计算，本次评价采用 A.1进行计算，模式如下：</w:t>
            </w:r>
          </w:p>
          <w:p w14:paraId="2A257E85">
            <w:pPr>
              <w:adjustRightInd w:val="0"/>
              <w:snapToGrid w:val="0"/>
              <w:spacing w:line="360" w:lineRule="auto"/>
              <w:ind w:firstLine="420"/>
              <w:rPr>
                <w:color w:val="auto"/>
              </w:rPr>
            </w:pPr>
            <w:r>
              <w:rPr>
                <w:color w:val="auto"/>
              </w:rPr>
              <w:t>Lp（r）＝Lw+D</w:t>
            </w:r>
            <w:r>
              <w:rPr>
                <w:color w:val="auto"/>
                <w:vertAlign w:val="subscript"/>
              </w:rPr>
              <w:t>C</w:t>
            </w:r>
            <w:r>
              <w:rPr>
                <w:color w:val="auto"/>
              </w:rPr>
              <w:t xml:space="preserve">－（Adiv＋Aatm＋Agr＋Abar＋Amisc） （A.1） </w:t>
            </w:r>
          </w:p>
          <w:p w14:paraId="6F6A9356">
            <w:pPr>
              <w:adjustRightInd w:val="0"/>
              <w:snapToGrid w:val="0"/>
              <w:spacing w:line="360" w:lineRule="auto"/>
              <w:ind w:firstLine="420"/>
              <w:rPr>
                <w:color w:val="auto"/>
              </w:rPr>
            </w:pPr>
            <w:r>
              <w:rPr>
                <w:color w:val="auto"/>
              </w:rPr>
              <w:t xml:space="preserve">式中：Lp（r） ——预测点处声压级，dB； </w:t>
            </w:r>
          </w:p>
          <w:p w14:paraId="2DE39E6E">
            <w:pPr>
              <w:adjustRightInd w:val="0"/>
              <w:snapToGrid w:val="0"/>
              <w:spacing w:line="360" w:lineRule="auto"/>
              <w:ind w:firstLine="1050" w:firstLineChars="500"/>
              <w:rPr>
                <w:color w:val="auto"/>
              </w:rPr>
            </w:pPr>
            <w:r>
              <w:rPr>
                <w:color w:val="auto"/>
              </w:rPr>
              <w:t xml:space="preserve">Lw ——由点声源产生的声功率级（A计权或倍频带），dB； </w:t>
            </w:r>
          </w:p>
          <w:p w14:paraId="69C5FE3E">
            <w:pPr>
              <w:adjustRightInd w:val="0"/>
              <w:snapToGrid w:val="0"/>
              <w:spacing w:line="360" w:lineRule="auto"/>
              <w:ind w:firstLine="1050" w:firstLineChars="500"/>
              <w:rPr>
                <w:color w:val="auto"/>
              </w:rPr>
            </w:pPr>
            <w:r>
              <w:rPr>
                <w:color w:val="auto"/>
              </w:rPr>
              <w:t>D</w:t>
            </w:r>
            <w:r>
              <w:rPr>
                <w:color w:val="auto"/>
                <w:vertAlign w:val="subscript"/>
              </w:rPr>
              <w:t>C</w:t>
            </w:r>
            <w:r>
              <w:rPr>
                <w:color w:val="auto"/>
              </w:rPr>
              <w:t xml:space="preserve"> ——指向性校正，它描述点声源的等效连续声压级与产生声功率级Lw的全向点声源在规定方向的声级的偏差程度，dB； </w:t>
            </w:r>
          </w:p>
          <w:p w14:paraId="0C7ADADD">
            <w:pPr>
              <w:adjustRightInd w:val="0"/>
              <w:snapToGrid w:val="0"/>
              <w:spacing w:line="360" w:lineRule="auto"/>
              <w:ind w:firstLine="1050" w:firstLineChars="500"/>
              <w:rPr>
                <w:color w:val="auto"/>
              </w:rPr>
            </w:pPr>
            <w:r>
              <w:rPr>
                <w:color w:val="auto"/>
              </w:rPr>
              <w:t xml:space="preserve">Adiv ——几何发散引起的衰减，dB； </w:t>
            </w:r>
          </w:p>
          <w:p w14:paraId="541DA4CD">
            <w:pPr>
              <w:adjustRightInd w:val="0"/>
              <w:snapToGrid w:val="0"/>
              <w:spacing w:line="360" w:lineRule="auto"/>
              <w:ind w:firstLine="1050" w:firstLineChars="500"/>
              <w:rPr>
                <w:color w:val="auto"/>
              </w:rPr>
            </w:pPr>
            <w:r>
              <w:rPr>
                <w:color w:val="auto"/>
              </w:rPr>
              <w:t xml:space="preserve">Aatm ——大气吸收引起的衰减，dB； </w:t>
            </w:r>
          </w:p>
          <w:p w14:paraId="292DD017">
            <w:pPr>
              <w:adjustRightInd w:val="0"/>
              <w:snapToGrid w:val="0"/>
              <w:spacing w:line="360" w:lineRule="auto"/>
              <w:ind w:firstLine="1050" w:firstLineChars="500"/>
              <w:rPr>
                <w:color w:val="auto"/>
              </w:rPr>
            </w:pPr>
            <w:r>
              <w:rPr>
                <w:color w:val="auto"/>
              </w:rPr>
              <w:t xml:space="preserve">Agr ——地面效应引起的衰减，dB； </w:t>
            </w:r>
          </w:p>
          <w:p w14:paraId="49F7EAB9">
            <w:pPr>
              <w:adjustRightInd w:val="0"/>
              <w:snapToGrid w:val="0"/>
              <w:spacing w:line="360" w:lineRule="auto"/>
              <w:ind w:firstLine="1050" w:firstLineChars="500"/>
              <w:rPr>
                <w:color w:val="auto"/>
              </w:rPr>
            </w:pPr>
            <w:r>
              <w:rPr>
                <w:color w:val="auto"/>
              </w:rPr>
              <w:t xml:space="preserve">Abar ——障碍物屏蔽引起的衰减，dB； </w:t>
            </w:r>
          </w:p>
          <w:p w14:paraId="515576B5">
            <w:pPr>
              <w:adjustRightInd w:val="0"/>
              <w:snapToGrid w:val="0"/>
              <w:spacing w:line="360" w:lineRule="auto"/>
              <w:ind w:firstLine="1050" w:firstLineChars="500"/>
              <w:rPr>
                <w:color w:val="auto"/>
              </w:rPr>
            </w:pPr>
            <w:r>
              <w:rPr>
                <w:color w:val="auto"/>
              </w:rPr>
              <w:t xml:space="preserve">Amisc ——其他多方面效应引起的衰减，dB。 </w:t>
            </w:r>
          </w:p>
          <w:p w14:paraId="415EB982">
            <w:pPr>
              <w:adjustRightInd w:val="0"/>
              <w:snapToGrid w:val="0"/>
              <w:spacing w:line="360" w:lineRule="auto"/>
              <w:ind w:firstLine="420"/>
              <w:rPr>
                <w:color w:val="auto"/>
              </w:rPr>
            </w:pPr>
            <w:r>
              <w:rPr>
                <w:color w:val="auto"/>
              </w:rPr>
              <w:t>预测点的A 声级 LA（r）可按式（A.3）计算，即将 8 个倍频带声压级合成，计算出预测点的A声级〔LA（r）〕。</w:t>
            </w:r>
          </w:p>
          <w:p w14:paraId="53A94106">
            <w:pPr>
              <w:adjustRightInd w:val="0"/>
              <w:snapToGrid w:val="0"/>
              <w:spacing w:line="360" w:lineRule="auto"/>
              <w:ind w:firstLine="420"/>
              <w:jc w:val="center"/>
              <w:rPr>
                <w:color w:val="auto"/>
              </w:rPr>
            </w:pPr>
            <w:r>
              <w:rPr>
                <w:color w:val="auto"/>
              </w:rPr>
              <w:drawing>
                <wp:inline distT="0" distB="0" distL="114300" distR="114300">
                  <wp:extent cx="2409190" cy="727075"/>
                  <wp:effectExtent l="0" t="0" r="10160" b="15875"/>
                  <wp:docPr id="1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4"/>
                          <pic:cNvPicPr>
                            <a:picLocks noChangeAspect="1"/>
                          </pic:cNvPicPr>
                        </pic:nvPicPr>
                        <pic:blipFill>
                          <a:blip r:embed="rId22"/>
                          <a:stretch>
                            <a:fillRect/>
                          </a:stretch>
                        </pic:blipFill>
                        <pic:spPr>
                          <a:xfrm>
                            <a:off x="0" y="0"/>
                            <a:ext cx="2409190" cy="727075"/>
                          </a:xfrm>
                          <a:prstGeom prst="rect">
                            <a:avLst/>
                          </a:prstGeom>
                          <a:noFill/>
                          <a:ln>
                            <a:noFill/>
                          </a:ln>
                        </pic:spPr>
                      </pic:pic>
                    </a:graphicData>
                  </a:graphic>
                </wp:inline>
              </w:drawing>
            </w:r>
          </w:p>
          <w:p w14:paraId="135F092F">
            <w:pPr>
              <w:adjustRightInd w:val="0"/>
              <w:snapToGrid w:val="0"/>
              <w:spacing w:line="360" w:lineRule="auto"/>
              <w:ind w:firstLine="420"/>
              <w:rPr>
                <w:color w:val="auto"/>
              </w:rPr>
            </w:pPr>
            <w:r>
              <w:rPr>
                <w:color w:val="auto"/>
              </w:rPr>
              <w:t xml:space="preserve">式中：LA（r） ——距声源 r 处的 A 声级，dB（A）； </w:t>
            </w:r>
          </w:p>
          <w:p w14:paraId="3A5491BB">
            <w:pPr>
              <w:adjustRightInd w:val="0"/>
              <w:snapToGrid w:val="0"/>
              <w:spacing w:line="360" w:lineRule="auto"/>
              <w:ind w:firstLine="1050" w:firstLineChars="500"/>
              <w:rPr>
                <w:color w:val="auto"/>
              </w:rPr>
            </w:pPr>
            <w:r>
              <w:rPr>
                <w:color w:val="auto"/>
              </w:rPr>
              <w:t xml:space="preserve">Lpi（r） ——预测点（r）处，第 i 倍频带声压级，dB； </w:t>
            </w:r>
          </w:p>
          <w:p w14:paraId="2B589CF5">
            <w:pPr>
              <w:adjustRightInd w:val="0"/>
              <w:snapToGrid w:val="0"/>
              <w:spacing w:line="360" w:lineRule="auto"/>
              <w:ind w:firstLine="1050" w:firstLineChars="500"/>
              <w:rPr>
                <w:color w:val="auto"/>
              </w:rPr>
            </w:pPr>
            <w:r>
              <w:rPr>
                <w:color w:val="auto"/>
              </w:rPr>
              <w:t xml:space="preserve">ΔLi ——第 i 倍频带的A 计权网络修正值，dB。 </w:t>
            </w:r>
          </w:p>
          <w:p w14:paraId="2B565358">
            <w:pPr>
              <w:adjustRightInd w:val="0"/>
              <w:snapToGrid w:val="0"/>
              <w:spacing w:line="360" w:lineRule="auto"/>
              <w:ind w:firstLine="420"/>
              <w:rPr>
                <w:color w:val="auto"/>
              </w:rPr>
            </w:pPr>
            <w:r>
              <w:rPr>
                <w:color w:val="auto"/>
              </w:rPr>
              <w:t xml:space="preserve">在只考虑几何发散衰减时，可按式（A.4）计算。 </w:t>
            </w:r>
          </w:p>
          <w:p w14:paraId="1FE7DC60">
            <w:pPr>
              <w:adjustRightInd w:val="0"/>
              <w:snapToGrid w:val="0"/>
              <w:spacing w:line="360" w:lineRule="auto"/>
              <w:ind w:firstLine="420"/>
              <w:jc w:val="center"/>
              <w:rPr>
                <w:color w:val="auto"/>
              </w:rPr>
            </w:pPr>
            <w:r>
              <w:rPr>
                <w:color w:val="auto"/>
              </w:rPr>
              <w:t>LAr=LA（r</w:t>
            </w:r>
            <w:r>
              <w:rPr>
                <w:color w:val="auto"/>
                <w:vertAlign w:val="subscript"/>
              </w:rPr>
              <w:t>0</w:t>
            </w:r>
            <w:r>
              <w:rPr>
                <w:color w:val="auto"/>
              </w:rPr>
              <w:t xml:space="preserve">）—Adiv </w:t>
            </w:r>
          </w:p>
          <w:p w14:paraId="3B295D5E">
            <w:pPr>
              <w:adjustRightInd w:val="0"/>
              <w:snapToGrid w:val="0"/>
              <w:spacing w:line="360" w:lineRule="auto"/>
              <w:ind w:firstLine="420"/>
              <w:rPr>
                <w:color w:val="auto"/>
              </w:rPr>
            </w:pPr>
            <w:r>
              <w:rPr>
                <w:color w:val="auto"/>
              </w:rPr>
              <w:t xml:space="preserve">式中：LA（r） ——距声源 r 处的A 声级，dB（A）； </w:t>
            </w:r>
          </w:p>
          <w:p w14:paraId="763D1C10">
            <w:pPr>
              <w:adjustRightInd w:val="0"/>
              <w:snapToGrid w:val="0"/>
              <w:spacing w:line="360" w:lineRule="auto"/>
              <w:ind w:firstLine="1050" w:firstLineChars="500"/>
              <w:rPr>
                <w:color w:val="auto"/>
              </w:rPr>
            </w:pPr>
            <w:r>
              <w:rPr>
                <w:color w:val="auto"/>
              </w:rPr>
              <w:t xml:space="preserve">LA（r0） ——参考位置 r0 处的A 声级，dB（A）； </w:t>
            </w:r>
          </w:p>
          <w:p w14:paraId="06568D93">
            <w:pPr>
              <w:adjustRightInd w:val="0"/>
              <w:snapToGrid w:val="0"/>
              <w:spacing w:line="360" w:lineRule="auto"/>
              <w:ind w:firstLine="1050" w:firstLineChars="500"/>
              <w:rPr>
                <w:color w:val="auto"/>
              </w:rPr>
            </w:pPr>
            <w:r>
              <w:rPr>
                <w:color w:val="auto"/>
              </w:rPr>
              <w:t>Adiv ——几何发散引起的衰减，dB。</w:t>
            </w:r>
          </w:p>
          <w:p w14:paraId="71F39120">
            <w:pPr>
              <w:adjustRightInd w:val="0"/>
              <w:snapToGrid w:val="0"/>
              <w:spacing w:line="360" w:lineRule="auto"/>
              <w:ind w:firstLine="420"/>
              <w:rPr>
                <w:color w:val="auto"/>
              </w:rPr>
            </w:pPr>
            <w:r>
              <w:rPr>
                <w:color w:val="auto"/>
              </w:rPr>
              <w:t>衰减项的计算</w:t>
            </w:r>
          </w:p>
          <w:p w14:paraId="605D45AA">
            <w:pPr>
              <w:adjustRightInd w:val="0"/>
              <w:snapToGrid w:val="0"/>
              <w:spacing w:line="360" w:lineRule="auto"/>
              <w:ind w:firstLine="420"/>
              <w:rPr>
                <w:color w:val="auto"/>
              </w:rPr>
            </w:pPr>
            <w:r>
              <w:rPr>
                <w:color w:val="auto"/>
              </w:rPr>
              <w:t xml:space="preserve">①声波几何发散引起的 A 声级衰减量（工业噪声源）： </w:t>
            </w:r>
          </w:p>
          <w:p w14:paraId="65C7E1ED">
            <w:pPr>
              <w:adjustRightInd w:val="0"/>
              <w:snapToGrid w:val="0"/>
              <w:spacing w:line="360" w:lineRule="auto"/>
              <w:ind w:firstLine="420"/>
              <w:rPr>
                <w:color w:val="auto"/>
              </w:rPr>
            </w:pPr>
            <w:r>
              <w:rPr>
                <w:color w:val="auto"/>
              </w:rPr>
              <w:t xml:space="preserve">a、点声源 Adiv＝10Lg（r/ro） </w:t>
            </w:r>
          </w:p>
          <w:p w14:paraId="6B457782">
            <w:pPr>
              <w:adjustRightInd w:val="0"/>
              <w:snapToGrid w:val="0"/>
              <w:spacing w:line="360" w:lineRule="auto"/>
              <w:ind w:firstLine="420"/>
              <w:rPr>
                <w:color w:val="auto"/>
              </w:rPr>
            </w:pPr>
            <w:r>
              <w:rPr>
                <w:color w:val="auto"/>
              </w:rPr>
              <w:t xml:space="preserve">b、有限长（Lo）线声源 </w:t>
            </w:r>
          </w:p>
          <w:p w14:paraId="246FF656">
            <w:pPr>
              <w:adjustRightInd w:val="0"/>
              <w:snapToGrid w:val="0"/>
              <w:spacing w:line="360" w:lineRule="auto"/>
              <w:ind w:firstLine="420"/>
              <w:rPr>
                <w:color w:val="auto"/>
              </w:rPr>
            </w:pPr>
            <w:r>
              <w:rPr>
                <w:color w:val="auto"/>
              </w:rPr>
              <w:t xml:space="preserve">当 r＞Lo 且 ro＞Lo 时   Adiv＝20lg（r/ro） </w:t>
            </w:r>
          </w:p>
          <w:p w14:paraId="0E93DFDF">
            <w:pPr>
              <w:adjustRightInd w:val="0"/>
              <w:snapToGrid w:val="0"/>
              <w:spacing w:line="360" w:lineRule="auto"/>
              <w:ind w:firstLine="420"/>
              <w:rPr>
                <w:color w:val="auto"/>
              </w:rPr>
            </w:pPr>
            <w:r>
              <w:rPr>
                <w:color w:val="auto"/>
              </w:rPr>
              <w:t xml:space="preserve">当 r＜Lo/3 且 ro＜Lo/3 时   Adiv＝10lg（r/ro） </w:t>
            </w:r>
          </w:p>
          <w:p w14:paraId="143D44DA">
            <w:pPr>
              <w:adjustRightInd w:val="0"/>
              <w:snapToGrid w:val="0"/>
              <w:spacing w:line="360" w:lineRule="auto"/>
              <w:ind w:firstLine="420"/>
              <w:rPr>
                <w:color w:val="auto"/>
              </w:rPr>
            </w:pPr>
            <w:r>
              <w:rPr>
                <w:color w:val="auto"/>
              </w:rPr>
              <w:t xml:space="preserve">当 Lo/3＜r＜Lo 且 Lo/3＜ro＜Lo 时  Adiv＝15lg（r/ro） </w:t>
            </w:r>
          </w:p>
          <w:p w14:paraId="742F8FB2">
            <w:pPr>
              <w:adjustRightInd w:val="0"/>
              <w:snapToGrid w:val="0"/>
              <w:spacing w:line="360" w:lineRule="auto"/>
              <w:ind w:firstLine="420"/>
              <w:rPr>
                <w:color w:val="auto"/>
              </w:rPr>
            </w:pPr>
            <w:r>
              <w:rPr>
                <w:color w:val="auto"/>
              </w:rPr>
              <w:t xml:space="preserve">②空气吸收引起的衰减量 Aatm </w:t>
            </w:r>
          </w:p>
          <w:p w14:paraId="4F66582C">
            <w:pPr>
              <w:adjustRightInd w:val="0"/>
              <w:snapToGrid w:val="0"/>
              <w:spacing w:line="360" w:lineRule="auto"/>
              <w:ind w:firstLine="420"/>
              <w:rPr>
                <w:color w:val="auto"/>
              </w:rPr>
            </w:pPr>
            <w:r>
              <w:rPr>
                <w:color w:val="auto"/>
              </w:rPr>
              <w:t xml:space="preserve">本工程噪声以中低频为主，空气吸收性衰减很少，本次评价预测时忽略不计。 </w:t>
            </w:r>
          </w:p>
          <w:p w14:paraId="3707A534">
            <w:pPr>
              <w:adjustRightInd w:val="0"/>
              <w:snapToGrid w:val="0"/>
              <w:spacing w:line="360" w:lineRule="auto"/>
              <w:ind w:firstLine="420"/>
              <w:rPr>
                <w:color w:val="auto"/>
              </w:rPr>
            </w:pPr>
            <w:r>
              <w:rPr>
                <w:color w:val="auto"/>
              </w:rPr>
              <w:t xml:space="preserve">③地面效应引起的衰减量 Agr </w:t>
            </w:r>
          </w:p>
          <w:p w14:paraId="731F2476">
            <w:pPr>
              <w:adjustRightInd w:val="0"/>
              <w:snapToGrid w:val="0"/>
              <w:spacing w:line="360" w:lineRule="auto"/>
              <w:ind w:firstLine="420"/>
              <w:rPr>
                <w:color w:val="auto"/>
              </w:rPr>
            </w:pPr>
            <w:r>
              <w:rPr>
                <w:color w:val="auto"/>
              </w:rPr>
              <w:t xml:space="preserve">本工程地面为水泥硬化路面，地面效应引起的衰减量很小，本次评价预测时忽略不计。 </w:t>
            </w:r>
          </w:p>
          <w:p w14:paraId="1912C86D">
            <w:pPr>
              <w:adjustRightInd w:val="0"/>
              <w:snapToGrid w:val="0"/>
              <w:spacing w:line="360" w:lineRule="auto"/>
              <w:ind w:firstLine="420"/>
              <w:rPr>
                <w:color w:val="auto"/>
              </w:rPr>
            </w:pPr>
            <w:r>
              <w:rPr>
                <w:color w:val="auto"/>
              </w:rPr>
              <w:t xml:space="preserve">④屏障引起的衰减 Abar </w:t>
            </w:r>
          </w:p>
          <w:p w14:paraId="3187D532">
            <w:pPr>
              <w:adjustRightInd w:val="0"/>
              <w:snapToGrid w:val="0"/>
              <w:spacing w:line="360" w:lineRule="auto"/>
              <w:ind w:firstLine="420"/>
              <w:rPr>
                <w:color w:val="auto"/>
              </w:rPr>
            </w:pPr>
            <w:r>
              <w:rPr>
                <w:color w:val="auto"/>
              </w:rPr>
              <w:t xml:space="preserve">噪声在向外传播过程中将受到厂房或其它车间的阻挡影响，从而引起声能量的衰减，具体衰减根据不同声级的传播途径而定，本次评价预测时忽略不计。 </w:t>
            </w:r>
          </w:p>
          <w:p w14:paraId="6313A848">
            <w:pPr>
              <w:adjustRightInd w:val="0"/>
              <w:snapToGrid w:val="0"/>
              <w:spacing w:line="360" w:lineRule="auto"/>
              <w:ind w:firstLine="420"/>
              <w:rPr>
                <w:color w:val="auto"/>
                <w:highlight w:val="none"/>
              </w:rPr>
            </w:pPr>
            <w:r>
              <w:rPr>
                <w:color w:val="auto"/>
              </w:rPr>
              <w:t>⑤其他多方面原因引起的衰减量 A</w:t>
            </w:r>
            <w:r>
              <w:rPr>
                <w:color w:val="auto"/>
                <w:highlight w:val="none"/>
              </w:rPr>
              <w:t xml:space="preserve">misc </w:t>
            </w:r>
          </w:p>
          <w:p w14:paraId="48169781">
            <w:pPr>
              <w:spacing w:line="420" w:lineRule="exact"/>
              <w:ind w:firstLine="420" w:firstLineChars="200"/>
              <w:rPr>
                <w:bCs/>
                <w:color w:val="auto"/>
                <w:highlight w:val="none"/>
              </w:rPr>
            </w:pPr>
            <w:r>
              <w:rPr>
                <w:color w:val="auto"/>
                <w:highlight w:val="none"/>
              </w:rPr>
              <w:t>主要考虑工业场所的衰减；通过房屋群的衰减等。本次环评忽略不计本项衰减量</w:t>
            </w:r>
            <w:r>
              <w:rPr>
                <w:bCs/>
                <w:color w:val="auto"/>
                <w:highlight w:val="none"/>
              </w:rPr>
              <w:t>。</w:t>
            </w:r>
          </w:p>
          <w:p w14:paraId="511E5047">
            <w:pPr>
              <w:spacing w:line="420" w:lineRule="exact"/>
              <w:ind w:firstLine="420" w:firstLineChars="200"/>
              <w:rPr>
                <w:color w:val="auto"/>
                <w:highlight w:val="none"/>
              </w:rPr>
            </w:pPr>
            <w:r>
              <w:rPr>
                <w:color w:val="auto"/>
                <w:highlight w:val="none"/>
              </w:rPr>
              <w:t>本次评价对建设项目的厂界噪声进行预测。</w:t>
            </w:r>
            <w:r>
              <w:rPr>
                <w:rFonts w:hint="eastAsia"/>
                <w:color w:val="auto"/>
                <w:highlight w:val="none"/>
                <w:lang w:val="en-US" w:eastAsia="zh-CN"/>
              </w:rPr>
              <w:t>经预约，东厂界贡献值为47.3</w:t>
            </w:r>
            <w:r>
              <w:rPr>
                <w:rFonts w:hint="eastAsia"/>
                <w:b w:val="0"/>
                <w:bCs w:val="0"/>
                <w:color w:val="auto"/>
                <w:sz w:val="21"/>
                <w:szCs w:val="21"/>
                <w:highlight w:val="none"/>
              </w:rPr>
              <w:t>dB（A）</w:t>
            </w:r>
            <w:r>
              <w:rPr>
                <w:rFonts w:hint="eastAsia"/>
                <w:b w:val="0"/>
                <w:bCs w:val="0"/>
                <w:color w:val="auto"/>
                <w:sz w:val="21"/>
                <w:szCs w:val="21"/>
                <w:highlight w:val="none"/>
                <w:lang w:eastAsia="zh-CN"/>
              </w:rPr>
              <w:t>，</w:t>
            </w:r>
            <w:r>
              <w:rPr>
                <w:rFonts w:hint="eastAsia"/>
                <w:color w:val="auto"/>
                <w:highlight w:val="none"/>
                <w:lang w:val="en-US" w:eastAsia="zh-CN"/>
              </w:rPr>
              <w:t>西厂界贡献值为52.0</w:t>
            </w:r>
            <w:r>
              <w:rPr>
                <w:rFonts w:hint="eastAsia"/>
                <w:b w:val="0"/>
                <w:bCs w:val="0"/>
                <w:color w:val="auto"/>
                <w:sz w:val="21"/>
                <w:szCs w:val="21"/>
                <w:highlight w:val="none"/>
              </w:rPr>
              <w:t>dB（A）</w:t>
            </w:r>
            <w:r>
              <w:rPr>
                <w:rFonts w:hint="eastAsia"/>
                <w:b w:val="0"/>
                <w:bCs w:val="0"/>
                <w:color w:val="auto"/>
                <w:sz w:val="21"/>
                <w:szCs w:val="21"/>
                <w:highlight w:val="none"/>
                <w:lang w:eastAsia="zh-CN"/>
              </w:rPr>
              <w:t>，</w:t>
            </w:r>
            <w:r>
              <w:rPr>
                <w:rFonts w:hint="eastAsia"/>
                <w:b w:val="0"/>
                <w:bCs w:val="0"/>
                <w:color w:val="auto"/>
                <w:sz w:val="21"/>
                <w:szCs w:val="21"/>
                <w:highlight w:val="none"/>
                <w:lang w:val="en-US" w:eastAsia="zh-CN"/>
              </w:rPr>
              <w:t>南</w:t>
            </w:r>
            <w:r>
              <w:rPr>
                <w:rFonts w:hint="eastAsia"/>
                <w:color w:val="auto"/>
                <w:highlight w:val="none"/>
                <w:lang w:val="en-US" w:eastAsia="zh-CN"/>
              </w:rPr>
              <w:t>厂界贡献值为36.7</w:t>
            </w:r>
            <w:r>
              <w:rPr>
                <w:rFonts w:hint="eastAsia"/>
                <w:b w:val="0"/>
                <w:bCs w:val="0"/>
                <w:color w:val="auto"/>
                <w:sz w:val="21"/>
                <w:szCs w:val="21"/>
                <w:highlight w:val="none"/>
              </w:rPr>
              <w:t>dB（A）</w:t>
            </w:r>
            <w:r>
              <w:rPr>
                <w:rFonts w:hint="eastAsia"/>
                <w:b w:val="0"/>
                <w:bCs w:val="0"/>
                <w:color w:val="auto"/>
                <w:sz w:val="21"/>
                <w:szCs w:val="21"/>
                <w:highlight w:val="none"/>
                <w:lang w:eastAsia="zh-CN"/>
              </w:rPr>
              <w:t>，</w:t>
            </w:r>
            <w:r>
              <w:rPr>
                <w:rFonts w:hint="eastAsia"/>
                <w:color w:val="auto"/>
                <w:highlight w:val="none"/>
                <w:lang w:val="en-US" w:eastAsia="zh-CN"/>
              </w:rPr>
              <w:t>由于厂区东侧、西侧和南侧紧邻其他企业，与其他企业共用厂界，因此，无需进行评价，只需对北厂界进行评价，</w:t>
            </w:r>
            <w:r>
              <w:rPr>
                <w:color w:val="auto"/>
                <w:highlight w:val="none"/>
              </w:rPr>
              <w:t>预测结果见下表。</w:t>
            </w:r>
          </w:p>
          <w:p w14:paraId="4D5CDD3B">
            <w:pPr>
              <w:spacing w:line="420" w:lineRule="exact"/>
              <w:jc w:val="center"/>
              <w:rPr>
                <w:b/>
                <w:color w:val="auto"/>
                <w:spacing w:val="8"/>
                <w:kern w:val="24"/>
                <w:highlight w:val="none"/>
              </w:rPr>
            </w:pPr>
            <w:r>
              <w:rPr>
                <w:b/>
                <w:color w:val="auto"/>
                <w:spacing w:val="8"/>
                <w:kern w:val="24"/>
                <w:highlight w:val="none"/>
              </w:rPr>
              <w:t>表4-</w:t>
            </w:r>
            <w:r>
              <w:rPr>
                <w:rFonts w:hint="eastAsia"/>
                <w:b/>
                <w:color w:val="auto"/>
                <w:spacing w:val="8"/>
                <w:kern w:val="24"/>
                <w:highlight w:val="none"/>
                <w:lang w:val="en-US" w:eastAsia="zh-CN"/>
              </w:rPr>
              <w:t>13</w:t>
            </w:r>
            <w:r>
              <w:rPr>
                <w:b/>
                <w:color w:val="auto"/>
                <w:spacing w:val="8"/>
                <w:kern w:val="24"/>
                <w:highlight w:val="none"/>
              </w:rPr>
              <w:t>项目建成后各厂界的声级预测值一览表  单位：dB（A）</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5"/>
              <w:gridCol w:w="1888"/>
              <w:gridCol w:w="2451"/>
              <w:gridCol w:w="2454"/>
            </w:tblGrid>
            <w:tr w14:paraId="55C54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941" w:type="pct"/>
                  <w:vMerge w:val="restart"/>
                  <w:noWrap w:val="0"/>
                  <w:vAlign w:val="center"/>
                </w:tcPr>
                <w:p w14:paraId="609AC868">
                  <w:pPr>
                    <w:pStyle w:val="1405"/>
                    <w:spacing w:line="240" w:lineRule="auto"/>
                    <w:ind w:firstLine="0" w:firstLineChars="0"/>
                    <w:jc w:val="center"/>
                    <w:rPr>
                      <w:b/>
                      <w:bCs/>
                      <w:color w:val="auto"/>
                      <w:sz w:val="18"/>
                      <w:szCs w:val="18"/>
                      <w:highlight w:val="none"/>
                    </w:rPr>
                  </w:pPr>
                  <w:r>
                    <w:rPr>
                      <w:b/>
                      <w:bCs/>
                      <w:color w:val="auto"/>
                      <w:sz w:val="18"/>
                      <w:szCs w:val="18"/>
                      <w:highlight w:val="none"/>
                    </w:rPr>
                    <w:t>序号</w:t>
                  </w:r>
                </w:p>
              </w:tc>
              <w:tc>
                <w:tcPr>
                  <w:tcW w:w="1128" w:type="pct"/>
                  <w:vMerge w:val="restart"/>
                  <w:noWrap w:val="0"/>
                  <w:vAlign w:val="center"/>
                </w:tcPr>
                <w:p w14:paraId="448CC1DF">
                  <w:pPr>
                    <w:pStyle w:val="1405"/>
                    <w:spacing w:line="240" w:lineRule="auto"/>
                    <w:ind w:firstLine="0" w:firstLineChars="0"/>
                    <w:jc w:val="center"/>
                    <w:rPr>
                      <w:b/>
                      <w:bCs/>
                      <w:color w:val="auto"/>
                      <w:sz w:val="18"/>
                      <w:szCs w:val="18"/>
                      <w:highlight w:val="none"/>
                    </w:rPr>
                  </w:pPr>
                  <w:r>
                    <w:rPr>
                      <w:b/>
                      <w:bCs/>
                      <w:color w:val="auto"/>
                      <w:sz w:val="18"/>
                      <w:szCs w:val="18"/>
                      <w:highlight w:val="none"/>
                    </w:rPr>
                    <w:t>厂界</w:t>
                  </w:r>
                </w:p>
              </w:tc>
              <w:tc>
                <w:tcPr>
                  <w:tcW w:w="2930" w:type="pct"/>
                  <w:gridSpan w:val="2"/>
                  <w:noWrap w:val="0"/>
                  <w:vAlign w:val="center"/>
                </w:tcPr>
                <w:p w14:paraId="3E4F00F6">
                  <w:pPr>
                    <w:pStyle w:val="1405"/>
                    <w:spacing w:line="240" w:lineRule="auto"/>
                    <w:ind w:firstLine="0" w:firstLineChars="0"/>
                    <w:jc w:val="center"/>
                    <w:rPr>
                      <w:b/>
                      <w:bCs/>
                      <w:color w:val="auto"/>
                      <w:sz w:val="18"/>
                      <w:szCs w:val="18"/>
                      <w:highlight w:val="none"/>
                    </w:rPr>
                  </w:pPr>
                  <w:r>
                    <w:rPr>
                      <w:rFonts w:hint="eastAsia"/>
                      <w:b/>
                      <w:bCs/>
                      <w:color w:val="auto"/>
                      <w:sz w:val="18"/>
                      <w:szCs w:val="18"/>
                      <w:highlight w:val="none"/>
                    </w:rPr>
                    <w:t>贡献值</w:t>
                  </w:r>
                  <w:r>
                    <w:rPr>
                      <w:b/>
                      <w:bCs/>
                      <w:color w:val="auto"/>
                      <w:sz w:val="18"/>
                      <w:szCs w:val="18"/>
                      <w:highlight w:val="none"/>
                    </w:rPr>
                    <w:t>dB（A）</w:t>
                  </w:r>
                </w:p>
              </w:tc>
            </w:tr>
            <w:tr w14:paraId="458F1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941" w:type="pct"/>
                  <w:vMerge w:val="continue"/>
                  <w:noWrap w:val="0"/>
                  <w:vAlign w:val="center"/>
                </w:tcPr>
                <w:p w14:paraId="6B9B6A9F">
                  <w:pPr>
                    <w:pStyle w:val="1405"/>
                    <w:spacing w:line="240" w:lineRule="auto"/>
                    <w:ind w:firstLine="0" w:firstLineChars="0"/>
                    <w:jc w:val="center"/>
                    <w:rPr>
                      <w:color w:val="auto"/>
                      <w:highlight w:val="none"/>
                    </w:rPr>
                  </w:pPr>
                </w:p>
              </w:tc>
              <w:tc>
                <w:tcPr>
                  <w:tcW w:w="1128" w:type="pct"/>
                  <w:vMerge w:val="continue"/>
                  <w:noWrap w:val="0"/>
                  <w:vAlign w:val="center"/>
                </w:tcPr>
                <w:p w14:paraId="0C0A1901">
                  <w:pPr>
                    <w:pStyle w:val="1405"/>
                    <w:spacing w:line="240" w:lineRule="auto"/>
                    <w:ind w:firstLine="0" w:firstLineChars="0"/>
                    <w:jc w:val="center"/>
                    <w:rPr>
                      <w:color w:val="auto"/>
                      <w:highlight w:val="none"/>
                    </w:rPr>
                  </w:pPr>
                </w:p>
              </w:tc>
              <w:tc>
                <w:tcPr>
                  <w:tcW w:w="1464" w:type="pct"/>
                  <w:noWrap w:val="0"/>
                  <w:vAlign w:val="center"/>
                </w:tcPr>
                <w:p w14:paraId="626F260D">
                  <w:pPr>
                    <w:pStyle w:val="1405"/>
                    <w:spacing w:line="240" w:lineRule="auto"/>
                    <w:ind w:firstLine="0" w:firstLineChars="0"/>
                    <w:jc w:val="center"/>
                    <w:rPr>
                      <w:rFonts w:hint="eastAsia"/>
                      <w:b/>
                      <w:bCs/>
                      <w:color w:val="auto"/>
                      <w:sz w:val="18"/>
                      <w:szCs w:val="18"/>
                      <w:highlight w:val="none"/>
                    </w:rPr>
                  </w:pPr>
                  <w:r>
                    <w:rPr>
                      <w:rFonts w:hint="eastAsia"/>
                      <w:b/>
                      <w:bCs/>
                      <w:color w:val="auto"/>
                      <w:sz w:val="18"/>
                      <w:szCs w:val="18"/>
                      <w:highlight w:val="none"/>
                    </w:rPr>
                    <w:t>昼间</w:t>
                  </w:r>
                </w:p>
              </w:tc>
              <w:tc>
                <w:tcPr>
                  <w:tcW w:w="1466" w:type="pct"/>
                  <w:noWrap w:val="0"/>
                  <w:vAlign w:val="center"/>
                </w:tcPr>
                <w:p w14:paraId="4660DE82">
                  <w:pPr>
                    <w:pStyle w:val="1405"/>
                    <w:spacing w:line="240" w:lineRule="auto"/>
                    <w:ind w:firstLine="0" w:firstLineChars="0"/>
                    <w:jc w:val="center"/>
                    <w:rPr>
                      <w:rFonts w:hint="eastAsia" w:eastAsia="宋体"/>
                      <w:b/>
                      <w:bCs/>
                      <w:color w:val="auto"/>
                      <w:sz w:val="18"/>
                      <w:szCs w:val="18"/>
                      <w:highlight w:val="none"/>
                      <w:lang w:val="en-US" w:eastAsia="zh-CN"/>
                    </w:rPr>
                  </w:pPr>
                  <w:r>
                    <w:rPr>
                      <w:rFonts w:hint="eastAsia"/>
                      <w:b/>
                      <w:bCs/>
                      <w:color w:val="auto"/>
                      <w:sz w:val="18"/>
                      <w:szCs w:val="18"/>
                      <w:highlight w:val="none"/>
                      <w:lang w:val="en-US" w:eastAsia="zh-CN"/>
                    </w:rPr>
                    <w:t>夜间</w:t>
                  </w:r>
                </w:p>
              </w:tc>
            </w:tr>
            <w:tr w14:paraId="40236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1" w:type="pct"/>
                  <w:noWrap w:val="0"/>
                  <w:vAlign w:val="center"/>
                </w:tcPr>
                <w:p w14:paraId="2DCE3865">
                  <w:pPr>
                    <w:pStyle w:val="1405"/>
                    <w:spacing w:line="240" w:lineRule="auto"/>
                    <w:ind w:firstLine="0" w:firstLineChars="0"/>
                    <w:jc w:val="center"/>
                    <w:rPr>
                      <w:rFonts w:hint="eastAsia"/>
                      <w:color w:val="auto"/>
                      <w:sz w:val="18"/>
                      <w:szCs w:val="18"/>
                      <w:highlight w:val="none"/>
                    </w:rPr>
                  </w:pPr>
                  <w:r>
                    <w:rPr>
                      <w:rFonts w:hint="eastAsia"/>
                      <w:color w:val="auto"/>
                      <w:sz w:val="18"/>
                      <w:szCs w:val="18"/>
                      <w:highlight w:val="none"/>
                      <w:lang w:eastAsia="zh-CN"/>
                    </w:rPr>
                    <w:t>1</w:t>
                  </w:r>
                </w:p>
              </w:tc>
              <w:tc>
                <w:tcPr>
                  <w:tcW w:w="1128" w:type="pct"/>
                  <w:noWrap w:val="0"/>
                  <w:vAlign w:val="center"/>
                </w:tcPr>
                <w:p w14:paraId="0B74654D">
                  <w:pPr>
                    <w:widowControl/>
                    <w:spacing w:line="300" w:lineRule="exact"/>
                    <w:jc w:val="center"/>
                    <w:rPr>
                      <w:color w:val="auto"/>
                      <w:kern w:val="0"/>
                      <w:sz w:val="18"/>
                      <w:szCs w:val="18"/>
                      <w:highlight w:val="none"/>
                    </w:rPr>
                  </w:pPr>
                  <w:r>
                    <w:rPr>
                      <w:color w:val="auto"/>
                      <w:sz w:val="18"/>
                      <w:szCs w:val="18"/>
                      <w:highlight w:val="none"/>
                    </w:rPr>
                    <w:t>北厂界</w:t>
                  </w:r>
                </w:p>
              </w:tc>
              <w:tc>
                <w:tcPr>
                  <w:tcW w:w="1464" w:type="pct"/>
                  <w:noWrap w:val="0"/>
                  <w:vAlign w:val="center"/>
                </w:tcPr>
                <w:p w14:paraId="64E06D6E">
                  <w:pPr>
                    <w:widowControl/>
                    <w:spacing w:line="300" w:lineRule="exact"/>
                    <w:jc w:val="center"/>
                    <w:rPr>
                      <w:rFonts w:hint="default" w:eastAsia="宋体"/>
                      <w:color w:val="auto"/>
                      <w:kern w:val="0"/>
                      <w:sz w:val="18"/>
                      <w:szCs w:val="18"/>
                      <w:highlight w:val="none"/>
                      <w:lang w:val="en-US" w:eastAsia="zh-CN"/>
                    </w:rPr>
                  </w:pPr>
                  <w:r>
                    <w:rPr>
                      <w:rFonts w:hint="eastAsia"/>
                      <w:color w:val="auto"/>
                      <w:kern w:val="0"/>
                      <w:sz w:val="18"/>
                      <w:szCs w:val="18"/>
                      <w:highlight w:val="none"/>
                      <w:lang w:val="en-US" w:eastAsia="zh-CN"/>
                    </w:rPr>
                    <w:t>36.1</w:t>
                  </w:r>
                </w:p>
              </w:tc>
              <w:tc>
                <w:tcPr>
                  <w:tcW w:w="1466" w:type="pct"/>
                  <w:shd w:val="clear" w:color="auto" w:fill="auto"/>
                  <w:noWrap w:val="0"/>
                  <w:vAlign w:val="center"/>
                </w:tcPr>
                <w:p w14:paraId="23D0255E">
                  <w:pPr>
                    <w:widowControl/>
                    <w:spacing w:line="300" w:lineRule="exact"/>
                    <w:jc w:val="center"/>
                    <w:rPr>
                      <w:rFonts w:hint="eastAsia"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val="en-US" w:eastAsia="zh-CN"/>
                    </w:rPr>
                    <w:t>36.1</w:t>
                  </w:r>
                </w:p>
              </w:tc>
            </w:tr>
          </w:tbl>
          <w:p w14:paraId="457E145B">
            <w:pPr>
              <w:spacing w:line="420" w:lineRule="exact"/>
              <w:ind w:firstLine="420" w:firstLineChars="200"/>
              <w:rPr>
                <w:color w:val="auto"/>
                <w:highlight w:val="none"/>
              </w:rPr>
            </w:pPr>
            <w:r>
              <w:rPr>
                <w:rFonts w:hint="eastAsia"/>
                <w:color w:val="auto"/>
                <w:highlight w:val="none"/>
                <w:lang w:eastAsia="zh-CN"/>
              </w:rPr>
              <w:t>本项目建成后，</w:t>
            </w:r>
            <w:r>
              <w:rPr>
                <w:color w:val="auto"/>
                <w:highlight w:val="none"/>
              </w:rPr>
              <w:t>厂界昼</w:t>
            </w:r>
            <w:r>
              <w:rPr>
                <w:rFonts w:hint="eastAsia"/>
                <w:color w:val="auto"/>
                <w:highlight w:val="none"/>
                <w:lang w:eastAsia="zh-CN"/>
              </w:rPr>
              <w:t>夜</w:t>
            </w:r>
            <w:r>
              <w:rPr>
                <w:color w:val="auto"/>
                <w:highlight w:val="none"/>
              </w:rPr>
              <w:t>间噪声能满足《工业企业厂界环境噪声排放标准》（GB12348-2008）中</w:t>
            </w:r>
            <w:r>
              <w:rPr>
                <w:rFonts w:hint="eastAsia"/>
                <w:color w:val="auto"/>
                <w:highlight w:val="none"/>
                <w:lang w:val="en-US" w:eastAsia="zh-CN"/>
              </w:rPr>
              <w:t>3</w:t>
            </w:r>
            <w:r>
              <w:rPr>
                <w:color w:val="auto"/>
                <w:highlight w:val="none"/>
              </w:rPr>
              <w:t>类标准（昼间6</w:t>
            </w:r>
            <w:r>
              <w:rPr>
                <w:rFonts w:hint="eastAsia"/>
                <w:color w:val="auto"/>
                <w:highlight w:val="none"/>
                <w:lang w:val="en-US" w:eastAsia="zh-CN"/>
              </w:rPr>
              <w:t>5</w:t>
            </w:r>
            <w:r>
              <w:rPr>
                <w:color w:val="auto"/>
                <w:highlight w:val="none"/>
              </w:rPr>
              <w:t>dB（A）</w:t>
            </w:r>
            <w:r>
              <w:rPr>
                <w:rFonts w:hint="eastAsia"/>
                <w:color w:val="auto"/>
                <w:highlight w:val="none"/>
                <w:lang w:eastAsia="zh-CN"/>
              </w:rPr>
              <w:t>、夜间</w:t>
            </w:r>
            <w:r>
              <w:rPr>
                <w:rFonts w:hint="eastAsia"/>
                <w:color w:val="auto"/>
                <w:highlight w:val="none"/>
                <w:lang w:val="en-US" w:eastAsia="zh-CN"/>
              </w:rPr>
              <w:t>55</w:t>
            </w:r>
            <w:r>
              <w:rPr>
                <w:color w:val="auto"/>
                <w:highlight w:val="none"/>
              </w:rPr>
              <w:t>dB（A））。</w:t>
            </w:r>
          </w:p>
          <w:p w14:paraId="2E241D6C">
            <w:pPr>
              <w:spacing w:line="420" w:lineRule="exact"/>
              <w:rPr>
                <w:b/>
                <w:bCs/>
                <w:color w:val="auto"/>
                <w:szCs w:val="18"/>
              </w:rPr>
            </w:pPr>
            <w:r>
              <w:rPr>
                <w:b/>
                <w:bCs/>
                <w:color w:val="auto"/>
                <w:szCs w:val="18"/>
              </w:rPr>
              <w:t>3、监测要求</w:t>
            </w:r>
          </w:p>
          <w:p w14:paraId="7F48BB4C">
            <w:pPr>
              <w:spacing w:line="420" w:lineRule="exact"/>
              <w:ind w:firstLine="420" w:firstLineChars="200"/>
              <w:rPr>
                <w:color w:val="auto"/>
              </w:rPr>
            </w:pPr>
            <w:r>
              <w:rPr>
                <w:color w:val="auto"/>
              </w:rPr>
              <w:t>依据《排污单位自行监测技术指南 总则》（HJ819-2017）和本项目情况，对本项目噪声的日常监测要求见下表：</w:t>
            </w:r>
          </w:p>
          <w:p w14:paraId="25FA34AD">
            <w:pPr>
              <w:spacing w:line="420" w:lineRule="exact"/>
              <w:ind w:firstLine="25" w:firstLineChars="12"/>
              <w:jc w:val="center"/>
              <w:rPr>
                <w:b/>
                <w:bCs/>
                <w:color w:val="auto"/>
              </w:rPr>
            </w:pPr>
            <w:r>
              <w:rPr>
                <w:b/>
                <w:bCs/>
                <w:color w:val="auto"/>
              </w:rPr>
              <w:t>表4-</w:t>
            </w:r>
            <w:r>
              <w:rPr>
                <w:rFonts w:hint="eastAsia"/>
                <w:b/>
                <w:bCs/>
                <w:color w:val="auto"/>
                <w:lang w:val="en-US" w:eastAsia="zh-CN"/>
              </w:rPr>
              <w:t xml:space="preserve">14 </w:t>
            </w:r>
            <w:r>
              <w:rPr>
                <w:b/>
                <w:bCs/>
                <w:color w:val="auto"/>
              </w:rPr>
              <w:t>噪声监测要求</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0"/>
              <w:gridCol w:w="5685"/>
            </w:tblGrid>
            <w:tr w14:paraId="02671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02" w:type="pct"/>
                  <w:vAlign w:val="center"/>
                </w:tcPr>
                <w:p w14:paraId="453291A1">
                  <w:pPr>
                    <w:pStyle w:val="38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color w:val="auto"/>
                      <w:sz w:val="18"/>
                      <w:szCs w:val="18"/>
                    </w:rPr>
                  </w:pPr>
                  <w:r>
                    <w:rPr>
                      <w:b/>
                      <w:bCs/>
                      <w:color w:val="auto"/>
                      <w:sz w:val="18"/>
                      <w:szCs w:val="18"/>
                    </w:rPr>
                    <w:t>监测点位</w:t>
                  </w:r>
                </w:p>
              </w:tc>
              <w:tc>
                <w:tcPr>
                  <w:tcW w:w="3397" w:type="pct"/>
                  <w:vAlign w:val="center"/>
                </w:tcPr>
                <w:p w14:paraId="55D3137C">
                  <w:pPr>
                    <w:pStyle w:val="38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18"/>
                      <w:szCs w:val="18"/>
                      <w:lang w:val="en-US" w:eastAsia="zh-CN"/>
                    </w:rPr>
                  </w:pPr>
                  <w:r>
                    <w:rPr>
                      <w:rFonts w:hint="eastAsia"/>
                      <w:color w:val="auto"/>
                      <w:sz w:val="18"/>
                      <w:szCs w:val="18"/>
                      <w:lang w:eastAsia="zh-CN"/>
                    </w:rPr>
                    <w:t>北</w:t>
                  </w:r>
                  <w:r>
                    <w:rPr>
                      <w:color w:val="auto"/>
                      <w:sz w:val="18"/>
                      <w:szCs w:val="18"/>
                    </w:rPr>
                    <w:t>厂界外1m</w:t>
                  </w:r>
                </w:p>
              </w:tc>
            </w:tr>
            <w:tr w14:paraId="3E5DF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02" w:type="pct"/>
                  <w:vAlign w:val="center"/>
                </w:tcPr>
                <w:p w14:paraId="7A0FEE13">
                  <w:pPr>
                    <w:pStyle w:val="38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bCs/>
                      <w:color w:val="auto"/>
                      <w:sz w:val="18"/>
                      <w:szCs w:val="18"/>
                      <w:lang w:eastAsia="zh-CN"/>
                    </w:rPr>
                  </w:pPr>
                  <w:r>
                    <w:rPr>
                      <w:rFonts w:hint="eastAsia"/>
                      <w:b/>
                      <w:bCs/>
                      <w:color w:val="auto"/>
                      <w:sz w:val="18"/>
                      <w:szCs w:val="18"/>
                      <w:lang w:eastAsia="zh-CN"/>
                    </w:rPr>
                    <w:t>监测因子</w:t>
                  </w:r>
                </w:p>
              </w:tc>
              <w:tc>
                <w:tcPr>
                  <w:tcW w:w="3397" w:type="pct"/>
                  <w:vAlign w:val="center"/>
                </w:tcPr>
                <w:p w14:paraId="50CC347B">
                  <w:pPr>
                    <w:pStyle w:val="38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18"/>
                      <w:szCs w:val="18"/>
                      <w:lang w:val="en-US" w:eastAsia="zh-CN"/>
                    </w:rPr>
                  </w:pPr>
                  <w:r>
                    <w:rPr>
                      <w:rFonts w:hint="eastAsia"/>
                      <w:color w:val="auto"/>
                      <w:sz w:val="18"/>
                      <w:szCs w:val="18"/>
                      <w:lang w:eastAsia="zh-CN"/>
                    </w:rPr>
                    <w:t>昼夜等效连续</w:t>
                  </w:r>
                  <w:r>
                    <w:rPr>
                      <w:rFonts w:hint="eastAsia"/>
                      <w:color w:val="auto"/>
                      <w:sz w:val="18"/>
                      <w:szCs w:val="18"/>
                      <w:lang w:val="en-US" w:eastAsia="zh-CN"/>
                    </w:rPr>
                    <w:t>A声级、最大A声级</w:t>
                  </w:r>
                </w:p>
              </w:tc>
            </w:tr>
            <w:tr w14:paraId="012F6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02" w:type="pct"/>
                  <w:vAlign w:val="center"/>
                </w:tcPr>
                <w:p w14:paraId="72E73EB4">
                  <w:pPr>
                    <w:pStyle w:val="38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color w:val="auto"/>
                      <w:sz w:val="18"/>
                      <w:szCs w:val="18"/>
                    </w:rPr>
                  </w:pPr>
                  <w:r>
                    <w:rPr>
                      <w:b/>
                      <w:bCs/>
                      <w:color w:val="auto"/>
                      <w:sz w:val="18"/>
                      <w:szCs w:val="18"/>
                    </w:rPr>
                    <w:t>监测频次</w:t>
                  </w:r>
                </w:p>
              </w:tc>
              <w:tc>
                <w:tcPr>
                  <w:tcW w:w="3397" w:type="pct"/>
                  <w:vAlign w:val="center"/>
                </w:tcPr>
                <w:p w14:paraId="7F830E77">
                  <w:pPr>
                    <w:pStyle w:val="38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18"/>
                      <w:szCs w:val="18"/>
                      <w:lang w:val="en-US"/>
                    </w:rPr>
                  </w:pPr>
                  <w:r>
                    <w:rPr>
                      <w:color w:val="auto"/>
                      <w:sz w:val="18"/>
                      <w:szCs w:val="18"/>
                      <w:lang w:val="en-US"/>
                    </w:rPr>
                    <w:t>每季度1次</w:t>
                  </w:r>
                </w:p>
              </w:tc>
            </w:tr>
            <w:tr w14:paraId="2D0BD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602" w:type="pct"/>
                  <w:vAlign w:val="center"/>
                </w:tcPr>
                <w:p w14:paraId="5F6AF8F9">
                  <w:pPr>
                    <w:pStyle w:val="38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color w:val="auto"/>
                      <w:sz w:val="18"/>
                      <w:szCs w:val="18"/>
                    </w:rPr>
                  </w:pPr>
                  <w:r>
                    <w:rPr>
                      <w:b/>
                      <w:bCs/>
                      <w:color w:val="auto"/>
                      <w:sz w:val="18"/>
                      <w:szCs w:val="18"/>
                    </w:rPr>
                    <w:t>执行标准</w:t>
                  </w:r>
                </w:p>
              </w:tc>
              <w:tc>
                <w:tcPr>
                  <w:tcW w:w="3397" w:type="pct"/>
                  <w:vAlign w:val="center"/>
                </w:tcPr>
                <w:p w14:paraId="1F8A54B8">
                  <w:pPr>
                    <w:pStyle w:val="38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18"/>
                      <w:szCs w:val="18"/>
                    </w:rPr>
                  </w:pPr>
                  <w:r>
                    <w:rPr>
                      <w:color w:val="auto"/>
                      <w:sz w:val="18"/>
                      <w:szCs w:val="18"/>
                    </w:rPr>
                    <w:t>《工业企业厂界环境噪声排放标准》（GB12348-2008）</w:t>
                  </w:r>
                  <w:r>
                    <w:rPr>
                      <w:rFonts w:hint="eastAsia"/>
                      <w:color w:val="auto"/>
                      <w:sz w:val="18"/>
                      <w:szCs w:val="18"/>
                      <w:lang w:val="en-US" w:eastAsia="zh-CN"/>
                    </w:rPr>
                    <w:t>3</w:t>
                  </w:r>
                  <w:r>
                    <w:rPr>
                      <w:color w:val="auto"/>
                      <w:sz w:val="18"/>
                      <w:szCs w:val="18"/>
                    </w:rPr>
                    <w:t>类区标准</w:t>
                  </w:r>
                </w:p>
              </w:tc>
            </w:tr>
            <w:tr w14:paraId="76F45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2"/>
                  <w:vAlign w:val="center"/>
                </w:tcPr>
                <w:p w14:paraId="231E9DE4">
                  <w:pPr>
                    <w:pStyle w:val="38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18"/>
                      <w:szCs w:val="18"/>
                      <w:lang w:val="en-US" w:eastAsia="zh-CN"/>
                    </w:rPr>
                  </w:pPr>
                  <w:r>
                    <w:rPr>
                      <w:rFonts w:hint="eastAsia"/>
                      <w:color w:val="auto"/>
                      <w:sz w:val="18"/>
                      <w:szCs w:val="18"/>
                      <w:lang w:val="en-US" w:eastAsia="zh-CN"/>
                    </w:rPr>
                    <w:t>注：厂区东侧、西侧和南侧紧邻其他企业，与其他企业共用厂界，因此，无需进行检测</w:t>
                  </w:r>
                </w:p>
              </w:tc>
            </w:tr>
          </w:tbl>
          <w:p w14:paraId="7157AA63">
            <w:pPr>
              <w:keepNext w:val="0"/>
              <w:keepLines w:val="0"/>
              <w:pageBreakBefore w:val="0"/>
              <w:widowControl w:val="0"/>
              <w:kinsoku/>
              <w:wordWrap/>
              <w:overflowPunct/>
              <w:topLinePunct w:val="0"/>
              <w:bidi w:val="0"/>
              <w:adjustRightInd w:val="0"/>
              <w:snapToGrid w:val="0"/>
              <w:spacing w:line="360" w:lineRule="auto"/>
              <w:ind w:firstLine="422" w:firstLineChars="200"/>
              <w:textAlignment w:val="auto"/>
              <w:rPr>
                <w:b/>
                <w:bCs/>
                <w:color w:val="auto"/>
              </w:rPr>
            </w:pPr>
            <w:r>
              <w:rPr>
                <w:b/>
                <w:bCs/>
                <w:color w:val="auto"/>
              </w:rPr>
              <w:t>四、固体废物</w:t>
            </w:r>
          </w:p>
          <w:p w14:paraId="0BE933BD">
            <w:pPr>
              <w:adjustRightInd w:val="0"/>
              <w:snapToGrid w:val="0"/>
              <w:spacing w:line="360" w:lineRule="auto"/>
              <w:ind w:firstLine="422" w:firstLineChars="200"/>
              <w:rPr>
                <w:b/>
                <w:bCs/>
                <w:color w:val="auto"/>
              </w:rPr>
            </w:pPr>
            <w:r>
              <w:rPr>
                <w:b/>
                <w:bCs/>
                <w:color w:val="auto"/>
              </w:rPr>
              <w:t>1、固体废弃物产生环节及处置</w:t>
            </w:r>
          </w:p>
          <w:p w14:paraId="3ABB82BA">
            <w:pPr>
              <w:adjustRightInd w:val="0"/>
              <w:snapToGrid w:val="0"/>
              <w:spacing w:line="360" w:lineRule="auto"/>
              <w:ind w:firstLine="420" w:firstLineChars="200"/>
              <w:rPr>
                <w:rFonts w:hint="default" w:ascii="Times New Roman" w:hAnsi="Times New Roman" w:eastAsia="宋体" w:cs="Times New Roman"/>
                <w:color w:val="auto"/>
                <w:lang w:eastAsia="zh-CN"/>
              </w:rPr>
            </w:pPr>
            <w:r>
              <w:rPr>
                <w:rFonts w:hint="default" w:ascii="Times New Roman" w:hAnsi="Times New Roman" w:cs="Times New Roman"/>
                <w:color w:val="auto"/>
              </w:rPr>
              <w:t>根据《工业固体废物鉴别标准通则》（GB34330-20</w:t>
            </w:r>
            <w:r>
              <w:rPr>
                <w:rFonts w:hint="eastAsia" w:cs="Times New Roman"/>
                <w:color w:val="auto"/>
                <w:lang w:val="en-US" w:eastAsia="zh-CN"/>
              </w:rPr>
              <w:t>25</w:t>
            </w:r>
            <w:r>
              <w:rPr>
                <w:rFonts w:hint="default" w:ascii="Times New Roman" w:hAnsi="Times New Roman" w:cs="Times New Roman"/>
                <w:color w:val="auto"/>
              </w:rPr>
              <w:t>）</w:t>
            </w:r>
            <w:r>
              <w:rPr>
                <w:rFonts w:hint="eastAsia" w:cs="Times New Roman"/>
                <w:color w:val="auto"/>
                <w:lang w:val="en-US" w:eastAsia="zh-CN"/>
              </w:rPr>
              <w:t>4.2</w:t>
            </w:r>
            <w:r>
              <w:rPr>
                <w:rFonts w:hint="default" w:ascii="Times New Roman" w:hAnsi="Times New Roman" w:eastAsia="宋体" w:cs="Times New Roman"/>
                <w:color w:val="auto"/>
                <w:lang w:val="en-US" w:eastAsia="zh-CN"/>
              </w:rPr>
              <w:t>的</w:t>
            </w:r>
            <w:r>
              <w:rPr>
                <w:rFonts w:hint="default" w:ascii="Times New Roman" w:hAnsi="Times New Roman" w:eastAsia="宋体" w:cs="Times New Roman"/>
                <w:color w:val="auto"/>
                <w:highlight w:val="none"/>
                <w:lang w:val="en-US" w:eastAsia="zh-CN"/>
              </w:rPr>
              <w:t>要求</w:t>
            </w:r>
            <w:r>
              <w:rPr>
                <w:rFonts w:hint="eastAsia" w:ascii="Times New Roman" w:hAnsi="Times New Roman" w:eastAsia="宋体" w:cs="Times New Roman"/>
                <w:color w:val="auto"/>
                <w:highlight w:val="none"/>
                <w:lang w:eastAsia="zh-CN"/>
              </w:rPr>
              <w:t>：下列生产、生活和其他活动中满足使用用途要求，</w:t>
            </w:r>
            <w:r>
              <w:rPr>
                <w:rFonts w:hint="eastAsia" w:cs="Times New Roman"/>
                <w:color w:val="auto"/>
                <w:highlight w:val="none"/>
                <w:lang w:val="en-US" w:eastAsia="zh-CN"/>
              </w:rPr>
              <w:t>按原始用途使用的物质，不作为固体废物。4.2.1</w:t>
            </w:r>
            <w:r>
              <w:rPr>
                <w:rFonts w:hint="default" w:ascii="Times New Roman" w:hAnsi="Times New Roman" w:eastAsia="宋体" w:cs="Times New Roman"/>
                <w:color w:val="auto"/>
                <w:highlight w:val="none"/>
                <w:lang w:val="en-US" w:eastAsia="zh-CN"/>
              </w:rPr>
              <w:t>生产企业内部通过以下方式返回原生产线作为原料使用的物质</w:t>
            </w:r>
            <w:r>
              <w:rPr>
                <w:rFonts w:hint="eastAsia"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a)不经过贮存或堆积过程，直接返回</w:t>
            </w:r>
            <w:r>
              <w:rPr>
                <w:rFonts w:hint="default" w:ascii="Times New Roman" w:hAnsi="Times New Roman" w:cs="Times New Roman"/>
                <w:color w:val="auto"/>
                <w:highlight w:val="none"/>
              </w:rPr>
              <w:t>。</w:t>
            </w:r>
            <w:r>
              <w:rPr>
                <w:rFonts w:hint="eastAsia" w:cs="Times New Roman"/>
                <w:color w:val="auto"/>
                <w:highlight w:val="none"/>
                <w:lang w:eastAsia="zh-CN"/>
              </w:rPr>
              <w:t>本项目2#布袋除尘器收集的粉尘</w:t>
            </w:r>
            <w:r>
              <w:rPr>
                <w:rFonts w:hint="default" w:ascii="Times New Roman" w:hAnsi="Times New Roman" w:cs="Times New Roman"/>
                <w:color w:val="auto"/>
                <w:highlight w:val="none"/>
              </w:rPr>
              <w:t>直接回用生产，所以不按固废进行管理</w:t>
            </w:r>
            <w:r>
              <w:rPr>
                <w:rFonts w:hint="default" w:ascii="Times New Roman" w:hAnsi="Times New Roman" w:cs="Times New Roman"/>
                <w:color w:val="auto"/>
                <w:highlight w:val="none"/>
                <w:lang w:eastAsia="zh-CN"/>
              </w:rPr>
              <w:t>。</w:t>
            </w:r>
          </w:p>
          <w:p w14:paraId="732AAB4F">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eastAsia" w:ascii="宋体" w:hAnsi="宋体" w:cs="宋体"/>
                <w:color w:val="auto"/>
                <w:szCs w:val="21"/>
                <w:highlight w:val="none"/>
                <w:lang w:eastAsia="zh-CN"/>
              </w:rPr>
            </w:pPr>
            <w:r>
              <w:rPr>
                <w:rFonts w:hint="default" w:ascii="Times New Roman" w:hAnsi="Times New Roman" w:cs="Times New Roman"/>
                <w:color w:val="auto"/>
                <w:lang w:eastAsia="zh-CN"/>
              </w:rPr>
              <w:t>本项目</w:t>
            </w:r>
            <w:r>
              <w:rPr>
                <w:rFonts w:hint="default" w:ascii="Times New Roman" w:hAnsi="Times New Roman" w:cs="Times New Roman"/>
                <w:color w:val="auto"/>
                <w:highlight w:val="none"/>
                <w:lang w:eastAsia="zh-CN"/>
              </w:rPr>
              <w:t>生产过程</w:t>
            </w:r>
            <w:r>
              <w:rPr>
                <w:rFonts w:hint="default" w:ascii="Times New Roman" w:hAnsi="Times New Roman" w:cs="Times New Roman"/>
                <w:color w:val="auto"/>
                <w:highlight w:val="none"/>
                <w:lang w:val="en-US" w:eastAsia="zh-CN"/>
              </w:rPr>
              <w:t>产生</w:t>
            </w:r>
            <w:r>
              <w:rPr>
                <w:rFonts w:hint="default" w:ascii="Times New Roman" w:hAnsi="Times New Roman" w:cs="Times New Roman"/>
                <w:color w:val="auto"/>
                <w:highlight w:val="none"/>
                <w:lang w:eastAsia="zh-CN"/>
              </w:rPr>
              <w:t>的固废主要为</w:t>
            </w:r>
            <w:r>
              <w:rPr>
                <w:rFonts w:hint="eastAsia" w:cs="Times New Roman"/>
                <w:color w:val="auto"/>
                <w:highlight w:val="none"/>
                <w:lang w:val="en-US" w:eastAsia="zh-CN"/>
              </w:rPr>
              <w:t>废包装袋（S1、S4）、筛分废料（S2）、废布袋（S3）、1#布袋除尘器收集的烟粉尘（S5）、废润滑油及废油桶（S6）、</w:t>
            </w:r>
            <w:r>
              <w:rPr>
                <w:rFonts w:hint="default" w:ascii="Times New Roman" w:hAnsi="Times New Roman" w:cs="Times New Roman"/>
                <w:color w:val="auto"/>
                <w:highlight w:val="none"/>
                <w:lang w:eastAsia="zh-CN"/>
              </w:rPr>
              <w:t>员工</w:t>
            </w:r>
            <w:r>
              <w:rPr>
                <w:rFonts w:hint="eastAsia" w:cs="Times New Roman"/>
                <w:color w:val="auto"/>
                <w:highlight w:val="none"/>
                <w:lang w:eastAsia="zh-CN"/>
              </w:rPr>
              <w:t>生活垃圾（S</w:t>
            </w:r>
            <w:r>
              <w:rPr>
                <w:rFonts w:hint="eastAsia" w:cs="Times New Roman"/>
                <w:color w:val="auto"/>
                <w:highlight w:val="none"/>
                <w:lang w:val="en-US" w:eastAsia="zh-CN"/>
              </w:rPr>
              <w:t>7</w:t>
            </w:r>
            <w:r>
              <w:rPr>
                <w:rFonts w:hint="eastAsia" w:cs="Times New Roman"/>
                <w:color w:val="auto"/>
                <w:highlight w:val="none"/>
                <w:lang w:eastAsia="zh-CN"/>
              </w:rPr>
              <w:t>）</w:t>
            </w:r>
            <w:r>
              <w:rPr>
                <w:rFonts w:hint="eastAsia" w:ascii="宋体" w:hAnsi="宋体" w:cs="宋体"/>
                <w:color w:val="auto"/>
                <w:szCs w:val="21"/>
                <w:highlight w:val="none"/>
                <w:lang w:eastAsia="zh-CN"/>
              </w:rPr>
              <w:t>。</w:t>
            </w:r>
          </w:p>
          <w:p w14:paraId="5E99A9CC">
            <w:pPr>
              <w:numPr>
                <w:ilvl w:val="0"/>
                <w:numId w:val="0"/>
              </w:numPr>
              <w:autoSpaceDE w:val="0"/>
              <w:autoSpaceDN w:val="0"/>
              <w:adjustRightInd w:val="0"/>
              <w:spacing w:line="360" w:lineRule="auto"/>
              <w:ind w:firstLine="420" w:firstLineChars="200"/>
              <w:rPr>
                <w:color w:val="auto"/>
                <w:highlight w:val="none"/>
              </w:rPr>
            </w:pPr>
            <w:r>
              <w:rPr>
                <w:rFonts w:hint="eastAsia"/>
                <w:bCs/>
                <w:color w:val="auto"/>
                <w:highlight w:val="none"/>
                <w:lang w:eastAsia="zh-CN"/>
              </w:rPr>
              <w:t>（</w:t>
            </w:r>
            <w:r>
              <w:rPr>
                <w:rFonts w:hint="eastAsia"/>
                <w:bCs/>
                <w:color w:val="auto"/>
                <w:highlight w:val="none"/>
                <w:lang w:val="en-US" w:eastAsia="zh-CN"/>
              </w:rPr>
              <w:t>1</w:t>
            </w:r>
            <w:r>
              <w:rPr>
                <w:rFonts w:hint="eastAsia"/>
                <w:bCs/>
                <w:color w:val="auto"/>
                <w:highlight w:val="none"/>
                <w:lang w:eastAsia="zh-CN"/>
              </w:rPr>
              <w:t>）废包装袋（S1、S4）</w:t>
            </w:r>
            <w:r>
              <w:rPr>
                <w:color w:val="auto"/>
                <w:highlight w:val="none"/>
              </w:rPr>
              <w:t>：</w:t>
            </w:r>
            <w:r>
              <w:rPr>
                <w:rFonts w:hint="eastAsia"/>
                <w:color w:val="auto"/>
                <w:highlight w:val="none"/>
                <w:lang w:val="en-US" w:eastAsia="zh-CN"/>
              </w:rPr>
              <w:t>本项目</w:t>
            </w:r>
            <w:r>
              <w:rPr>
                <w:color w:val="auto"/>
                <w:highlight w:val="none"/>
              </w:rPr>
              <w:t>原料</w:t>
            </w:r>
            <w:r>
              <w:rPr>
                <w:rFonts w:hint="eastAsia"/>
                <w:color w:val="auto"/>
                <w:highlight w:val="none"/>
                <w:lang w:val="en-US" w:eastAsia="zh-CN"/>
              </w:rPr>
              <w:t>和尿素</w:t>
            </w:r>
            <w:r>
              <w:rPr>
                <w:color w:val="auto"/>
                <w:highlight w:val="none"/>
              </w:rPr>
              <w:t>包装中会产生废包装袋，本项目</w:t>
            </w:r>
            <w:r>
              <w:rPr>
                <w:rFonts w:hint="eastAsia"/>
                <w:color w:val="auto"/>
                <w:highlight w:val="none"/>
              </w:rPr>
              <w:t>氧化镧铈</w:t>
            </w:r>
            <w:r>
              <w:rPr>
                <w:rFonts w:hint="eastAsia"/>
                <w:color w:val="auto"/>
                <w:highlight w:val="none"/>
                <w:lang w:val="en-US" w:eastAsia="zh-CN"/>
              </w:rPr>
              <w:t>用量为2286t/a，</w:t>
            </w:r>
            <w:r>
              <w:rPr>
                <w:color w:val="auto"/>
                <w:highlight w:val="none"/>
              </w:rPr>
              <w:t>包装规格为</w:t>
            </w:r>
            <w:r>
              <w:rPr>
                <w:rFonts w:hint="eastAsia"/>
                <w:color w:val="auto"/>
                <w:highlight w:val="none"/>
                <w:lang w:val="en-US" w:eastAsia="zh-CN"/>
              </w:rPr>
              <w:t>1t</w:t>
            </w:r>
            <w:r>
              <w:rPr>
                <w:color w:val="auto"/>
                <w:highlight w:val="none"/>
              </w:rPr>
              <w:t>/袋，则废包装袋产生量为</w:t>
            </w:r>
            <w:r>
              <w:rPr>
                <w:rFonts w:hint="eastAsia"/>
                <w:color w:val="auto"/>
                <w:highlight w:val="none"/>
                <w:lang w:val="en-US" w:eastAsia="zh-CN"/>
              </w:rPr>
              <w:t>2286</w:t>
            </w:r>
            <w:r>
              <w:rPr>
                <w:color w:val="auto"/>
                <w:highlight w:val="none"/>
              </w:rPr>
              <w:t>个</w:t>
            </w:r>
            <w:r>
              <w:rPr>
                <w:rFonts w:hint="eastAsia"/>
                <w:color w:val="auto"/>
                <w:highlight w:val="none"/>
              </w:rPr>
              <w:t>/a</w:t>
            </w:r>
            <w:r>
              <w:rPr>
                <w:color w:val="auto"/>
                <w:highlight w:val="none"/>
              </w:rPr>
              <w:t>，</w:t>
            </w:r>
            <w:r>
              <w:rPr>
                <w:rFonts w:hint="eastAsia"/>
                <w:color w:val="auto"/>
                <w:highlight w:val="none"/>
              </w:rPr>
              <w:t>1个包装袋重量约为0.</w:t>
            </w:r>
            <w:r>
              <w:rPr>
                <w:rFonts w:hint="eastAsia"/>
                <w:color w:val="auto"/>
                <w:highlight w:val="none"/>
                <w:lang w:val="en-US" w:eastAsia="zh-CN"/>
              </w:rPr>
              <w:t>2</w:t>
            </w:r>
            <w:r>
              <w:rPr>
                <w:rFonts w:hint="eastAsia"/>
                <w:color w:val="auto"/>
                <w:highlight w:val="none"/>
              </w:rPr>
              <w:t>kg</w:t>
            </w:r>
            <w:r>
              <w:rPr>
                <w:rFonts w:hint="eastAsia"/>
                <w:color w:val="auto"/>
                <w:highlight w:val="none"/>
                <w:lang w:eastAsia="zh-CN"/>
              </w:rPr>
              <w:t>；</w:t>
            </w:r>
            <w:r>
              <w:rPr>
                <w:rFonts w:hint="eastAsia"/>
                <w:color w:val="auto"/>
                <w:highlight w:val="none"/>
                <w:lang w:val="en-US" w:eastAsia="zh-CN"/>
              </w:rPr>
              <w:t>其他原料和尿素用量为238t/a，</w:t>
            </w:r>
            <w:r>
              <w:rPr>
                <w:color w:val="auto"/>
                <w:highlight w:val="none"/>
              </w:rPr>
              <w:t>包装规格为</w:t>
            </w:r>
            <w:r>
              <w:rPr>
                <w:rFonts w:hint="eastAsia"/>
                <w:color w:val="auto"/>
                <w:highlight w:val="none"/>
                <w:lang w:val="en-US" w:eastAsia="zh-CN"/>
              </w:rPr>
              <w:t>50kg</w:t>
            </w:r>
            <w:r>
              <w:rPr>
                <w:color w:val="auto"/>
                <w:highlight w:val="none"/>
              </w:rPr>
              <w:t>/袋，则废包装袋产生量为</w:t>
            </w:r>
            <w:r>
              <w:rPr>
                <w:rFonts w:hint="eastAsia"/>
                <w:color w:val="auto"/>
                <w:highlight w:val="none"/>
                <w:lang w:val="en-US" w:eastAsia="zh-CN"/>
              </w:rPr>
              <w:t>4760</w:t>
            </w:r>
            <w:r>
              <w:rPr>
                <w:color w:val="auto"/>
                <w:highlight w:val="none"/>
              </w:rPr>
              <w:t>个</w:t>
            </w:r>
            <w:r>
              <w:rPr>
                <w:rFonts w:hint="eastAsia"/>
                <w:color w:val="auto"/>
                <w:highlight w:val="none"/>
              </w:rPr>
              <w:t>/a</w:t>
            </w:r>
            <w:r>
              <w:rPr>
                <w:color w:val="auto"/>
                <w:highlight w:val="none"/>
              </w:rPr>
              <w:t>，</w:t>
            </w:r>
            <w:r>
              <w:rPr>
                <w:rFonts w:hint="eastAsia"/>
                <w:color w:val="auto"/>
                <w:highlight w:val="none"/>
              </w:rPr>
              <w:t>1个包装袋重量约为0.12kg</w:t>
            </w:r>
            <w:r>
              <w:rPr>
                <w:rFonts w:hint="eastAsia"/>
                <w:color w:val="auto"/>
                <w:highlight w:val="none"/>
                <w:lang w:eastAsia="zh-CN"/>
              </w:rPr>
              <w:t>，</w:t>
            </w:r>
            <w:r>
              <w:rPr>
                <w:rFonts w:hint="eastAsia"/>
                <w:color w:val="auto"/>
                <w:highlight w:val="none"/>
              </w:rPr>
              <w:t>经计算，废包装袋产生量为</w:t>
            </w:r>
            <w:r>
              <w:rPr>
                <w:rFonts w:hint="eastAsia"/>
                <w:color w:val="auto"/>
                <w:highlight w:val="none"/>
                <w:lang w:val="en-US" w:eastAsia="zh-CN"/>
              </w:rPr>
              <w:t>1.028</w:t>
            </w:r>
            <w:r>
              <w:rPr>
                <w:rFonts w:hint="eastAsia"/>
                <w:color w:val="auto"/>
                <w:highlight w:val="none"/>
              </w:rPr>
              <w:t>t/a，为一般固体废物，固废代码为SW17，900-003-S17，暂存在一般固废暂存处，定期外卖</w:t>
            </w:r>
            <w:r>
              <w:rPr>
                <w:color w:val="auto"/>
                <w:highlight w:val="none"/>
              </w:rPr>
              <w:t>。</w:t>
            </w:r>
          </w:p>
          <w:p w14:paraId="745B23B2">
            <w:pPr>
              <w:keepNext w:val="0"/>
              <w:keepLines w:val="0"/>
              <w:pageBreakBefore w:val="0"/>
              <w:widowControl w:val="0"/>
              <w:numPr>
                <w:ilvl w:val="0"/>
                <w:numId w:val="0"/>
              </w:numPr>
              <w:kinsoku/>
              <w:wordWrap/>
              <w:overflowPunct/>
              <w:topLinePunct w:val="0"/>
              <w:bidi w:val="0"/>
              <w:adjustRightInd w:val="0"/>
              <w:snapToGrid w:val="0"/>
              <w:spacing w:line="360" w:lineRule="auto"/>
              <w:ind w:firstLine="420" w:firstLineChars="200"/>
              <w:textAlignment w:val="auto"/>
              <w:rPr>
                <w:rFonts w:hint="eastAsia" w:eastAsia="宋体"/>
                <w:color w:val="auto"/>
                <w:highlight w:val="none"/>
                <w:lang w:val="en-US" w:eastAsia="zh-CN"/>
              </w:rPr>
            </w:pPr>
            <w:r>
              <w:rPr>
                <w:rFonts w:hint="eastAsia"/>
                <w:color w:val="auto"/>
                <w:highlight w:val="none"/>
              </w:rPr>
              <w:t>（2）</w:t>
            </w:r>
            <w:r>
              <w:rPr>
                <w:rFonts w:hint="eastAsia" w:cs="Times New Roman"/>
                <w:color w:val="auto"/>
                <w:highlight w:val="none"/>
                <w:lang w:val="en-US" w:eastAsia="zh-CN"/>
              </w:rPr>
              <w:t>筛分废料（S2）：本项目筛分过程中产生的废料（含杂质）量为120t/a，</w:t>
            </w:r>
            <w:r>
              <w:rPr>
                <w:rFonts w:hint="eastAsia"/>
                <w:color w:val="auto"/>
                <w:highlight w:val="none"/>
              </w:rPr>
              <w:t>为一般固体废物，固废代码为SW59，900-099-S59，暂存在一般固废暂存处，定期外卖</w:t>
            </w:r>
            <w:r>
              <w:rPr>
                <w:rFonts w:hint="eastAsia"/>
                <w:color w:val="auto"/>
                <w:highlight w:val="none"/>
                <w:lang w:eastAsia="zh-CN"/>
              </w:rPr>
              <w:t>。</w:t>
            </w:r>
          </w:p>
          <w:p w14:paraId="224C5CEA">
            <w:pPr>
              <w:keepNext w:val="0"/>
              <w:keepLines w:val="0"/>
              <w:pageBreakBefore w:val="0"/>
              <w:widowControl w:val="0"/>
              <w:numPr>
                <w:ilvl w:val="0"/>
                <w:numId w:val="0"/>
              </w:numPr>
              <w:kinsoku/>
              <w:wordWrap/>
              <w:overflowPunct/>
              <w:topLinePunct w:val="0"/>
              <w:bidi w:val="0"/>
              <w:adjustRightInd w:val="0"/>
              <w:snapToGrid w:val="0"/>
              <w:spacing w:line="360" w:lineRule="auto"/>
              <w:ind w:firstLine="420" w:firstLineChars="200"/>
              <w:textAlignment w:val="auto"/>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废布袋</w:t>
            </w:r>
            <w:r>
              <w:rPr>
                <w:rFonts w:hint="eastAsia"/>
                <w:bCs/>
                <w:color w:val="auto"/>
                <w:highlight w:val="none"/>
              </w:rPr>
              <w:t>（S</w:t>
            </w:r>
            <w:r>
              <w:rPr>
                <w:rFonts w:hint="eastAsia"/>
                <w:bCs/>
                <w:color w:val="auto"/>
                <w:highlight w:val="none"/>
                <w:lang w:val="en-US" w:eastAsia="zh-CN"/>
              </w:rPr>
              <w:t>3</w:t>
            </w:r>
            <w:r>
              <w:rPr>
                <w:rFonts w:hint="eastAsia"/>
                <w:bCs/>
                <w:color w:val="auto"/>
                <w:highlight w:val="none"/>
              </w:rPr>
              <w:t>）：本项目</w:t>
            </w:r>
            <w:r>
              <w:rPr>
                <w:rFonts w:hint="eastAsia"/>
                <w:bCs/>
                <w:color w:val="auto"/>
                <w:highlight w:val="none"/>
                <w:lang w:val="en-US" w:eastAsia="zh-CN"/>
              </w:rPr>
              <w:t>2套</w:t>
            </w:r>
            <w:r>
              <w:rPr>
                <w:rFonts w:hint="eastAsia"/>
                <w:bCs/>
                <w:color w:val="auto"/>
                <w:highlight w:val="none"/>
              </w:rPr>
              <w:t>布袋除尘器每年更换一次布袋，废布袋产生量约为0.</w:t>
            </w:r>
            <w:r>
              <w:rPr>
                <w:rFonts w:hint="eastAsia"/>
                <w:bCs/>
                <w:color w:val="auto"/>
                <w:highlight w:val="none"/>
                <w:lang w:val="en-US" w:eastAsia="zh-CN"/>
              </w:rPr>
              <w:t>2</w:t>
            </w:r>
            <w:r>
              <w:rPr>
                <w:rFonts w:hint="eastAsia"/>
                <w:bCs/>
                <w:color w:val="auto"/>
                <w:highlight w:val="none"/>
              </w:rPr>
              <w:t>t/a，</w:t>
            </w:r>
            <w:r>
              <w:rPr>
                <w:rFonts w:hint="eastAsia"/>
                <w:color w:val="auto"/>
                <w:highlight w:val="none"/>
              </w:rPr>
              <w:t>为一般固体废物，固废代码为SW59，900-099-S59，暂存在一般固废暂存间，定期外卖</w:t>
            </w:r>
            <w:r>
              <w:rPr>
                <w:rFonts w:hint="eastAsia"/>
                <w:color w:val="auto"/>
                <w:highlight w:val="none"/>
                <w:lang w:eastAsia="zh-CN"/>
              </w:rPr>
              <w:t>。</w:t>
            </w:r>
          </w:p>
          <w:p w14:paraId="12308C54">
            <w:pPr>
              <w:keepNext w:val="0"/>
              <w:keepLines w:val="0"/>
              <w:pageBreakBefore w:val="0"/>
              <w:widowControl w:val="0"/>
              <w:numPr>
                <w:ilvl w:val="0"/>
                <w:numId w:val="0"/>
              </w:numPr>
              <w:kinsoku/>
              <w:wordWrap/>
              <w:overflowPunct/>
              <w:topLinePunct w:val="0"/>
              <w:bidi w:val="0"/>
              <w:adjustRightInd w:val="0"/>
              <w:snapToGrid w:val="0"/>
              <w:spacing w:line="360" w:lineRule="auto"/>
              <w:ind w:firstLine="420" w:firstLineChars="200"/>
              <w:textAlignment w:val="auto"/>
              <w:rPr>
                <w:rFonts w:hint="eastAsia" w:eastAsia="宋体"/>
                <w:color w:val="auto"/>
                <w:highlight w:val="none"/>
                <w:lang w:val="en-US"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eastAsia" w:cs="Times New Roman"/>
                <w:color w:val="auto"/>
                <w:highlight w:val="none"/>
                <w:lang w:val="en-US" w:eastAsia="zh-CN"/>
              </w:rPr>
              <w:t>1#布袋除尘器收集的烟粉尘（S5）：</w:t>
            </w:r>
            <w:r>
              <w:rPr>
                <w:rFonts w:hint="eastAsia" w:cs="Times New Roman"/>
                <w:bCs/>
                <w:color w:val="auto"/>
                <w:lang w:val="en-US" w:eastAsia="zh-CN"/>
              </w:rPr>
              <w:t>烧制工序和天然气燃烧</w:t>
            </w:r>
            <w:r>
              <w:rPr>
                <w:color w:val="auto"/>
                <w:sz w:val="21"/>
                <w:szCs w:val="21"/>
                <w:highlight w:val="none"/>
              </w:rPr>
              <w:t>颗粒物</w:t>
            </w:r>
            <w:r>
              <w:rPr>
                <w:rFonts w:hint="eastAsia"/>
                <w:color w:val="auto"/>
                <w:sz w:val="21"/>
                <w:szCs w:val="21"/>
                <w:highlight w:val="none"/>
              </w:rPr>
              <w:t>产生量</w:t>
            </w:r>
            <w:r>
              <w:rPr>
                <w:color w:val="auto"/>
                <w:sz w:val="21"/>
                <w:szCs w:val="21"/>
                <w:highlight w:val="none"/>
              </w:rPr>
              <w:t>为</w:t>
            </w:r>
            <w:r>
              <w:rPr>
                <w:rFonts w:hint="eastAsia"/>
                <w:color w:val="auto"/>
                <w:sz w:val="21"/>
                <w:szCs w:val="21"/>
                <w:highlight w:val="none"/>
                <w:lang w:val="en-US" w:eastAsia="zh-CN"/>
              </w:rPr>
              <w:t>0.764</w:t>
            </w:r>
            <w:r>
              <w:rPr>
                <w:color w:val="auto"/>
                <w:sz w:val="21"/>
                <w:szCs w:val="21"/>
                <w:highlight w:val="none"/>
              </w:rPr>
              <w:t>t/a</w:t>
            </w:r>
            <w:r>
              <w:rPr>
                <w:rFonts w:hint="eastAsia"/>
                <w:color w:val="auto"/>
                <w:sz w:val="21"/>
                <w:szCs w:val="21"/>
                <w:highlight w:val="none"/>
                <w:lang w:eastAsia="zh-CN"/>
              </w:rPr>
              <w:t>，</w:t>
            </w:r>
            <w:r>
              <w:rPr>
                <w:rFonts w:hint="eastAsia" w:cs="Times New Roman"/>
                <w:color w:val="auto"/>
                <w:highlight w:val="none"/>
                <w:lang w:val="en-US" w:eastAsia="zh-CN"/>
              </w:rPr>
              <w:t>1#布袋除尘器</w:t>
            </w:r>
            <w:r>
              <w:rPr>
                <w:rFonts w:hint="eastAsia" w:ascii="Times New Roman" w:hAnsi="Times New Roman" w:cs="Times New Roman"/>
                <w:color w:val="auto"/>
                <w:highlight w:val="none"/>
                <w:lang w:val="en-US" w:eastAsia="zh-CN"/>
              </w:rPr>
              <w:t>处理效率为98%</w:t>
            </w:r>
            <w:r>
              <w:rPr>
                <w:rFonts w:hint="eastAsia" w:cs="Times New Roman"/>
                <w:color w:val="auto"/>
                <w:highlight w:val="none"/>
                <w:lang w:val="en-US" w:eastAsia="zh-CN"/>
              </w:rPr>
              <w:t>，则1#布袋除尘器收集的烟粉尘为0.749</w:t>
            </w:r>
            <w:r>
              <w:rPr>
                <w:rFonts w:hint="eastAsia"/>
                <w:bCs/>
                <w:color w:val="auto"/>
                <w:highlight w:val="none"/>
              </w:rPr>
              <w:t>t/a，</w:t>
            </w:r>
            <w:r>
              <w:rPr>
                <w:rFonts w:hint="eastAsia"/>
                <w:color w:val="auto"/>
                <w:highlight w:val="none"/>
              </w:rPr>
              <w:t>为一般固体废物，固废代码为SW59，900-099-S59，暂存在一般固废暂存间，定期外卖</w:t>
            </w:r>
            <w:r>
              <w:rPr>
                <w:rFonts w:hint="eastAsia"/>
                <w:color w:val="auto"/>
                <w:highlight w:val="none"/>
                <w:lang w:eastAsia="zh-CN"/>
              </w:rPr>
              <w:t>。</w:t>
            </w:r>
          </w:p>
          <w:p w14:paraId="18436EB3">
            <w:pPr>
              <w:keepNext w:val="0"/>
              <w:keepLines w:val="0"/>
              <w:pageBreakBefore w:val="0"/>
              <w:widowControl w:val="0"/>
              <w:numPr>
                <w:ilvl w:val="0"/>
                <w:numId w:val="0"/>
              </w:numPr>
              <w:kinsoku/>
              <w:wordWrap/>
              <w:overflowPunct/>
              <w:topLinePunct w:val="0"/>
              <w:bidi w:val="0"/>
              <w:adjustRightInd w:val="0"/>
              <w:snapToGrid w:val="0"/>
              <w:spacing w:line="360" w:lineRule="auto"/>
              <w:ind w:firstLine="420" w:firstLineChars="200"/>
              <w:textAlignment w:val="auto"/>
              <w:rPr>
                <w:rFonts w:hint="eastAsia" w:eastAsia="宋体"/>
                <w:color w:val="auto"/>
                <w:highlight w:val="none"/>
                <w:lang w:val="en-US" w:eastAsia="zh-CN"/>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w:t>
            </w:r>
            <w:r>
              <w:rPr>
                <w:rFonts w:hint="eastAsia" w:cs="Times New Roman"/>
                <w:color w:val="auto"/>
                <w:highlight w:val="none"/>
                <w:lang w:val="en-US" w:eastAsia="zh-CN"/>
              </w:rPr>
              <w:t>废润滑油及废油桶（S8）：</w:t>
            </w:r>
            <w:r>
              <w:rPr>
                <w:rFonts w:hint="eastAsia"/>
                <w:color w:val="auto"/>
                <w:highlight w:val="none"/>
                <w:lang w:val="en-US" w:eastAsia="zh-CN"/>
              </w:rPr>
              <w:t>该项目设备维护过程中产生的废润滑油属于危险废物，根据企业提供的数据可知，年用润滑油量约为0.3t，废润滑油产生量为年用量的10%，则废润滑油产生量为0.03t/a，废油桶产生量为2个，约为0.24t/a，</w:t>
            </w:r>
            <w:r>
              <w:rPr>
                <w:rFonts w:hint="eastAsia" w:cs="Times New Roman"/>
                <w:color w:val="auto"/>
                <w:highlight w:val="none"/>
                <w:lang w:val="en-US" w:eastAsia="zh-CN"/>
              </w:rPr>
              <w:t>废润滑油及废油桶产生总量为0.27t/a，</w:t>
            </w:r>
            <w:r>
              <w:rPr>
                <w:rFonts w:hint="eastAsia"/>
                <w:color w:val="auto"/>
                <w:highlight w:val="none"/>
                <w:lang w:val="en-US" w:eastAsia="zh-CN"/>
              </w:rPr>
              <w:t>属于危险废物，其编号为 HW08，危废代码900-249-08，收集后暂存在危废暂存间</w:t>
            </w:r>
            <w:r>
              <w:rPr>
                <w:rFonts w:hint="eastAsia"/>
                <w:color w:val="auto"/>
                <w:highlight w:val="none"/>
              </w:rPr>
              <w:t>，</w:t>
            </w:r>
            <w:r>
              <w:rPr>
                <w:color w:val="auto"/>
                <w:highlight w:val="none"/>
              </w:rPr>
              <w:t>委托有资质的单位处置</w:t>
            </w:r>
            <w:r>
              <w:rPr>
                <w:rFonts w:hint="eastAsia"/>
                <w:color w:val="auto"/>
                <w:highlight w:val="none"/>
                <w:lang w:eastAsia="zh-CN"/>
              </w:rPr>
              <w:t>。</w:t>
            </w:r>
          </w:p>
          <w:p w14:paraId="657856D6">
            <w:pPr>
              <w:keepNext w:val="0"/>
              <w:keepLines w:val="0"/>
              <w:pageBreakBefore w:val="0"/>
              <w:widowControl w:val="0"/>
              <w:numPr>
                <w:ilvl w:val="0"/>
                <w:numId w:val="0"/>
              </w:numPr>
              <w:kinsoku/>
              <w:wordWrap/>
              <w:overflowPunct/>
              <w:topLinePunct w:val="0"/>
              <w:bidi w:val="0"/>
              <w:adjustRightInd w:val="0"/>
              <w:snapToGrid w:val="0"/>
              <w:spacing w:line="360" w:lineRule="auto"/>
              <w:ind w:firstLine="420" w:firstLineChars="200"/>
              <w:textAlignment w:val="auto"/>
              <w:rPr>
                <w:rFonts w:hint="default"/>
                <w:color w:val="auto"/>
                <w:highlight w:val="none"/>
                <w:lang w:val="en-US"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eastAsia"/>
                <w:color w:val="auto"/>
                <w:highlight w:val="none"/>
                <w:lang w:val="en-US" w:eastAsia="zh-CN"/>
              </w:rPr>
              <w:t>生活垃圾（S7）：</w:t>
            </w:r>
            <w:r>
              <w:rPr>
                <w:rFonts w:hint="eastAsia"/>
                <w:color w:val="auto"/>
                <w:highlight w:val="none"/>
              </w:rPr>
              <w:t>项目生活垃圾以</w:t>
            </w:r>
            <w:r>
              <w:rPr>
                <w:color w:val="auto"/>
                <w:highlight w:val="none"/>
              </w:rPr>
              <w:t>0.5kg/d·</w:t>
            </w:r>
            <w:r>
              <w:rPr>
                <w:rFonts w:hint="eastAsia"/>
                <w:color w:val="auto"/>
                <w:highlight w:val="none"/>
              </w:rPr>
              <w:t>人计，</w:t>
            </w:r>
            <w:r>
              <w:rPr>
                <w:rFonts w:hint="eastAsia"/>
                <w:color w:val="auto"/>
                <w:highlight w:val="none"/>
                <w:lang w:val="en-US" w:eastAsia="zh-CN"/>
              </w:rPr>
              <w:t>本项目劳动定员15</w:t>
            </w:r>
            <w:r>
              <w:rPr>
                <w:rFonts w:hint="eastAsia"/>
                <w:color w:val="auto"/>
                <w:highlight w:val="none"/>
              </w:rPr>
              <w:t>人，年运营</w:t>
            </w:r>
            <w:r>
              <w:rPr>
                <w:color w:val="auto"/>
                <w:highlight w:val="none"/>
              </w:rPr>
              <w:t>300</w:t>
            </w:r>
            <w:r>
              <w:rPr>
                <w:rFonts w:hint="eastAsia"/>
                <w:color w:val="auto"/>
                <w:highlight w:val="none"/>
              </w:rPr>
              <w:t>天，则</w:t>
            </w:r>
            <w:r>
              <w:rPr>
                <w:rFonts w:hint="eastAsia"/>
                <w:color w:val="auto"/>
                <w:highlight w:val="none"/>
                <w:lang w:eastAsia="zh-CN"/>
              </w:rPr>
              <w:t>生活垃圾</w:t>
            </w:r>
            <w:r>
              <w:rPr>
                <w:rFonts w:hint="eastAsia"/>
                <w:color w:val="auto"/>
                <w:highlight w:val="none"/>
              </w:rPr>
              <w:t>产生量为</w:t>
            </w:r>
            <w:r>
              <w:rPr>
                <w:rFonts w:hint="eastAsia"/>
                <w:color w:val="auto"/>
                <w:highlight w:val="none"/>
                <w:lang w:val="en-US" w:eastAsia="zh-CN"/>
              </w:rPr>
              <w:t>2.25</w:t>
            </w:r>
            <w:r>
              <w:rPr>
                <w:color w:val="auto"/>
                <w:highlight w:val="none"/>
              </w:rPr>
              <w:t>t/a</w:t>
            </w:r>
            <w:r>
              <w:rPr>
                <w:rFonts w:hint="eastAsia"/>
                <w:color w:val="auto"/>
                <w:highlight w:val="none"/>
                <w:lang w:eastAsia="zh-CN"/>
              </w:rPr>
              <w:t>，</w:t>
            </w:r>
            <w:r>
              <w:rPr>
                <w:rFonts w:hint="eastAsia"/>
                <w:color w:val="auto"/>
                <w:highlight w:val="none"/>
              </w:rPr>
              <w:t>全部交由当地环卫部门统一收集处理。</w:t>
            </w:r>
          </w:p>
          <w:p w14:paraId="6764BFC6">
            <w:pPr>
              <w:autoSpaceDE w:val="0"/>
              <w:autoSpaceDN w:val="0"/>
              <w:adjustRightInd w:val="0"/>
              <w:spacing w:line="360" w:lineRule="auto"/>
              <w:ind w:firstLine="420" w:firstLineChars="200"/>
              <w:rPr>
                <w:color w:val="auto"/>
                <w:highlight w:val="none"/>
              </w:rPr>
            </w:pPr>
            <w:r>
              <w:rPr>
                <w:color w:val="auto"/>
                <w:highlight w:val="none"/>
              </w:rPr>
              <w:t>根据《固体废物鉴别标准通则》（GB 34330-20</w:t>
            </w:r>
            <w:r>
              <w:rPr>
                <w:rFonts w:hint="eastAsia"/>
                <w:color w:val="auto"/>
                <w:highlight w:val="none"/>
              </w:rPr>
              <w:t>25</w:t>
            </w:r>
            <w:r>
              <w:rPr>
                <w:color w:val="auto"/>
                <w:highlight w:val="none"/>
              </w:rPr>
              <w:t>）。项目产生的固废分为一般固体废物</w:t>
            </w:r>
            <w:r>
              <w:rPr>
                <w:rFonts w:hint="eastAsia"/>
                <w:color w:val="auto"/>
                <w:highlight w:val="none"/>
              </w:rPr>
              <w:t>和生活垃圾</w:t>
            </w:r>
            <w:r>
              <w:rPr>
                <w:color w:val="auto"/>
                <w:highlight w:val="none"/>
              </w:rPr>
              <w:t>，产生情况分别如下所示：</w:t>
            </w:r>
          </w:p>
          <w:p w14:paraId="5312C859">
            <w:pPr>
              <w:pStyle w:val="1313"/>
              <w:adjustRightInd w:val="0"/>
              <w:snapToGrid w:val="0"/>
              <w:spacing w:line="240" w:lineRule="auto"/>
              <w:rPr>
                <w:rFonts w:ascii="Times New Roman" w:hAnsi="Times New Roman" w:eastAsia="宋体"/>
                <w:b/>
                <w:color w:val="auto"/>
                <w:sz w:val="21"/>
                <w:szCs w:val="24"/>
                <w:highlight w:val="none"/>
              </w:rPr>
            </w:pPr>
            <w:r>
              <w:rPr>
                <w:rFonts w:ascii="Times New Roman" w:hAnsi="Times New Roman" w:eastAsia="宋体"/>
                <w:b/>
                <w:color w:val="auto"/>
                <w:sz w:val="21"/>
                <w:szCs w:val="24"/>
                <w:highlight w:val="none"/>
              </w:rPr>
              <w:t>表4-</w:t>
            </w:r>
            <w:r>
              <w:rPr>
                <w:rFonts w:hint="eastAsia" w:ascii="Times New Roman" w:hAnsi="Times New Roman" w:eastAsia="宋体"/>
                <w:b/>
                <w:color w:val="auto"/>
                <w:sz w:val="21"/>
                <w:szCs w:val="24"/>
                <w:highlight w:val="none"/>
              </w:rPr>
              <w:t>1</w:t>
            </w:r>
            <w:r>
              <w:rPr>
                <w:rFonts w:hint="eastAsia" w:ascii="Times New Roman" w:hAnsi="Times New Roman" w:eastAsia="宋体"/>
                <w:b/>
                <w:color w:val="auto"/>
                <w:sz w:val="21"/>
                <w:szCs w:val="24"/>
                <w:highlight w:val="none"/>
                <w:lang w:val="en-US" w:eastAsia="zh-CN"/>
              </w:rPr>
              <w:t>5</w:t>
            </w:r>
            <w:r>
              <w:rPr>
                <w:rFonts w:ascii="Times New Roman" w:hAnsi="Times New Roman" w:eastAsia="宋体"/>
                <w:b/>
                <w:color w:val="auto"/>
                <w:sz w:val="21"/>
                <w:szCs w:val="24"/>
                <w:highlight w:val="none"/>
              </w:rPr>
              <w:t xml:space="preserve"> 本项目固体废物分析结果汇总表</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70"/>
              <w:gridCol w:w="1197"/>
              <w:gridCol w:w="696"/>
              <w:gridCol w:w="1073"/>
              <w:gridCol w:w="979"/>
              <w:gridCol w:w="979"/>
              <w:gridCol w:w="1869"/>
            </w:tblGrid>
            <w:tr w14:paraId="4C0D7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8" w:type="pct"/>
                  <w:noWrap w:val="0"/>
                  <w:tcMar>
                    <w:top w:w="0" w:type="dxa"/>
                    <w:left w:w="28" w:type="dxa"/>
                    <w:bottom w:w="0" w:type="dxa"/>
                    <w:right w:w="28" w:type="dxa"/>
                  </w:tcMar>
                  <w:vAlign w:val="center"/>
                </w:tcPr>
                <w:p w14:paraId="0675B637">
                  <w:pPr>
                    <w:adjustRightInd w:val="0"/>
                    <w:snapToGrid w:val="0"/>
                    <w:jc w:val="center"/>
                    <w:rPr>
                      <w:color w:val="auto"/>
                      <w:sz w:val="18"/>
                      <w:szCs w:val="18"/>
                      <w:highlight w:val="none"/>
                    </w:rPr>
                  </w:pPr>
                  <w:r>
                    <w:rPr>
                      <w:color w:val="auto"/>
                      <w:sz w:val="18"/>
                      <w:szCs w:val="18"/>
                      <w:highlight w:val="none"/>
                    </w:rPr>
                    <w:t>产生工序</w:t>
                  </w:r>
                </w:p>
              </w:tc>
              <w:tc>
                <w:tcPr>
                  <w:tcW w:w="715" w:type="pct"/>
                  <w:noWrap w:val="0"/>
                  <w:tcMar>
                    <w:top w:w="0" w:type="dxa"/>
                    <w:left w:w="28" w:type="dxa"/>
                    <w:bottom w:w="0" w:type="dxa"/>
                    <w:right w:w="28" w:type="dxa"/>
                  </w:tcMar>
                  <w:vAlign w:val="center"/>
                </w:tcPr>
                <w:p w14:paraId="37F22C0F">
                  <w:pPr>
                    <w:adjustRightInd w:val="0"/>
                    <w:snapToGrid w:val="0"/>
                    <w:jc w:val="center"/>
                    <w:rPr>
                      <w:color w:val="auto"/>
                      <w:sz w:val="18"/>
                      <w:szCs w:val="18"/>
                      <w:highlight w:val="none"/>
                    </w:rPr>
                  </w:pPr>
                  <w:r>
                    <w:rPr>
                      <w:color w:val="auto"/>
                      <w:sz w:val="18"/>
                      <w:szCs w:val="18"/>
                      <w:highlight w:val="none"/>
                    </w:rPr>
                    <w:t>固体废物名称</w:t>
                  </w:r>
                </w:p>
              </w:tc>
              <w:tc>
                <w:tcPr>
                  <w:tcW w:w="416" w:type="pct"/>
                  <w:noWrap w:val="0"/>
                  <w:tcMar>
                    <w:top w:w="0" w:type="dxa"/>
                    <w:left w:w="28" w:type="dxa"/>
                    <w:bottom w:w="0" w:type="dxa"/>
                    <w:right w:w="28" w:type="dxa"/>
                  </w:tcMar>
                  <w:vAlign w:val="center"/>
                </w:tcPr>
                <w:p w14:paraId="30C3D7AF">
                  <w:pPr>
                    <w:adjustRightInd w:val="0"/>
                    <w:snapToGrid w:val="0"/>
                    <w:jc w:val="center"/>
                    <w:rPr>
                      <w:color w:val="auto"/>
                      <w:sz w:val="18"/>
                      <w:szCs w:val="18"/>
                      <w:highlight w:val="none"/>
                    </w:rPr>
                  </w:pPr>
                  <w:r>
                    <w:rPr>
                      <w:color w:val="auto"/>
                      <w:sz w:val="18"/>
                      <w:szCs w:val="18"/>
                      <w:highlight w:val="none"/>
                    </w:rPr>
                    <w:t>形态</w:t>
                  </w:r>
                </w:p>
              </w:tc>
              <w:tc>
                <w:tcPr>
                  <w:tcW w:w="641" w:type="pct"/>
                  <w:noWrap w:val="0"/>
                  <w:tcMar>
                    <w:top w:w="0" w:type="dxa"/>
                    <w:left w:w="28" w:type="dxa"/>
                    <w:bottom w:w="0" w:type="dxa"/>
                    <w:right w:w="28" w:type="dxa"/>
                  </w:tcMar>
                  <w:vAlign w:val="center"/>
                </w:tcPr>
                <w:p w14:paraId="5A3C3C88">
                  <w:pPr>
                    <w:adjustRightInd w:val="0"/>
                    <w:snapToGrid w:val="0"/>
                    <w:jc w:val="center"/>
                    <w:rPr>
                      <w:color w:val="auto"/>
                      <w:sz w:val="18"/>
                      <w:szCs w:val="18"/>
                      <w:highlight w:val="none"/>
                    </w:rPr>
                  </w:pPr>
                  <w:r>
                    <w:rPr>
                      <w:color w:val="auto"/>
                      <w:sz w:val="18"/>
                      <w:szCs w:val="18"/>
                      <w:highlight w:val="none"/>
                    </w:rPr>
                    <w:t>属性</w:t>
                  </w:r>
                </w:p>
              </w:tc>
              <w:tc>
                <w:tcPr>
                  <w:tcW w:w="585" w:type="pct"/>
                  <w:noWrap w:val="0"/>
                  <w:tcMar>
                    <w:top w:w="0" w:type="dxa"/>
                    <w:left w:w="28" w:type="dxa"/>
                    <w:bottom w:w="0" w:type="dxa"/>
                    <w:right w:w="28" w:type="dxa"/>
                  </w:tcMar>
                  <w:vAlign w:val="center"/>
                </w:tcPr>
                <w:p w14:paraId="687FC80B">
                  <w:pPr>
                    <w:adjustRightInd w:val="0"/>
                    <w:snapToGrid w:val="0"/>
                    <w:jc w:val="center"/>
                    <w:rPr>
                      <w:color w:val="auto"/>
                      <w:sz w:val="18"/>
                      <w:szCs w:val="18"/>
                      <w:highlight w:val="none"/>
                    </w:rPr>
                  </w:pPr>
                  <w:r>
                    <w:rPr>
                      <w:rFonts w:hint="eastAsia"/>
                      <w:color w:val="auto"/>
                      <w:sz w:val="18"/>
                      <w:szCs w:val="18"/>
                      <w:highlight w:val="none"/>
                    </w:rPr>
                    <w:t>固废代码</w:t>
                  </w:r>
                </w:p>
              </w:tc>
              <w:tc>
                <w:tcPr>
                  <w:tcW w:w="585" w:type="pct"/>
                  <w:noWrap w:val="0"/>
                  <w:tcMar>
                    <w:top w:w="0" w:type="dxa"/>
                    <w:left w:w="28" w:type="dxa"/>
                    <w:bottom w:w="0" w:type="dxa"/>
                    <w:right w:w="28" w:type="dxa"/>
                  </w:tcMar>
                  <w:vAlign w:val="center"/>
                </w:tcPr>
                <w:p w14:paraId="6A5611E6">
                  <w:pPr>
                    <w:adjustRightInd w:val="0"/>
                    <w:snapToGrid w:val="0"/>
                    <w:jc w:val="center"/>
                    <w:rPr>
                      <w:color w:val="auto"/>
                      <w:sz w:val="18"/>
                      <w:szCs w:val="18"/>
                      <w:highlight w:val="none"/>
                    </w:rPr>
                  </w:pPr>
                  <w:r>
                    <w:rPr>
                      <w:color w:val="auto"/>
                      <w:sz w:val="18"/>
                      <w:szCs w:val="18"/>
                      <w:highlight w:val="none"/>
                    </w:rPr>
                    <w:t>产生量t/a</w:t>
                  </w:r>
                </w:p>
              </w:tc>
              <w:tc>
                <w:tcPr>
                  <w:tcW w:w="1117" w:type="pct"/>
                  <w:noWrap w:val="0"/>
                  <w:tcMar>
                    <w:top w:w="0" w:type="dxa"/>
                    <w:left w:w="28" w:type="dxa"/>
                    <w:bottom w:w="0" w:type="dxa"/>
                    <w:right w:w="28" w:type="dxa"/>
                  </w:tcMar>
                  <w:vAlign w:val="center"/>
                </w:tcPr>
                <w:p w14:paraId="3C14B76D">
                  <w:pPr>
                    <w:adjustRightInd w:val="0"/>
                    <w:snapToGrid w:val="0"/>
                    <w:jc w:val="center"/>
                    <w:rPr>
                      <w:color w:val="auto"/>
                      <w:sz w:val="18"/>
                      <w:szCs w:val="18"/>
                      <w:highlight w:val="none"/>
                    </w:rPr>
                  </w:pPr>
                  <w:r>
                    <w:rPr>
                      <w:color w:val="auto"/>
                      <w:sz w:val="18"/>
                      <w:szCs w:val="18"/>
                      <w:highlight w:val="none"/>
                    </w:rPr>
                    <w:t>处理措施</w:t>
                  </w:r>
                </w:p>
              </w:tc>
            </w:tr>
            <w:tr w14:paraId="3C0B7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8" w:type="pct"/>
                  <w:noWrap w:val="0"/>
                  <w:tcMar>
                    <w:top w:w="0" w:type="dxa"/>
                    <w:left w:w="28" w:type="dxa"/>
                    <w:bottom w:w="0" w:type="dxa"/>
                    <w:right w:w="28" w:type="dxa"/>
                  </w:tcMar>
                  <w:vAlign w:val="center"/>
                </w:tcPr>
                <w:p w14:paraId="6BBEAC04">
                  <w:pPr>
                    <w:jc w:val="center"/>
                    <w:rPr>
                      <w:bCs/>
                      <w:color w:val="auto"/>
                      <w:sz w:val="18"/>
                      <w:szCs w:val="18"/>
                      <w:highlight w:val="none"/>
                    </w:rPr>
                  </w:pPr>
                  <w:r>
                    <w:rPr>
                      <w:rFonts w:hint="eastAsia"/>
                      <w:bCs/>
                      <w:color w:val="auto"/>
                      <w:sz w:val="18"/>
                      <w:szCs w:val="18"/>
                      <w:highlight w:val="none"/>
                    </w:rPr>
                    <w:t>原料包装</w:t>
                  </w:r>
                </w:p>
              </w:tc>
              <w:tc>
                <w:tcPr>
                  <w:tcW w:w="715" w:type="pct"/>
                  <w:noWrap w:val="0"/>
                  <w:tcMar>
                    <w:top w:w="0" w:type="dxa"/>
                    <w:left w:w="28" w:type="dxa"/>
                    <w:bottom w:w="0" w:type="dxa"/>
                    <w:right w:w="28" w:type="dxa"/>
                  </w:tcMar>
                  <w:vAlign w:val="center"/>
                </w:tcPr>
                <w:p w14:paraId="20081EAC">
                  <w:pPr>
                    <w:jc w:val="center"/>
                    <w:rPr>
                      <w:color w:val="auto"/>
                      <w:sz w:val="18"/>
                      <w:szCs w:val="18"/>
                      <w:highlight w:val="none"/>
                    </w:rPr>
                  </w:pPr>
                  <w:r>
                    <w:rPr>
                      <w:rFonts w:hint="eastAsia"/>
                      <w:color w:val="auto"/>
                      <w:sz w:val="18"/>
                      <w:szCs w:val="18"/>
                      <w:highlight w:val="none"/>
                    </w:rPr>
                    <w:t>废</w:t>
                  </w:r>
                  <w:r>
                    <w:rPr>
                      <w:color w:val="auto"/>
                      <w:sz w:val="18"/>
                      <w:szCs w:val="18"/>
                      <w:highlight w:val="none"/>
                    </w:rPr>
                    <w:t>包装袋</w:t>
                  </w:r>
                </w:p>
              </w:tc>
              <w:tc>
                <w:tcPr>
                  <w:tcW w:w="416" w:type="pct"/>
                  <w:noWrap w:val="0"/>
                  <w:tcMar>
                    <w:top w:w="0" w:type="dxa"/>
                    <w:left w:w="28" w:type="dxa"/>
                    <w:bottom w:w="0" w:type="dxa"/>
                    <w:right w:w="28" w:type="dxa"/>
                  </w:tcMar>
                  <w:vAlign w:val="center"/>
                </w:tcPr>
                <w:p w14:paraId="3FBAB7B9">
                  <w:pPr>
                    <w:adjustRightInd w:val="0"/>
                    <w:snapToGrid w:val="0"/>
                    <w:jc w:val="center"/>
                    <w:rPr>
                      <w:color w:val="auto"/>
                      <w:sz w:val="18"/>
                      <w:szCs w:val="18"/>
                      <w:highlight w:val="none"/>
                    </w:rPr>
                  </w:pPr>
                  <w:r>
                    <w:rPr>
                      <w:rFonts w:hint="eastAsia"/>
                      <w:color w:val="auto"/>
                      <w:sz w:val="18"/>
                      <w:szCs w:val="18"/>
                      <w:highlight w:val="none"/>
                    </w:rPr>
                    <w:t>固体</w:t>
                  </w:r>
                </w:p>
              </w:tc>
              <w:tc>
                <w:tcPr>
                  <w:tcW w:w="641" w:type="pct"/>
                  <w:noWrap w:val="0"/>
                  <w:tcMar>
                    <w:top w:w="0" w:type="dxa"/>
                    <w:left w:w="28" w:type="dxa"/>
                    <w:bottom w:w="0" w:type="dxa"/>
                    <w:right w:w="28" w:type="dxa"/>
                  </w:tcMar>
                  <w:vAlign w:val="center"/>
                </w:tcPr>
                <w:p w14:paraId="6803581B">
                  <w:pPr>
                    <w:adjustRightInd w:val="0"/>
                    <w:snapToGrid w:val="0"/>
                    <w:jc w:val="center"/>
                    <w:rPr>
                      <w:color w:val="auto"/>
                      <w:sz w:val="18"/>
                      <w:szCs w:val="18"/>
                      <w:highlight w:val="none"/>
                    </w:rPr>
                  </w:pPr>
                  <w:r>
                    <w:rPr>
                      <w:color w:val="auto"/>
                      <w:sz w:val="18"/>
                      <w:szCs w:val="18"/>
                      <w:highlight w:val="none"/>
                    </w:rPr>
                    <w:t>一般固废</w:t>
                  </w:r>
                </w:p>
              </w:tc>
              <w:tc>
                <w:tcPr>
                  <w:tcW w:w="585" w:type="pct"/>
                  <w:noWrap w:val="0"/>
                  <w:tcMar>
                    <w:top w:w="0" w:type="dxa"/>
                    <w:left w:w="28" w:type="dxa"/>
                    <w:bottom w:w="0" w:type="dxa"/>
                    <w:right w:w="28" w:type="dxa"/>
                  </w:tcMar>
                  <w:vAlign w:val="center"/>
                </w:tcPr>
                <w:p w14:paraId="47C4B59E">
                  <w:pPr>
                    <w:adjustRightInd w:val="0"/>
                    <w:snapToGrid w:val="0"/>
                    <w:jc w:val="center"/>
                    <w:rPr>
                      <w:color w:val="auto"/>
                      <w:sz w:val="18"/>
                      <w:szCs w:val="18"/>
                      <w:highlight w:val="none"/>
                    </w:rPr>
                  </w:pPr>
                  <w:r>
                    <w:rPr>
                      <w:color w:val="auto"/>
                      <w:sz w:val="18"/>
                      <w:szCs w:val="18"/>
                      <w:highlight w:val="none"/>
                    </w:rPr>
                    <w:t>SW17，900-003-S17</w:t>
                  </w:r>
                </w:p>
              </w:tc>
              <w:tc>
                <w:tcPr>
                  <w:tcW w:w="585" w:type="pct"/>
                  <w:noWrap w:val="0"/>
                  <w:tcMar>
                    <w:top w:w="0" w:type="dxa"/>
                    <w:left w:w="28" w:type="dxa"/>
                    <w:bottom w:w="0" w:type="dxa"/>
                    <w:right w:w="28" w:type="dxa"/>
                  </w:tcMar>
                  <w:vAlign w:val="center"/>
                </w:tcPr>
                <w:p w14:paraId="4521B599">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1.028</w:t>
                  </w:r>
                </w:p>
              </w:tc>
              <w:tc>
                <w:tcPr>
                  <w:tcW w:w="1117" w:type="pct"/>
                  <w:noWrap w:val="0"/>
                  <w:tcMar>
                    <w:top w:w="0" w:type="dxa"/>
                    <w:left w:w="28" w:type="dxa"/>
                    <w:bottom w:w="0" w:type="dxa"/>
                    <w:right w:w="28" w:type="dxa"/>
                  </w:tcMar>
                  <w:vAlign w:val="center"/>
                </w:tcPr>
                <w:p w14:paraId="4D1C2F7D">
                  <w:pPr>
                    <w:adjustRightInd w:val="0"/>
                    <w:snapToGrid w:val="0"/>
                    <w:jc w:val="center"/>
                    <w:rPr>
                      <w:color w:val="auto"/>
                      <w:sz w:val="18"/>
                      <w:szCs w:val="18"/>
                      <w:highlight w:val="none"/>
                    </w:rPr>
                  </w:pPr>
                  <w:r>
                    <w:rPr>
                      <w:color w:val="auto"/>
                      <w:sz w:val="18"/>
                      <w:szCs w:val="18"/>
                      <w:highlight w:val="none"/>
                    </w:rPr>
                    <w:t>暂存在一般固废暂存处，定期外卖</w:t>
                  </w:r>
                </w:p>
              </w:tc>
            </w:tr>
            <w:tr w14:paraId="65C95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8" w:type="pct"/>
                  <w:noWrap w:val="0"/>
                  <w:tcMar>
                    <w:top w:w="0" w:type="dxa"/>
                    <w:left w:w="28" w:type="dxa"/>
                    <w:bottom w:w="0" w:type="dxa"/>
                    <w:right w:w="28" w:type="dxa"/>
                  </w:tcMar>
                  <w:vAlign w:val="center"/>
                </w:tcPr>
                <w:p w14:paraId="1363AEA2">
                  <w:pPr>
                    <w:jc w:val="center"/>
                    <w:rPr>
                      <w:rFonts w:hint="default"/>
                      <w:bCs/>
                      <w:color w:val="auto"/>
                      <w:sz w:val="18"/>
                      <w:szCs w:val="18"/>
                      <w:highlight w:val="none"/>
                      <w:lang w:val="en-US"/>
                    </w:rPr>
                  </w:pPr>
                  <w:r>
                    <w:rPr>
                      <w:rFonts w:hint="eastAsia"/>
                      <w:bCs/>
                      <w:color w:val="auto"/>
                      <w:sz w:val="18"/>
                      <w:szCs w:val="18"/>
                      <w:highlight w:val="none"/>
                      <w:lang w:val="en-US" w:eastAsia="zh-CN"/>
                    </w:rPr>
                    <w:t>筛分工序</w:t>
                  </w:r>
                </w:p>
              </w:tc>
              <w:tc>
                <w:tcPr>
                  <w:tcW w:w="715" w:type="pct"/>
                  <w:noWrap w:val="0"/>
                  <w:tcMar>
                    <w:top w:w="0" w:type="dxa"/>
                    <w:left w:w="28" w:type="dxa"/>
                    <w:bottom w:w="0" w:type="dxa"/>
                    <w:right w:w="28" w:type="dxa"/>
                  </w:tcMar>
                  <w:vAlign w:val="center"/>
                </w:tcPr>
                <w:p w14:paraId="4B7733E6">
                  <w:pPr>
                    <w:jc w:val="center"/>
                    <w:rPr>
                      <w:rFonts w:hint="eastAsia"/>
                      <w:bCs/>
                      <w:color w:val="auto"/>
                      <w:sz w:val="18"/>
                      <w:szCs w:val="18"/>
                      <w:highlight w:val="none"/>
                    </w:rPr>
                  </w:pPr>
                  <w:r>
                    <w:rPr>
                      <w:rFonts w:hint="eastAsia"/>
                      <w:bCs/>
                      <w:color w:val="auto"/>
                      <w:sz w:val="18"/>
                      <w:szCs w:val="18"/>
                      <w:highlight w:val="none"/>
                      <w:lang w:val="en-US" w:eastAsia="zh-CN"/>
                    </w:rPr>
                    <w:t>筛分废料</w:t>
                  </w:r>
                </w:p>
              </w:tc>
              <w:tc>
                <w:tcPr>
                  <w:tcW w:w="416" w:type="pct"/>
                  <w:noWrap w:val="0"/>
                  <w:tcMar>
                    <w:top w:w="0" w:type="dxa"/>
                    <w:left w:w="28" w:type="dxa"/>
                    <w:bottom w:w="0" w:type="dxa"/>
                    <w:right w:w="28" w:type="dxa"/>
                  </w:tcMar>
                  <w:vAlign w:val="center"/>
                </w:tcPr>
                <w:p w14:paraId="589016BD">
                  <w:pPr>
                    <w:adjustRightInd w:val="0"/>
                    <w:snapToGrid w:val="0"/>
                    <w:jc w:val="center"/>
                    <w:rPr>
                      <w:rFonts w:hint="eastAsia"/>
                      <w:bCs/>
                      <w:color w:val="auto"/>
                      <w:sz w:val="18"/>
                      <w:szCs w:val="18"/>
                      <w:highlight w:val="none"/>
                    </w:rPr>
                  </w:pPr>
                  <w:r>
                    <w:rPr>
                      <w:rFonts w:hint="eastAsia"/>
                      <w:color w:val="auto"/>
                      <w:sz w:val="18"/>
                      <w:szCs w:val="18"/>
                      <w:highlight w:val="none"/>
                    </w:rPr>
                    <w:t>固体</w:t>
                  </w:r>
                </w:p>
              </w:tc>
              <w:tc>
                <w:tcPr>
                  <w:tcW w:w="641" w:type="pct"/>
                  <w:noWrap w:val="0"/>
                  <w:tcMar>
                    <w:top w:w="0" w:type="dxa"/>
                    <w:left w:w="28" w:type="dxa"/>
                    <w:bottom w:w="0" w:type="dxa"/>
                    <w:right w:w="28" w:type="dxa"/>
                  </w:tcMar>
                  <w:vAlign w:val="center"/>
                </w:tcPr>
                <w:p w14:paraId="12FCA705">
                  <w:pPr>
                    <w:adjustRightInd w:val="0"/>
                    <w:snapToGrid w:val="0"/>
                    <w:jc w:val="center"/>
                    <w:rPr>
                      <w:color w:val="auto"/>
                      <w:sz w:val="18"/>
                      <w:szCs w:val="18"/>
                      <w:highlight w:val="none"/>
                    </w:rPr>
                  </w:pPr>
                  <w:r>
                    <w:rPr>
                      <w:color w:val="auto"/>
                      <w:sz w:val="18"/>
                      <w:szCs w:val="18"/>
                      <w:highlight w:val="none"/>
                    </w:rPr>
                    <w:t>一般固废</w:t>
                  </w:r>
                </w:p>
              </w:tc>
              <w:tc>
                <w:tcPr>
                  <w:tcW w:w="585" w:type="pct"/>
                  <w:noWrap w:val="0"/>
                  <w:tcMar>
                    <w:top w:w="0" w:type="dxa"/>
                    <w:left w:w="28" w:type="dxa"/>
                    <w:bottom w:w="0" w:type="dxa"/>
                    <w:right w:w="28" w:type="dxa"/>
                  </w:tcMar>
                  <w:vAlign w:val="center"/>
                </w:tcPr>
                <w:p w14:paraId="7AF31DB5">
                  <w:pPr>
                    <w:adjustRightInd w:val="0"/>
                    <w:snapToGrid w:val="0"/>
                    <w:jc w:val="center"/>
                    <w:rPr>
                      <w:color w:val="auto"/>
                      <w:sz w:val="18"/>
                      <w:szCs w:val="18"/>
                      <w:highlight w:val="none"/>
                    </w:rPr>
                  </w:pPr>
                  <w:r>
                    <w:rPr>
                      <w:color w:val="auto"/>
                      <w:sz w:val="18"/>
                      <w:szCs w:val="18"/>
                      <w:highlight w:val="none"/>
                    </w:rPr>
                    <w:t>SW</w:t>
                  </w:r>
                  <w:r>
                    <w:rPr>
                      <w:rFonts w:hint="eastAsia"/>
                      <w:color w:val="auto"/>
                      <w:sz w:val="18"/>
                      <w:szCs w:val="18"/>
                      <w:highlight w:val="none"/>
                    </w:rPr>
                    <w:t>59</w:t>
                  </w:r>
                  <w:r>
                    <w:rPr>
                      <w:color w:val="auto"/>
                      <w:sz w:val="18"/>
                      <w:szCs w:val="18"/>
                      <w:highlight w:val="none"/>
                    </w:rPr>
                    <w:t>，900-0</w:t>
                  </w:r>
                  <w:r>
                    <w:rPr>
                      <w:rFonts w:hint="eastAsia"/>
                      <w:color w:val="auto"/>
                      <w:sz w:val="18"/>
                      <w:szCs w:val="18"/>
                      <w:highlight w:val="none"/>
                    </w:rPr>
                    <w:t>9</w:t>
                  </w:r>
                  <w:r>
                    <w:rPr>
                      <w:color w:val="auto"/>
                      <w:sz w:val="18"/>
                      <w:szCs w:val="18"/>
                      <w:highlight w:val="none"/>
                    </w:rPr>
                    <w:t>9-S59</w:t>
                  </w:r>
                </w:p>
              </w:tc>
              <w:tc>
                <w:tcPr>
                  <w:tcW w:w="585" w:type="pct"/>
                  <w:noWrap w:val="0"/>
                  <w:tcMar>
                    <w:top w:w="0" w:type="dxa"/>
                    <w:left w:w="28" w:type="dxa"/>
                    <w:bottom w:w="0" w:type="dxa"/>
                    <w:right w:w="28" w:type="dxa"/>
                  </w:tcMar>
                  <w:vAlign w:val="center"/>
                </w:tcPr>
                <w:p w14:paraId="40BC64FB">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120</w:t>
                  </w:r>
                </w:p>
              </w:tc>
              <w:tc>
                <w:tcPr>
                  <w:tcW w:w="1117" w:type="pct"/>
                  <w:noWrap w:val="0"/>
                  <w:tcMar>
                    <w:top w:w="0" w:type="dxa"/>
                    <w:left w:w="28" w:type="dxa"/>
                    <w:bottom w:w="0" w:type="dxa"/>
                    <w:right w:w="28" w:type="dxa"/>
                  </w:tcMar>
                  <w:vAlign w:val="center"/>
                </w:tcPr>
                <w:p w14:paraId="216B93CF">
                  <w:pPr>
                    <w:adjustRightInd w:val="0"/>
                    <w:snapToGrid w:val="0"/>
                    <w:jc w:val="center"/>
                    <w:rPr>
                      <w:color w:val="auto"/>
                      <w:sz w:val="18"/>
                      <w:szCs w:val="18"/>
                      <w:highlight w:val="none"/>
                    </w:rPr>
                  </w:pPr>
                  <w:r>
                    <w:rPr>
                      <w:color w:val="auto"/>
                      <w:sz w:val="18"/>
                      <w:szCs w:val="18"/>
                      <w:highlight w:val="none"/>
                    </w:rPr>
                    <w:t>暂存在一般固废暂存处，定期外卖</w:t>
                  </w:r>
                </w:p>
              </w:tc>
            </w:tr>
            <w:tr w14:paraId="65C9F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8" w:type="pct"/>
                  <w:noWrap w:val="0"/>
                  <w:tcMar>
                    <w:top w:w="0" w:type="dxa"/>
                    <w:left w:w="28" w:type="dxa"/>
                    <w:bottom w:w="0" w:type="dxa"/>
                    <w:right w:w="28" w:type="dxa"/>
                  </w:tcMar>
                  <w:vAlign w:val="center"/>
                </w:tcPr>
                <w:p w14:paraId="18E42C1E">
                  <w:pPr>
                    <w:jc w:val="center"/>
                    <w:rPr>
                      <w:bCs/>
                      <w:color w:val="auto"/>
                      <w:sz w:val="18"/>
                      <w:szCs w:val="18"/>
                      <w:highlight w:val="none"/>
                    </w:rPr>
                  </w:pPr>
                  <w:r>
                    <w:rPr>
                      <w:rFonts w:hint="eastAsia"/>
                      <w:bCs/>
                      <w:color w:val="auto"/>
                      <w:sz w:val="18"/>
                      <w:szCs w:val="18"/>
                      <w:highlight w:val="none"/>
                    </w:rPr>
                    <w:t>布袋除尘器</w:t>
                  </w:r>
                </w:p>
              </w:tc>
              <w:tc>
                <w:tcPr>
                  <w:tcW w:w="715" w:type="pct"/>
                  <w:noWrap w:val="0"/>
                  <w:tcMar>
                    <w:top w:w="0" w:type="dxa"/>
                    <w:left w:w="28" w:type="dxa"/>
                    <w:bottom w:w="0" w:type="dxa"/>
                    <w:right w:w="28" w:type="dxa"/>
                  </w:tcMar>
                  <w:vAlign w:val="center"/>
                </w:tcPr>
                <w:p w14:paraId="02E87F12">
                  <w:pPr>
                    <w:jc w:val="center"/>
                    <w:rPr>
                      <w:bCs/>
                      <w:color w:val="auto"/>
                      <w:sz w:val="18"/>
                      <w:szCs w:val="18"/>
                      <w:highlight w:val="none"/>
                    </w:rPr>
                  </w:pPr>
                  <w:r>
                    <w:rPr>
                      <w:rFonts w:hint="eastAsia"/>
                      <w:bCs/>
                      <w:color w:val="auto"/>
                      <w:sz w:val="18"/>
                      <w:szCs w:val="18"/>
                      <w:highlight w:val="none"/>
                    </w:rPr>
                    <w:t>废布袋</w:t>
                  </w:r>
                </w:p>
              </w:tc>
              <w:tc>
                <w:tcPr>
                  <w:tcW w:w="416" w:type="pct"/>
                  <w:noWrap w:val="0"/>
                  <w:tcMar>
                    <w:top w:w="0" w:type="dxa"/>
                    <w:left w:w="28" w:type="dxa"/>
                    <w:bottom w:w="0" w:type="dxa"/>
                    <w:right w:w="28" w:type="dxa"/>
                  </w:tcMar>
                  <w:vAlign w:val="center"/>
                </w:tcPr>
                <w:p w14:paraId="11D6AE7E">
                  <w:pPr>
                    <w:jc w:val="center"/>
                    <w:rPr>
                      <w:bCs/>
                      <w:color w:val="auto"/>
                      <w:sz w:val="18"/>
                      <w:szCs w:val="18"/>
                      <w:highlight w:val="none"/>
                    </w:rPr>
                  </w:pPr>
                  <w:r>
                    <w:rPr>
                      <w:rFonts w:hint="eastAsia"/>
                      <w:bCs/>
                      <w:color w:val="auto"/>
                      <w:sz w:val="18"/>
                      <w:szCs w:val="18"/>
                      <w:highlight w:val="none"/>
                    </w:rPr>
                    <w:t>固体</w:t>
                  </w:r>
                </w:p>
              </w:tc>
              <w:tc>
                <w:tcPr>
                  <w:tcW w:w="641" w:type="pct"/>
                  <w:noWrap w:val="0"/>
                  <w:tcMar>
                    <w:top w:w="0" w:type="dxa"/>
                    <w:left w:w="28" w:type="dxa"/>
                    <w:bottom w:w="0" w:type="dxa"/>
                    <w:right w:w="28" w:type="dxa"/>
                  </w:tcMar>
                  <w:vAlign w:val="center"/>
                </w:tcPr>
                <w:p w14:paraId="62B0D647">
                  <w:pPr>
                    <w:adjustRightInd w:val="0"/>
                    <w:snapToGrid w:val="0"/>
                    <w:jc w:val="center"/>
                    <w:rPr>
                      <w:color w:val="auto"/>
                      <w:sz w:val="18"/>
                      <w:szCs w:val="18"/>
                      <w:highlight w:val="none"/>
                    </w:rPr>
                  </w:pPr>
                  <w:r>
                    <w:rPr>
                      <w:color w:val="auto"/>
                      <w:sz w:val="18"/>
                      <w:szCs w:val="18"/>
                      <w:highlight w:val="none"/>
                    </w:rPr>
                    <w:t>一般固废</w:t>
                  </w:r>
                </w:p>
              </w:tc>
              <w:tc>
                <w:tcPr>
                  <w:tcW w:w="585" w:type="pct"/>
                  <w:noWrap w:val="0"/>
                  <w:tcMar>
                    <w:top w:w="0" w:type="dxa"/>
                    <w:left w:w="28" w:type="dxa"/>
                    <w:bottom w:w="0" w:type="dxa"/>
                    <w:right w:w="28" w:type="dxa"/>
                  </w:tcMar>
                  <w:vAlign w:val="center"/>
                </w:tcPr>
                <w:p w14:paraId="2C907478">
                  <w:pPr>
                    <w:adjustRightInd w:val="0"/>
                    <w:snapToGrid w:val="0"/>
                    <w:jc w:val="center"/>
                    <w:rPr>
                      <w:color w:val="auto"/>
                      <w:sz w:val="18"/>
                      <w:szCs w:val="18"/>
                      <w:highlight w:val="none"/>
                    </w:rPr>
                  </w:pPr>
                  <w:r>
                    <w:rPr>
                      <w:color w:val="auto"/>
                      <w:sz w:val="18"/>
                      <w:szCs w:val="18"/>
                      <w:highlight w:val="none"/>
                    </w:rPr>
                    <w:t>SW</w:t>
                  </w:r>
                  <w:r>
                    <w:rPr>
                      <w:rFonts w:hint="eastAsia"/>
                      <w:color w:val="auto"/>
                      <w:sz w:val="18"/>
                      <w:szCs w:val="18"/>
                      <w:highlight w:val="none"/>
                    </w:rPr>
                    <w:t>59</w:t>
                  </w:r>
                  <w:r>
                    <w:rPr>
                      <w:color w:val="auto"/>
                      <w:sz w:val="18"/>
                      <w:szCs w:val="18"/>
                      <w:highlight w:val="none"/>
                    </w:rPr>
                    <w:t>，900-0</w:t>
                  </w:r>
                  <w:r>
                    <w:rPr>
                      <w:rFonts w:hint="eastAsia"/>
                      <w:color w:val="auto"/>
                      <w:sz w:val="18"/>
                      <w:szCs w:val="18"/>
                      <w:highlight w:val="none"/>
                    </w:rPr>
                    <w:t>9</w:t>
                  </w:r>
                  <w:r>
                    <w:rPr>
                      <w:color w:val="auto"/>
                      <w:sz w:val="18"/>
                      <w:szCs w:val="18"/>
                      <w:highlight w:val="none"/>
                    </w:rPr>
                    <w:t>9-S59</w:t>
                  </w:r>
                </w:p>
              </w:tc>
              <w:tc>
                <w:tcPr>
                  <w:tcW w:w="585" w:type="pct"/>
                  <w:noWrap w:val="0"/>
                  <w:tcMar>
                    <w:top w:w="0" w:type="dxa"/>
                    <w:left w:w="28" w:type="dxa"/>
                    <w:bottom w:w="0" w:type="dxa"/>
                    <w:right w:w="28" w:type="dxa"/>
                  </w:tcMar>
                  <w:vAlign w:val="center"/>
                </w:tcPr>
                <w:p w14:paraId="1EB37B82">
                  <w:pPr>
                    <w:adjustRightInd w:val="0"/>
                    <w:snapToGrid w:val="0"/>
                    <w:jc w:val="center"/>
                    <w:rPr>
                      <w:rFonts w:hint="eastAsia" w:eastAsia="宋体"/>
                      <w:color w:val="auto"/>
                      <w:sz w:val="18"/>
                      <w:szCs w:val="18"/>
                      <w:highlight w:val="none"/>
                      <w:lang w:eastAsia="zh-CN"/>
                    </w:rPr>
                  </w:pPr>
                  <w:r>
                    <w:rPr>
                      <w:rFonts w:hint="eastAsia"/>
                      <w:color w:val="auto"/>
                      <w:sz w:val="18"/>
                      <w:szCs w:val="18"/>
                      <w:highlight w:val="none"/>
                    </w:rPr>
                    <w:t>0.</w:t>
                  </w:r>
                  <w:r>
                    <w:rPr>
                      <w:rFonts w:hint="eastAsia"/>
                      <w:color w:val="auto"/>
                      <w:sz w:val="18"/>
                      <w:szCs w:val="18"/>
                      <w:highlight w:val="none"/>
                      <w:lang w:val="en-US" w:eastAsia="zh-CN"/>
                    </w:rPr>
                    <w:t>2</w:t>
                  </w:r>
                </w:p>
              </w:tc>
              <w:tc>
                <w:tcPr>
                  <w:tcW w:w="1117" w:type="pct"/>
                  <w:noWrap w:val="0"/>
                  <w:tcMar>
                    <w:top w:w="0" w:type="dxa"/>
                    <w:left w:w="28" w:type="dxa"/>
                    <w:bottom w:w="0" w:type="dxa"/>
                    <w:right w:w="28" w:type="dxa"/>
                  </w:tcMar>
                  <w:vAlign w:val="center"/>
                </w:tcPr>
                <w:p w14:paraId="77570AE5">
                  <w:pPr>
                    <w:adjustRightInd w:val="0"/>
                    <w:snapToGrid w:val="0"/>
                    <w:jc w:val="center"/>
                    <w:rPr>
                      <w:color w:val="auto"/>
                      <w:sz w:val="18"/>
                      <w:szCs w:val="18"/>
                      <w:highlight w:val="none"/>
                    </w:rPr>
                  </w:pPr>
                  <w:r>
                    <w:rPr>
                      <w:color w:val="auto"/>
                      <w:sz w:val="18"/>
                      <w:szCs w:val="18"/>
                      <w:highlight w:val="none"/>
                    </w:rPr>
                    <w:t>暂存在一般固废暂存处，定期外卖</w:t>
                  </w:r>
                </w:p>
              </w:tc>
            </w:tr>
            <w:tr w14:paraId="74A7A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8" w:type="pct"/>
                  <w:noWrap w:val="0"/>
                  <w:tcMar>
                    <w:top w:w="0" w:type="dxa"/>
                    <w:left w:w="28" w:type="dxa"/>
                    <w:bottom w:w="0" w:type="dxa"/>
                    <w:right w:w="28" w:type="dxa"/>
                  </w:tcMar>
                  <w:vAlign w:val="center"/>
                </w:tcPr>
                <w:p w14:paraId="6DCEF13B">
                  <w:pPr>
                    <w:jc w:val="center"/>
                    <w:rPr>
                      <w:rFonts w:hint="default"/>
                      <w:bCs/>
                      <w:color w:val="auto"/>
                      <w:sz w:val="18"/>
                      <w:szCs w:val="18"/>
                      <w:highlight w:val="none"/>
                      <w:lang w:val="en-US" w:eastAsia="zh-CN"/>
                    </w:rPr>
                  </w:pPr>
                  <w:r>
                    <w:rPr>
                      <w:rFonts w:hint="eastAsia"/>
                      <w:bCs/>
                      <w:color w:val="auto"/>
                      <w:sz w:val="18"/>
                      <w:szCs w:val="18"/>
                      <w:highlight w:val="none"/>
                      <w:lang w:val="en-US" w:eastAsia="zh-CN"/>
                    </w:rPr>
                    <w:t>废气治理</w:t>
                  </w:r>
                </w:p>
              </w:tc>
              <w:tc>
                <w:tcPr>
                  <w:tcW w:w="715" w:type="pct"/>
                  <w:noWrap w:val="0"/>
                  <w:tcMar>
                    <w:top w:w="0" w:type="dxa"/>
                    <w:left w:w="28" w:type="dxa"/>
                    <w:bottom w:w="0" w:type="dxa"/>
                    <w:right w:w="28" w:type="dxa"/>
                  </w:tcMar>
                  <w:vAlign w:val="center"/>
                </w:tcPr>
                <w:p w14:paraId="4CA72EC5">
                  <w:pPr>
                    <w:jc w:val="center"/>
                    <w:rPr>
                      <w:rFonts w:hint="eastAsia"/>
                      <w:color w:val="auto"/>
                      <w:sz w:val="18"/>
                      <w:szCs w:val="18"/>
                      <w:highlight w:val="none"/>
                      <w:lang w:val="en-US" w:eastAsia="zh-CN"/>
                    </w:rPr>
                  </w:pPr>
                  <w:r>
                    <w:rPr>
                      <w:rFonts w:hint="eastAsia"/>
                      <w:color w:val="auto"/>
                      <w:sz w:val="18"/>
                      <w:szCs w:val="18"/>
                      <w:highlight w:val="none"/>
                      <w:lang w:val="en-US" w:eastAsia="zh-CN"/>
                    </w:rPr>
                    <w:t>1#布袋除尘器收集的烟粉尘</w:t>
                  </w:r>
                </w:p>
              </w:tc>
              <w:tc>
                <w:tcPr>
                  <w:tcW w:w="416" w:type="pct"/>
                  <w:shd w:val="clear" w:color="auto" w:fill="auto"/>
                  <w:noWrap w:val="0"/>
                  <w:tcMar>
                    <w:top w:w="0" w:type="dxa"/>
                    <w:left w:w="28" w:type="dxa"/>
                    <w:bottom w:w="0" w:type="dxa"/>
                    <w:right w:w="28" w:type="dxa"/>
                  </w:tcMar>
                  <w:vAlign w:val="center"/>
                </w:tcPr>
                <w:p w14:paraId="5FDF9965">
                  <w:pPr>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rPr>
                    <w:t>固体</w:t>
                  </w:r>
                </w:p>
              </w:tc>
              <w:tc>
                <w:tcPr>
                  <w:tcW w:w="641" w:type="pct"/>
                  <w:shd w:val="clear" w:color="auto" w:fill="auto"/>
                  <w:noWrap w:val="0"/>
                  <w:tcMar>
                    <w:top w:w="0" w:type="dxa"/>
                    <w:left w:w="28" w:type="dxa"/>
                    <w:bottom w:w="0" w:type="dxa"/>
                    <w:right w:w="28" w:type="dxa"/>
                  </w:tcMar>
                  <w:vAlign w:val="center"/>
                </w:tcPr>
                <w:p w14:paraId="60A1BAA3">
                  <w:pPr>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color w:val="auto"/>
                      <w:sz w:val="18"/>
                      <w:szCs w:val="18"/>
                      <w:highlight w:val="none"/>
                    </w:rPr>
                    <w:t>一般固废</w:t>
                  </w:r>
                </w:p>
              </w:tc>
              <w:tc>
                <w:tcPr>
                  <w:tcW w:w="585" w:type="pct"/>
                  <w:shd w:val="clear" w:color="auto" w:fill="auto"/>
                  <w:noWrap w:val="0"/>
                  <w:tcMar>
                    <w:top w:w="0" w:type="dxa"/>
                    <w:left w:w="28" w:type="dxa"/>
                    <w:bottom w:w="0" w:type="dxa"/>
                    <w:right w:w="28" w:type="dxa"/>
                  </w:tcMar>
                  <w:vAlign w:val="center"/>
                </w:tcPr>
                <w:p w14:paraId="705DAA87">
                  <w:pPr>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color w:val="auto"/>
                      <w:sz w:val="18"/>
                      <w:szCs w:val="18"/>
                      <w:highlight w:val="none"/>
                    </w:rPr>
                    <w:t>SW</w:t>
                  </w:r>
                  <w:r>
                    <w:rPr>
                      <w:rFonts w:hint="eastAsia"/>
                      <w:color w:val="auto"/>
                      <w:sz w:val="18"/>
                      <w:szCs w:val="18"/>
                      <w:highlight w:val="none"/>
                    </w:rPr>
                    <w:t>59</w:t>
                  </w:r>
                  <w:r>
                    <w:rPr>
                      <w:color w:val="auto"/>
                      <w:sz w:val="18"/>
                      <w:szCs w:val="18"/>
                      <w:highlight w:val="none"/>
                    </w:rPr>
                    <w:t>，900-0</w:t>
                  </w:r>
                  <w:r>
                    <w:rPr>
                      <w:rFonts w:hint="eastAsia"/>
                      <w:color w:val="auto"/>
                      <w:sz w:val="18"/>
                      <w:szCs w:val="18"/>
                      <w:highlight w:val="none"/>
                    </w:rPr>
                    <w:t>9</w:t>
                  </w:r>
                  <w:r>
                    <w:rPr>
                      <w:color w:val="auto"/>
                      <w:sz w:val="18"/>
                      <w:szCs w:val="18"/>
                      <w:highlight w:val="none"/>
                    </w:rPr>
                    <w:t>9-S59</w:t>
                  </w:r>
                </w:p>
              </w:tc>
              <w:tc>
                <w:tcPr>
                  <w:tcW w:w="585" w:type="pct"/>
                  <w:noWrap w:val="0"/>
                  <w:tcMar>
                    <w:top w:w="0" w:type="dxa"/>
                    <w:left w:w="28" w:type="dxa"/>
                    <w:bottom w:w="0" w:type="dxa"/>
                    <w:right w:w="28" w:type="dxa"/>
                  </w:tcMar>
                  <w:vAlign w:val="center"/>
                </w:tcPr>
                <w:p w14:paraId="36FBC45D">
                  <w:pPr>
                    <w:adjustRightInd w:val="0"/>
                    <w:snapToGrid w:val="0"/>
                    <w:jc w:val="center"/>
                    <w:rPr>
                      <w:rFonts w:hint="default"/>
                      <w:color w:val="auto"/>
                      <w:sz w:val="18"/>
                      <w:szCs w:val="18"/>
                      <w:highlight w:val="none"/>
                      <w:lang w:val="en-US" w:eastAsia="zh-CN"/>
                    </w:rPr>
                  </w:pPr>
                  <w:r>
                    <w:rPr>
                      <w:rFonts w:hint="eastAsia"/>
                      <w:color w:val="auto"/>
                      <w:sz w:val="18"/>
                      <w:szCs w:val="18"/>
                      <w:highlight w:val="none"/>
                      <w:lang w:val="en-US" w:eastAsia="zh-CN"/>
                    </w:rPr>
                    <w:t>0.749</w:t>
                  </w:r>
                </w:p>
              </w:tc>
              <w:tc>
                <w:tcPr>
                  <w:tcW w:w="1117" w:type="pct"/>
                  <w:noWrap w:val="0"/>
                  <w:tcMar>
                    <w:top w:w="0" w:type="dxa"/>
                    <w:left w:w="28" w:type="dxa"/>
                    <w:bottom w:w="0" w:type="dxa"/>
                    <w:right w:w="28" w:type="dxa"/>
                  </w:tcMar>
                  <w:vAlign w:val="center"/>
                </w:tcPr>
                <w:p w14:paraId="5AC5DAB8">
                  <w:pPr>
                    <w:adjustRightInd w:val="0"/>
                    <w:snapToGrid w:val="0"/>
                    <w:jc w:val="center"/>
                    <w:rPr>
                      <w:rFonts w:hint="eastAsia"/>
                      <w:color w:val="auto"/>
                      <w:sz w:val="18"/>
                      <w:szCs w:val="18"/>
                      <w:highlight w:val="none"/>
                    </w:rPr>
                  </w:pPr>
                  <w:r>
                    <w:rPr>
                      <w:color w:val="auto"/>
                      <w:sz w:val="18"/>
                      <w:szCs w:val="18"/>
                      <w:highlight w:val="none"/>
                    </w:rPr>
                    <w:t>暂存在一般固废暂存处，定期外卖</w:t>
                  </w:r>
                </w:p>
              </w:tc>
            </w:tr>
            <w:tr w14:paraId="4762B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8" w:type="pct"/>
                  <w:noWrap w:val="0"/>
                  <w:tcMar>
                    <w:top w:w="0" w:type="dxa"/>
                    <w:left w:w="28" w:type="dxa"/>
                    <w:bottom w:w="0" w:type="dxa"/>
                    <w:right w:w="28" w:type="dxa"/>
                  </w:tcMar>
                  <w:vAlign w:val="center"/>
                </w:tcPr>
                <w:p w14:paraId="455A6383">
                  <w:pPr>
                    <w:jc w:val="center"/>
                    <w:rPr>
                      <w:bCs/>
                      <w:color w:val="auto"/>
                      <w:sz w:val="18"/>
                      <w:szCs w:val="18"/>
                      <w:highlight w:val="none"/>
                    </w:rPr>
                  </w:pPr>
                  <w:r>
                    <w:rPr>
                      <w:rFonts w:hint="eastAsia"/>
                      <w:bCs/>
                      <w:color w:val="auto"/>
                      <w:sz w:val="18"/>
                      <w:szCs w:val="18"/>
                      <w:highlight w:val="none"/>
                      <w:lang w:val="en-US" w:eastAsia="zh-CN"/>
                    </w:rPr>
                    <w:t>设备维护</w:t>
                  </w:r>
                </w:p>
              </w:tc>
              <w:tc>
                <w:tcPr>
                  <w:tcW w:w="715" w:type="pct"/>
                  <w:noWrap w:val="0"/>
                  <w:tcMar>
                    <w:top w:w="0" w:type="dxa"/>
                    <w:left w:w="28" w:type="dxa"/>
                    <w:bottom w:w="0" w:type="dxa"/>
                    <w:right w:w="28" w:type="dxa"/>
                  </w:tcMar>
                  <w:vAlign w:val="center"/>
                </w:tcPr>
                <w:p w14:paraId="18F61721">
                  <w:pPr>
                    <w:jc w:val="center"/>
                    <w:rPr>
                      <w:rFonts w:hint="default"/>
                      <w:color w:val="auto"/>
                      <w:sz w:val="18"/>
                      <w:szCs w:val="18"/>
                      <w:highlight w:val="none"/>
                      <w:lang w:val="en-US"/>
                    </w:rPr>
                  </w:pPr>
                  <w:r>
                    <w:rPr>
                      <w:rFonts w:hint="eastAsia"/>
                      <w:color w:val="auto"/>
                      <w:sz w:val="18"/>
                      <w:szCs w:val="18"/>
                      <w:highlight w:val="none"/>
                      <w:lang w:val="en-US" w:eastAsia="zh-CN"/>
                    </w:rPr>
                    <w:t>废润滑油及废油桶</w:t>
                  </w:r>
                </w:p>
              </w:tc>
              <w:tc>
                <w:tcPr>
                  <w:tcW w:w="416" w:type="pct"/>
                  <w:noWrap w:val="0"/>
                  <w:tcMar>
                    <w:top w:w="0" w:type="dxa"/>
                    <w:left w:w="28" w:type="dxa"/>
                    <w:bottom w:w="0" w:type="dxa"/>
                    <w:right w:w="28" w:type="dxa"/>
                  </w:tcMar>
                  <w:vAlign w:val="center"/>
                </w:tcPr>
                <w:p w14:paraId="2D39E54D">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液态</w:t>
                  </w:r>
                </w:p>
              </w:tc>
              <w:tc>
                <w:tcPr>
                  <w:tcW w:w="641" w:type="pct"/>
                  <w:noWrap w:val="0"/>
                  <w:tcMar>
                    <w:top w:w="0" w:type="dxa"/>
                    <w:left w:w="28" w:type="dxa"/>
                    <w:bottom w:w="0" w:type="dxa"/>
                    <w:right w:w="28" w:type="dxa"/>
                  </w:tcMar>
                  <w:vAlign w:val="center"/>
                </w:tcPr>
                <w:p w14:paraId="42C54F16">
                  <w:pPr>
                    <w:adjustRightInd w:val="0"/>
                    <w:snapToGrid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危险废物</w:t>
                  </w:r>
                </w:p>
              </w:tc>
              <w:tc>
                <w:tcPr>
                  <w:tcW w:w="585" w:type="pct"/>
                  <w:noWrap w:val="0"/>
                  <w:tcMar>
                    <w:top w:w="0" w:type="dxa"/>
                    <w:left w:w="28" w:type="dxa"/>
                    <w:bottom w:w="0" w:type="dxa"/>
                    <w:right w:w="28" w:type="dxa"/>
                  </w:tcMar>
                  <w:vAlign w:val="center"/>
                </w:tcPr>
                <w:p w14:paraId="5C97D57B">
                  <w:pPr>
                    <w:adjustRightInd w:val="0"/>
                    <w:snapToGrid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HW08，900-249-08</w:t>
                  </w:r>
                </w:p>
              </w:tc>
              <w:tc>
                <w:tcPr>
                  <w:tcW w:w="585" w:type="pct"/>
                  <w:noWrap w:val="0"/>
                  <w:tcMar>
                    <w:top w:w="0" w:type="dxa"/>
                    <w:left w:w="28" w:type="dxa"/>
                    <w:bottom w:w="0" w:type="dxa"/>
                    <w:right w:w="28" w:type="dxa"/>
                  </w:tcMar>
                  <w:vAlign w:val="center"/>
                </w:tcPr>
                <w:p w14:paraId="6139F277">
                  <w:pPr>
                    <w:adjustRightInd w:val="0"/>
                    <w:snapToGrid w:val="0"/>
                    <w:jc w:val="center"/>
                    <w:rPr>
                      <w:rFonts w:hint="default"/>
                      <w:color w:val="auto"/>
                      <w:sz w:val="18"/>
                      <w:szCs w:val="18"/>
                      <w:highlight w:val="none"/>
                      <w:lang w:val="en-US" w:eastAsia="zh-CN"/>
                    </w:rPr>
                  </w:pPr>
                  <w:r>
                    <w:rPr>
                      <w:rFonts w:hint="eastAsia"/>
                      <w:color w:val="auto"/>
                      <w:sz w:val="18"/>
                      <w:szCs w:val="18"/>
                      <w:highlight w:val="none"/>
                      <w:lang w:val="en-US" w:eastAsia="zh-CN"/>
                    </w:rPr>
                    <w:t>0.27</w:t>
                  </w:r>
                </w:p>
              </w:tc>
              <w:tc>
                <w:tcPr>
                  <w:tcW w:w="1117" w:type="pct"/>
                  <w:noWrap w:val="0"/>
                  <w:tcMar>
                    <w:top w:w="0" w:type="dxa"/>
                    <w:left w:w="28" w:type="dxa"/>
                    <w:bottom w:w="0" w:type="dxa"/>
                    <w:right w:w="28" w:type="dxa"/>
                  </w:tcMar>
                  <w:vAlign w:val="center"/>
                </w:tcPr>
                <w:p w14:paraId="718D6E3E">
                  <w:pPr>
                    <w:adjustRightInd w:val="0"/>
                    <w:snapToGrid w:val="0"/>
                    <w:jc w:val="center"/>
                    <w:rPr>
                      <w:color w:val="auto"/>
                      <w:sz w:val="18"/>
                      <w:szCs w:val="18"/>
                      <w:highlight w:val="none"/>
                    </w:rPr>
                  </w:pPr>
                  <w:r>
                    <w:rPr>
                      <w:rFonts w:hint="eastAsia"/>
                      <w:color w:val="auto"/>
                      <w:sz w:val="18"/>
                      <w:szCs w:val="18"/>
                      <w:highlight w:val="none"/>
                    </w:rPr>
                    <w:t>暂存在危废暂存间，委托有资质的单位处置</w:t>
                  </w:r>
                </w:p>
              </w:tc>
            </w:tr>
            <w:tr w14:paraId="5FA54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8" w:type="pct"/>
                  <w:noWrap w:val="0"/>
                  <w:tcMar>
                    <w:top w:w="0" w:type="dxa"/>
                    <w:left w:w="28" w:type="dxa"/>
                    <w:bottom w:w="0" w:type="dxa"/>
                    <w:right w:w="28" w:type="dxa"/>
                  </w:tcMar>
                  <w:vAlign w:val="center"/>
                </w:tcPr>
                <w:p w14:paraId="355BC95A">
                  <w:pPr>
                    <w:jc w:val="center"/>
                    <w:rPr>
                      <w:bCs/>
                      <w:color w:val="auto"/>
                      <w:sz w:val="18"/>
                      <w:szCs w:val="18"/>
                      <w:highlight w:val="none"/>
                    </w:rPr>
                  </w:pPr>
                  <w:r>
                    <w:rPr>
                      <w:bCs/>
                      <w:color w:val="auto"/>
                      <w:sz w:val="18"/>
                      <w:szCs w:val="18"/>
                      <w:highlight w:val="none"/>
                    </w:rPr>
                    <w:t>职工生活</w:t>
                  </w:r>
                </w:p>
              </w:tc>
              <w:tc>
                <w:tcPr>
                  <w:tcW w:w="715" w:type="pct"/>
                  <w:noWrap w:val="0"/>
                  <w:tcMar>
                    <w:top w:w="0" w:type="dxa"/>
                    <w:left w:w="28" w:type="dxa"/>
                    <w:bottom w:w="0" w:type="dxa"/>
                    <w:right w:w="28" w:type="dxa"/>
                  </w:tcMar>
                  <w:vAlign w:val="center"/>
                </w:tcPr>
                <w:p w14:paraId="0B9085FF">
                  <w:pPr>
                    <w:jc w:val="center"/>
                    <w:rPr>
                      <w:color w:val="auto"/>
                      <w:sz w:val="18"/>
                      <w:szCs w:val="18"/>
                      <w:highlight w:val="none"/>
                    </w:rPr>
                  </w:pPr>
                  <w:r>
                    <w:rPr>
                      <w:color w:val="auto"/>
                      <w:sz w:val="18"/>
                      <w:szCs w:val="18"/>
                      <w:highlight w:val="none"/>
                    </w:rPr>
                    <w:t>生活垃圾</w:t>
                  </w:r>
                </w:p>
              </w:tc>
              <w:tc>
                <w:tcPr>
                  <w:tcW w:w="416" w:type="pct"/>
                  <w:noWrap w:val="0"/>
                  <w:tcMar>
                    <w:top w:w="0" w:type="dxa"/>
                    <w:left w:w="28" w:type="dxa"/>
                    <w:bottom w:w="0" w:type="dxa"/>
                    <w:right w:w="28" w:type="dxa"/>
                  </w:tcMar>
                  <w:vAlign w:val="center"/>
                </w:tcPr>
                <w:p w14:paraId="5539B1B3">
                  <w:pPr>
                    <w:adjustRightInd w:val="0"/>
                    <w:snapToGrid w:val="0"/>
                    <w:jc w:val="center"/>
                    <w:rPr>
                      <w:color w:val="auto"/>
                      <w:sz w:val="18"/>
                      <w:szCs w:val="18"/>
                      <w:highlight w:val="none"/>
                    </w:rPr>
                  </w:pPr>
                  <w:r>
                    <w:rPr>
                      <w:color w:val="auto"/>
                      <w:sz w:val="18"/>
                      <w:szCs w:val="18"/>
                      <w:highlight w:val="none"/>
                    </w:rPr>
                    <w:t>固体</w:t>
                  </w:r>
                </w:p>
              </w:tc>
              <w:tc>
                <w:tcPr>
                  <w:tcW w:w="641" w:type="pct"/>
                  <w:noWrap w:val="0"/>
                  <w:tcMar>
                    <w:top w:w="0" w:type="dxa"/>
                    <w:left w:w="28" w:type="dxa"/>
                    <w:bottom w:w="0" w:type="dxa"/>
                    <w:right w:w="28" w:type="dxa"/>
                  </w:tcMar>
                  <w:vAlign w:val="center"/>
                </w:tcPr>
                <w:p w14:paraId="3826BF58">
                  <w:pPr>
                    <w:adjustRightInd w:val="0"/>
                    <w:snapToGrid w:val="0"/>
                    <w:jc w:val="center"/>
                    <w:rPr>
                      <w:color w:val="auto"/>
                      <w:sz w:val="18"/>
                      <w:szCs w:val="18"/>
                      <w:highlight w:val="none"/>
                    </w:rPr>
                  </w:pPr>
                  <w:r>
                    <w:rPr>
                      <w:color w:val="auto"/>
                      <w:sz w:val="18"/>
                      <w:szCs w:val="18"/>
                      <w:highlight w:val="none"/>
                    </w:rPr>
                    <w:t>/</w:t>
                  </w:r>
                </w:p>
              </w:tc>
              <w:tc>
                <w:tcPr>
                  <w:tcW w:w="585" w:type="pct"/>
                  <w:noWrap w:val="0"/>
                  <w:tcMar>
                    <w:top w:w="0" w:type="dxa"/>
                    <w:left w:w="28" w:type="dxa"/>
                    <w:bottom w:w="0" w:type="dxa"/>
                    <w:right w:w="28" w:type="dxa"/>
                  </w:tcMar>
                  <w:vAlign w:val="center"/>
                </w:tcPr>
                <w:p w14:paraId="4DE9803E">
                  <w:pPr>
                    <w:adjustRightInd w:val="0"/>
                    <w:snapToGrid w:val="0"/>
                    <w:jc w:val="center"/>
                    <w:rPr>
                      <w:color w:val="auto"/>
                      <w:sz w:val="18"/>
                      <w:szCs w:val="18"/>
                      <w:highlight w:val="none"/>
                    </w:rPr>
                  </w:pPr>
                  <w:r>
                    <w:rPr>
                      <w:color w:val="auto"/>
                      <w:sz w:val="18"/>
                      <w:szCs w:val="18"/>
                      <w:highlight w:val="none"/>
                    </w:rPr>
                    <w:t>/</w:t>
                  </w:r>
                </w:p>
              </w:tc>
              <w:tc>
                <w:tcPr>
                  <w:tcW w:w="585" w:type="pct"/>
                  <w:noWrap w:val="0"/>
                  <w:tcMar>
                    <w:top w:w="0" w:type="dxa"/>
                    <w:left w:w="28" w:type="dxa"/>
                    <w:bottom w:w="0" w:type="dxa"/>
                    <w:right w:w="28" w:type="dxa"/>
                  </w:tcMar>
                  <w:vAlign w:val="center"/>
                </w:tcPr>
                <w:p w14:paraId="4BE4B5DD">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2.25</w:t>
                  </w:r>
                </w:p>
              </w:tc>
              <w:tc>
                <w:tcPr>
                  <w:tcW w:w="1117" w:type="pct"/>
                  <w:noWrap w:val="0"/>
                  <w:tcMar>
                    <w:top w:w="0" w:type="dxa"/>
                    <w:left w:w="28" w:type="dxa"/>
                    <w:bottom w:w="0" w:type="dxa"/>
                    <w:right w:w="28" w:type="dxa"/>
                  </w:tcMar>
                  <w:vAlign w:val="center"/>
                </w:tcPr>
                <w:p w14:paraId="2CB24FF4">
                  <w:pPr>
                    <w:adjustRightInd w:val="0"/>
                    <w:snapToGrid w:val="0"/>
                    <w:jc w:val="center"/>
                    <w:rPr>
                      <w:color w:val="auto"/>
                      <w:sz w:val="18"/>
                      <w:szCs w:val="18"/>
                      <w:highlight w:val="none"/>
                    </w:rPr>
                  </w:pPr>
                  <w:r>
                    <w:rPr>
                      <w:color w:val="auto"/>
                      <w:sz w:val="18"/>
                      <w:szCs w:val="18"/>
                      <w:highlight w:val="none"/>
                    </w:rPr>
                    <w:t>由环卫部门定期清运处理</w:t>
                  </w:r>
                </w:p>
              </w:tc>
            </w:tr>
          </w:tbl>
          <w:p w14:paraId="2912A704">
            <w:pPr>
              <w:spacing w:line="420" w:lineRule="exact"/>
              <w:ind w:firstLine="25" w:firstLineChars="12"/>
              <w:jc w:val="center"/>
              <w:rPr>
                <w:b/>
                <w:bCs/>
                <w:color w:val="auto"/>
                <w:highlight w:val="none"/>
              </w:rPr>
            </w:pPr>
            <w:r>
              <w:rPr>
                <w:b/>
                <w:bCs/>
                <w:color w:val="auto"/>
                <w:highlight w:val="none"/>
              </w:rPr>
              <w:t>表4-</w:t>
            </w:r>
            <w:r>
              <w:rPr>
                <w:rFonts w:hint="eastAsia"/>
                <w:b/>
                <w:bCs/>
                <w:color w:val="auto"/>
                <w:highlight w:val="none"/>
                <w:lang w:val="en-US" w:eastAsia="zh-CN"/>
              </w:rPr>
              <w:t>16</w:t>
            </w:r>
            <w:r>
              <w:rPr>
                <w:b/>
                <w:bCs/>
                <w:color w:val="auto"/>
                <w:highlight w:val="none"/>
              </w:rPr>
              <w:t>项目危险废物产生情况</w:t>
            </w:r>
          </w:p>
          <w:tbl>
            <w:tblPr>
              <w:tblStyle w:val="8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5"/>
              <w:gridCol w:w="602"/>
              <w:gridCol w:w="1056"/>
              <w:gridCol w:w="828"/>
              <w:gridCol w:w="942"/>
              <w:gridCol w:w="601"/>
              <w:gridCol w:w="601"/>
              <w:gridCol w:w="1013"/>
              <w:gridCol w:w="942"/>
              <w:gridCol w:w="768"/>
              <w:gridCol w:w="672"/>
            </w:tblGrid>
            <w:tr w14:paraId="4B89C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200" w:type="pct"/>
                  <w:noWrap w:val="0"/>
                  <w:vAlign w:val="center"/>
                </w:tcPr>
                <w:p w14:paraId="4D23D0A6">
                  <w:pPr>
                    <w:spacing w:beforeLines="50"/>
                    <w:ind w:left="-143" w:leftChars="-68" w:right="-124" w:rightChars="-59"/>
                    <w:jc w:val="center"/>
                    <w:rPr>
                      <w:b/>
                      <w:color w:val="auto"/>
                      <w:sz w:val="18"/>
                      <w:szCs w:val="18"/>
                      <w:highlight w:val="none"/>
                    </w:rPr>
                  </w:pPr>
                  <w:r>
                    <w:rPr>
                      <w:b/>
                      <w:color w:val="auto"/>
                      <w:sz w:val="18"/>
                      <w:szCs w:val="18"/>
                      <w:highlight w:val="none"/>
                    </w:rPr>
                    <w:t>序号</w:t>
                  </w:r>
                </w:p>
              </w:tc>
              <w:tc>
                <w:tcPr>
                  <w:tcW w:w="360" w:type="pct"/>
                  <w:noWrap w:val="0"/>
                  <w:vAlign w:val="center"/>
                </w:tcPr>
                <w:p w14:paraId="0ACFD3D2">
                  <w:pPr>
                    <w:jc w:val="center"/>
                    <w:rPr>
                      <w:b/>
                      <w:color w:val="auto"/>
                      <w:sz w:val="18"/>
                      <w:szCs w:val="18"/>
                      <w:highlight w:val="none"/>
                    </w:rPr>
                  </w:pPr>
                  <w:r>
                    <w:rPr>
                      <w:b/>
                      <w:color w:val="auto"/>
                      <w:sz w:val="18"/>
                      <w:szCs w:val="18"/>
                      <w:highlight w:val="none"/>
                    </w:rPr>
                    <w:t>危废</w:t>
                  </w:r>
                </w:p>
                <w:p w14:paraId="421E8DE2">
                  <w:pPr>
                    <w:jc w:val="center"/>
                    <w:rPr>
                      <w:b/>
                      <w:color w:val="auto"/>
                      <w:sz w:val="18"/>
                      <w:szCs w:val="18"/>
                      <w:highlight w:val="none"/>
                    </w:rPr>
                  </w:pPr>
                  <w:r>
                    <w:rPr>
                      <w:b/>
                      <w:color w:val="auto"/>
                      <w:sz w:val="18"/>
                      <w:szCs w:val="18"/>
                      <w:highlight w:val="none"/>
                    </w:rPr>
                    <w:t>名称</w:t>
                  </w:r>
                </w:p>
              </w:tc>
              <w:tc>
                <w:tcPr>
                  <w:tcW w:w="631" w:type="pct"/>
                  <w:noWrap w:val="0"/>
                  <w:vAlign w:val="center"/>
                </w:tcPr>
                <w:p w14:paraId="583D2480">
                  <w:pPr>
                    <w:jc w:val="center"/>
                    <w:rPr>
                      <w:b/>
                      <w:color w:val="auto"/>
                      <w:sz w:val="18"/>
                      <w:szCs w:val="18"/>
                      <w:highlight w:val="none"/>
                    </w:rPr>
                  </w:pPr>
                  <w:r>
                    <w:rPr>
                      <w:b/>
                      <w:color w:val="auto"/>
                      <w:sz w:val="18"/>
                      <w:szCs w:val="18"/>
                      <w:highlight w:val="none"/>
                    </w:rPr>
                    <w:t>危废</w:t>
                  </w:r>
                </w:p>
                <w:p w14:paraId="659F6365">
                  <w:pPr>
                    <w:jc w:val="center"/>
                    <w:rPr>
                      <w:b/>
                      <w:color w:val="auto"/>
                      <w:sz w:val="18"/>
                      <w:szCs w:val="18"/>
                      <w:highlight w:val="none"/>
                    </w:rPr>
                  </w:pPr>
                  <w:r>
                    <w:rPr>
                      <w:b/>
                      <w:color w:val="auto"/>
                      <w:sz w:val="18"/>
                      <w:szCs w:val="18"/>
                      <w:highlight w:val="none"/>
                    </w:rPr>
                    <w:t>类别</w:t>
                  </w:r>
                </w:p>
              </w:tc>
              <w:tc>
                <w:tcPr>
                  <w:tcW w:w="495" w:type="pct"/>
                  <w:noWrap w:val="0"/>
                  <w:vAlign w:val="center"/>
                </w:tcPr>
                <w:p w14:paraId="466D0943">
                  <w:pPr>
                    <w:jc w:val="center"/>
                    <w:rPr>
                      <w:b/>
                      <w:color w:val="auto"/>
                      <w:sz w:val="18"/>
                      <w:szCs w:val="18"/>
                      <w:highlight w:val="none"/>
                    </w:rPr>
                  </w:pPr>
                  <w:r>
                    <w:rPr>
                      <w:b/>
                      <w:color w:val="auto"/>
                      <w:sz w:val="18"/>
                      <w:szCs w:val="18"/>
                      <w:highlight w:val="none"/>
                    </w:rPr>
                    <w:t>危废</w:t>
                  </w:r>
                </w:p>
                <w:p w14:paraId="71DFF999">
                  <w:pPr>
                    <w:jc w:val="center"/>
                    <w:rPr>
                      <w:b/>
                      <w:color w:val="auto"/>
                      <w:sz w:val="18"/>
                      <w:szCs w:val="18"/>
                      <w:highlight w:val="none"/>
                    </w:rPr>
                  </w:pPr>
                  <w:r>
                    <w:rPr>
                      <w:b/>
                      <w:color w:val="auto"/>
                      <w:sz w:val="18"/>
                      <w:szCs w:val="18"/>
                      <w:highlight w:val="none"/>
                    </w:rPr>
                    <w:t>代码</w:t>
                  </w:r>
                </w:p>
              </w:tc>
              <w:tc>
                <w:tcPr>
                  <w:tcW w:w="563" w:type="pct"/>
                  <w:noWrap w:val="0"/>
                  <w:vAlign w:val="center"/>
                </w:tcPr>
                <w:p w14:paraId="7FBFF90B">
                  <w:pPr>
                    <w:ind w:left="-155" w:leftChars="-74" w:right="-63" w:rightChars="-30"/>
                    <w:jc w:val="center"/>
                    <w:rPr>
                      <w:b/>
                      <w:color w:val="auto"/>
                      <w:sz w:val="18"/>
                      <w:szCs w:val="18"/>
                      <w:highlight w:val="none"/>
                    </w:rPr>
                  </w:pPr>
                  <w:r>
                    <w:rPr>
                      <w:b/>
                      <w:color w:val="auto"/>
                      <w:sz w:val="18"/>
                      <w:szCs w:val="18"/>
                      <w:highlight w:val="none"/>
                    </w:rPr>
                    <w:t>产生量</w:t>
                  </w:r>
                </w:p>
                <w:p w14:paraId="76922EB2">
                  <w:pPr>
                    <w:ind w:left="-155" w:leftChars="-74" w:right="-63" w:rightChars="-30"/>
                    <w:jc w:val="center"/>
                    <w:rPr>
                      <w:b/>
                      <w:color w:val="auto"/>
                      <w:sz w:val="18"/>
                      <w:szCs w:val="18"/>
                      <w:highlight w:val="none"/>
                    </w:rPr>
                  </w:pPr>
                  <w:r>
                    <w:rPr>
                      <w:b/>
                      <w:color w:val="auto"/>
                      <w:sz w:val="18"/>
                      <w:szCs w:val="18"/>
                      <w:highlight w:val="none"/>
                    </w:rPr>
                    <w:t>t/a</w:t>
                  </w:r>
                </w:p>
              </w:tc>
              <w:tc>
                <w:tcPr>
                  <w:tcW w:w="359" w:type="pct"/>
                  <w:noWrap w:val="0"/>
                  <w:vAlign w:val="center"/>
                </w:tcPr>
                <w:p w14:paraId="4100F12A">
                  <w:pPr>
                    <w:ind w:left="-155" w:leftChars="-74" w:right="-170" w:rightChars="-81"/>
                    <w:jc w:val="center"/>
                    <w:rPr>
                      <w:b/>
                      <w:color w:val="auto"/>
                      <w:sz w:val="18"/>
                      <w:szCs w:val="18"/>
                      <w:highlight w:val="none"/>
                    </w:rPr>
                  </w:pPr>
                  <w:r>
                    <w:rPr>
                      <w:b/>
                      <w:color w:val="auto"/>
                      <w:sz w:val="18"/>
                      <w:szCs w:val="18"/>
                      <w:highlight w:val="none"/>
                    </w:rPr>
                    <w:t>产生</w:t>
                  </w:r>
                </w:p>
                <w:p w14:paraId="13809EDC">
                  <w:pPr>
                    <w:ind w:left="-155" w:leftChars="-74" w:right="-170" w:rightChars="-81"/>
                    <w:jc w:val="center"/>
                    <w:rPr>
                      <w:b/>
                      <w:color w:val="auto"/>
                      <w:sz w:val="18"/>
                      <w:szCs w:val="18"/>
                      <w:highlight w:val="none"/>
                    </w:rPr>
                  </w:pPr>
                  <w:r>
                    <w:rPr>
                      <w:b/>
                      <w:color w:val="auto"/>
                      <w:sz w:val="18"/>
                      <w:szCs w:val="18"/>
                      <w:highlight w:val="none"/>
                    </w:rPr>
                    <w:t>工序</w:t>
                  </w:r>
                </w:p>
              </w:tc>
              <w:tc>
                <w:tcPr>
                  <w:tcW w:w="359" w:type="pct"/>
                  <w:noWrap w:val="0"/>
                  <w:vAlign w:val="center"/>
                </w:tcPr>
                <w:p w14:paraId="60DAF70C">
                  <w:pPr>
                    <w:spacing w:beforeLines="50"/>
                    <w:ind w:left="-57" w:leftChars="-27" w:right="-12" w:rightChars="-6"/>
                    <w:jc w:val="center"/>
                    <w:rPr>
                      <w:b/>
                      <w:color w:val="auto"/>
                      <w:sz w:val="18"/>
                      <w:szCs w:val="18"/>
                      <w:highlight w:val="none"/>
                    </w:rPr>
                  </w:pPr>
                  <w:r>
                    <w:rPr>
                      <w:b/>
                      <w:color w:val="auto"/>
                      <w:sz w:val="18"/>
                      <w:szCs w:val="18"/>
                      <w:highlight w:val="none"/>
                    </w:rPr>
                    <w:t>形态</w:t>
                  </w:r>
                </w:p>
              </w:tc>
              <w:tc>
                <w:tcPr>
                  <w:tcW w:w="605" w:type="pct"/>
                  <w:noWrap w:val="0"/>
                  <w:vAlign w:val="center"/>
                </w:tcPr>
                <w:p w14:paraId="6B1AC5A3">
                  <w:pPr>
                    <w:ind w:left="-80" w:leftChars="-38" w:right="-8" w:rightChars="-4"/>
                    <w:jc w:val="center"/>
                    <w:rPr>
                      <w:b/>
                      <w:color w:val="auto"/>
                      <w:sz w:val="18"/>
                      <w:szCs w:val="18"/>
                      <w:highlight w:val="none"/>
                    </w:rPr>
                  </w:pPr>
                  <w:r>
                    <w:rPr>
                      <w:b/>
                      <w:color w:val="auto"/>
                      <w:sz w:val="18"/>
                      <w:szCs w:val="18"/>
                      <w:highlight w:val="none"/>
                    </w:rPr>
                    <w:t>有害</w:t>
                  </w:r>
                </w:p>
                <w:p w14:paraId="37419AA0">
                  <w:pPr>
                    <w:ind w:left="-80" w:leftChars="-38" w:right="-8" w:rightChars="-4"/>
                    <w:jc w:val="center"/>
                    <w:rPr>
                      <w:b/>
                      <w:color w:val="auto"/>
                      <w:sz w:val="18"/>
                      <w:szCs w:val="18"/>
                      <w:highlight w:val="none"/>
                    </w:rPr>
                  </w:pPr>
                  <w:r>
                    <w:rPr>
                      <w:b/>
                      <w:color w:val="auto"/>
                      <w:sz w:val="18"/>
                      <w:szCs w:val="18"/>
                      <w:highlight w:val="none"/>
                    </w:rPr>
                    <w:t>成分</w:t>
                  </w:r>
                </w:p>
              </w:tc>
              <w:tc>
                <w:tcPr>
                  <w:tcW w:w="563" w:type="pct"/>
                  <w:noWrap w:val="0"/>
                  <w:vAlign w:val="center"/>
                </w:tcPr>
                <w:p w14:paraId="64351DC4">
                  <w:pPr>
                    <w:ind w:left="-113" w:leftChars="-54" w:right="-103" w:rightChars="-49"/>
                    <w:jc w:val="center"/>
                    <w:rPr>
                      <w:b/>
                      <w:color w:val="auto"/>
                      <w:sz w:val="18"/>
                      <w:szCs w:val="18"/>
                      <w:highlight w:val="none"/>
                    </w:rPr>
                  </w:pPr>
                  <w:r>
                    <w:rPr>
                      <w:b/>
                      <w:color w:val="auto"/>
                      <w:sz w:val="18"/>
                      <w:szCs w:val="18"/>
                      <w:highlight w:val="none"/>
                    </w:rPr>
                    <w:t>处置量</w:t>
                  </w:r>
                </w:p>
                <w:p w14:paraId="26EE177A">
                  <w:pPr>
                    <w:ind w:left="-113" w:leftChars="-54" w:right="-103" w:rightChars="-49" w:firstLine="98" w:firstLineChars="54"/>
                    <w:jc w:val="center"/>
                    <w:rPr>
                      <w:b/>
                      <w:color w:val="auto"/>
                      <w:sz w:val="18"/>
                      <w:szCs w:val="18"/>
                      <w:highlight w:val="none"/>
                    </w:rPr>
                  </w:pPr>
                  <w:r>
                    <w:rPr>
                      <w:b/>
                      <w:color w:val="auto"/>
                      <w:sz w:val="18"/>
                      <w:szCs w:val="18"/>
                      <w:highlight w:val="none"/>
                    </w:rPr>
                    <w:t>t/a</w:t>
                  </w:r>
                </w:p>
              </w:tc>
              <w:tc>
                <w:tcPr>
                  <w:tcW w:w="459" w:type="pct"/>
                  <w:noWrap w:val="0"/>
                  <w:vAlign w:val="center"/>
                </w:tcPr>
                <w:p w14:paraId="7430E5C1">
                  <w:pPr>
                    <w:jc w:val="center"/>
                    <w:rPr>
                      <w:b/>
                      <w:color w:val="auto"/>
                      <w:sz w:val="18"/>
                      <w:szCs w:val="18"/>
                      <w:highlight w:val="none"/>
                    </w:rPr>
                  </w:pPr>
                  <w:r>
                    <w:rPr>
                      <w:b/>
                      <w:color w:val="auto"/>
                      <w:sz w:val="18"/>
                      <w:szCs w:val="18"/>
                      <w:highlight w:val="none"/>
                    </w:rPr>
                    <w:t>危险</w:t>
                  </w:r>
                </w:p>
                <w:p w14:paraId="42F69986">
                  <w:pPr>
                    <w:jc w:val="center"/>
                    <w:rPr>
                      <w:b/>
                      <w:color w:val="auto"/>
                      <w:sz w:val="18"/>
                      <w:szCs w:val="18"/>
                      <w:highlight w:val="none"/>
                    </w:rPr>
                  </w:pPr>
                  <w:r>
                    <w:rPr>
                      <w:b/>
                      <w:color w:val="auto"/>
                      <w:sz w:val="18"/>
                      <w:szCs w:val="18"/>
                      <w:highlight w:val="none"/>
                    </w:rPr>
                    <w:t>特性</w:t>
                  </w:r>
                </w:p>
              </w:tc>
              <w:tc>
                <w:tcPr>
                  <w:tcW w:w="401" w:type="pct"/>
                  <w:noWrap w:val="0"/>
                  <w:vAlign w:val="center"/>
                </w:tcPr>
                <w:p w14:paraId="59EC39A2">
                  <w:pPr>
                    <w:ind w:left="-105" w:leftChars="-50" w:right="-46" w:rightChars="-22"/>
                    <w:jc w:val="center"/>
                    <w:rPr>
                      <w:b/>
                      <w:color w:val="auto"/>
                      <w:sz w:val="18"/>
                      <w:szCs w:val="18"/>
                      <w:highlight w:val="none"/>
                    </w:rPr>
                  </w:pPr>
                  <w:r>
                    <w:rPr>
                      <w:b/>
                      <w:color w:val="auto"/>
                      <w:sz w:val="18"/>
                      <w:szCs w:val="18"/>
                      <w:highlight w:val="none"/>
                    </w:rPr>
                    <w:t>储存及处置措施</w:t>
                  </w:r>
                </w:p>
              </w:tc>
            </w:tr>
            <w:tr w14:paraId="25771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1" w:hRule="atLeast"/>
                <w:jc w:val="center"/>
              </w:trPr>
              <w:tc>
                <w:tcPr>
                  <w:tcW w:w="200" w:type="pct"/>
                  <w:noWrap w:val="0"/>
                  <w:vAlign w:val="center"/>
                </w:tcPr>
                <w:p w14:paraId="3390FEE6">
                  <w:pPr>
                    <w:pStyle w:val="1042"/>
                    <w:numPr>
                      <w:ilvl w:val="0"/>
                      <w:numId w:val="21"/>
                    </w:numPr>
                    <w:spacing w:beforeLines="50"/>
                    <w:ind w:firstLineChars="0"/>
                    <w:rPr>
                      <w:color w:val="auto"/>
                      <w:sz w:val="18"/>
                      <w:szCs w:val="18"/>
                      <w:highlight w:val="none"/>
                    </w:rPr>
                  </w:pPr>
                </w:p>
              </w:tc>
              <w:tc>
                <w:tcPr>
                  <w:tcW w:w="360" w:type="pct"/>
                  <w:noWrap w:val="0"/>
                  <w:vAlign w:val="center"/>
                </w:tcPr>
                <w:p w14:paraId="28DDF458">
                  <w:pPr>
                    <w:autoSpaceDE w:val="0"/>
                    <w:autoSpaceDN w:val="0"/>
                    <w:adjustRightInd w:val="0"/>
                    <w:spacing w:line="30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废润滑油及废油桶</w:t>
                  </w:r>
                </w:p>
              </w:tc>
              <w:tc>
                <w:tcPr>
                  <w:tcW w:w="631" w:type="pct"/>
                  <w:noWrap w:val="0"/>
                  <w:vAlign w:val="center"/>
                </w:tcPr>
                <w:p w14:paraId="1A4F6230">
                  <w:pPr>
                    <w:jc w:val="center"/>
                    <w:rPr>
                      <w:rFonts w:hint="default" w:eastAsia="宋体"/>
                      <w:color w:val="auto"/>
                      <w:kern w:val="2"/>
                      <w:sz w:val="18"/>
                      <w:szCs w:val="18"/>
                      <w:highlight w:val="none"/>
                      <w:lang w:val="en-US" w:eastAsia="zh-CN" w:bidi="ar-SA"/>
                    </w:rPr>
                  </w:pPr>
                  <w:r>
                    <w:rPr>
                      <w:color w:val="auto"/>
                      <w:sz w:val="18"/>
                      <w:szCs w:val="18"/>
                      <w:highlight w:val="none"/>
                    </w:rPr>
                    <w:t>HW</w:t>
                  </w:r>
                  <w:r>
                    <w:rPr>
                      <w:rFonts w:hint="eastAsia"/>
                      <w:color w:val="auto"/>
                      <w:sz w:val="18"/>
                      <w:szCs w:val="18"/>
                      <w:highlight w:val="none"/>
                      <w:lang w:val="en-US" w:eastAsia="zh-CN"/>
                    </w:rPr>
                    <w:t>08</w:t>
                  </w:r>
                </w:p>
              </w:tc>
              <w:tc>
                <w:tcPr>
                  <w:tcW w:w="495" w:type="pct"/>
                  <w:noWrap w:val="0"/>
                  <w:vAlign w:val="center"/>
                </w:tcPr>
                <w:p w14:paraId="322E3EB5">
                  <w:pPr>
                    <w:autoSpaceDE w:val="0"/>
                    <w:autoSpaceDN w:val="0"/>
                    <w:adjustRightInd w:val="0"/>
                    <w:spacing w:line="300" w:lineRule="exact"/>
                    <w:jc w:val="center"/>
                    <w:rPr>
                      <w:rFonts w:hint="eastAsia"/>
                      <w:color w:val="auto"/>
                      <w:kern w:val="2"/>
                      <w:sz w:val="18"/>
                      <w:szCs w:val="18"/>
                      <w:highlight w:val="none"/>
                      <w:lang w:val="en-US" w:eastAsia="zh-CN" w:bidi="ar-SA"/>
                    </w:rPr>
                  </w:pPr>
                  <w:r>
                    <w:rPr>
                      <w:rFonts w:hint="eastAsia"/>
                      <w:color w:val="auto"/>
                      <w:kern w:val="2"/>
                      <w:sz w:val="18"/>
                      <w:szCs w:val="18"/>
                      <w:highlight w:val="none"/>
                      <w:lang w:val="en-US" w:eastAsia="zh-CN" w:bidi="ar-SA"/>
                    </w:rPr>
                    <w:t>900-249-08</w:t>
                  </w:r>
                </w:p>
              </w:tc>
              <w:tc>
                <w:tcPr>
                  <w:tcW w:w="563" w:type="pct"/>
                  <w:noWrap w:val="0"/>
                  <w:vAlign w:val="center"/>
                </w:tcPr>
                <w:p w14:paraId="4BF63E80">
                  <w:pPr>
                    <w:autoSpaceDE w:val="0"/>
                    <w:autoSpaceDN w:val="0"/>
                    <w:adjustRightInd w:val="0"/>
                    <w:spacing w:line="300" w:lineRule="exact"/>
                    <w:jc w:val="center"/>
                    <w:rPr>
                      <w:rFonts w:hint="default"/>
                      <w:color w:val="auto"/>
                      <w:sz w:val="18"/>
                      <w:szCs w:val="18"/>
                      <w:highlight w:val="none"/>
                      <w:lang w:val="en-US" w:eastAsia="zh-CN"/>
                    </w:rPr>
                  </w:pPr>
                  <w:r>
                    <w:rPr>
                      <w:rFonts w:hint="eastAsia"/>
                      <w:color w:val="auto"/>
                      <w:sz w:val="18"/>
                      <w:szCs w:val="18"/>
                      <w:highlight w:val="none"/>
                      <w:lang w:val="en-US" w:eastAsia="zh-CN"/>
                    </w:rPr>
                    <w:t>0.08</w:t>
                  </w:r>
                </w:p>
              </w:tc>
              <w:tc>
                <w:tcPr>
                  <w:tcW w:w="359" w:type="pct"/>
                  <w:noWrap w:val="0"/>
                  <w:vAlign w:val="center"/>
                </w:tcPr>
                <w:p w14:paraId="03894317">
                  <w:pPr>
                    <w:jc w:val="center"/>
                    <w:rPr>
                      <w:rFonts w:hint="default"/>
                      <w:color w:val="auto"/>
                      <w:sz w:val="18"/>
                      <w:szCs w:val="18"/>
                      <w:highlight w:val="none"/>
                      <w:lang w:val="en-US" w:eastAsia="zh-CN"/>
                    </w:rPr>
                  </w:pPr>
                  <w:r>
                    <w:rPr>
                      <w:rFonts w:hint="eastAsia"/>
                      <w:color w:val="auto"/>
                      <w:sz w:val="18"/>
                      <w:szCs w:val="18"/>
                      <w:highlight w:val="none"/>
                      <w:lang w:val="en-US" w:eastAsia="zh-CN"/>
                    </w:rPr>
                    <w:t>设备维护</w:t>
                  </w:r>
                </w:p>
              </w:tc>
              <w:tc>
                <w:tcPr>
                  <w:tcW w:w="359" w:type="pct"/>
                  <w:noWrap w:val="0"/>
                  <w:vAlign w:val="center"/>
                </w:tcPr>
                <w:p w14:paraId="3BC66254">
                  <w:pPr>
                    <w:autoSpaceDE w:val="0"/>
                    <w:autoSpaceDN w:val="0"/>
                    <w:adjustRightInd w:val="0"/>
                    <w:spacing w:line="300" w:lineRule="exact"/>
                    <w:jc w:val="center"/>
                    <w:rPr>
                      <w:rFonts w:hint="default"/>
                      <w:color w:val="auto"/>
                      <w:sz w:val="18"/>
                      <w:szCs w:val="18"/>
                      <w:highlight w:val="none"/>
                      <w:lang w:val="en-US" w:eastAsia="zh-CN"/>
                    </w:rPr>
                  </w:pPr>
                  <w:r>
                    <w:rPr>
                      <w:rFonts w:hint="eastAsia"/>
                      <w:color w:val="auto"/>
                      <w:sz w:val="18"/>
                      <w:szCs w:val="18"/>
                      <w:highlight w:val="none"/>
                      <w:lang w:val="en-US" w:eastAsia="zh-CN"/>
                    </w:rPr>
                    <w:t>液体</w:t>
                  </w:r>
                </w:p>
              </w:tc>
              <w:tc>
                <w:tcPr>
                  <w:tcW w:w="605" w:type="pct"/>
                  <w:noWrap w:val="0"/>
                  <w:vAlign w:val="center"/>
                </w:tcPr>
                <w:p w14:paraId="68AF1307">
                  <w:pPr>
                    <w:autoSpaceDE w:val="0"/>
                    <w:autoSpaceDN w:val="0"/>
                    <w:adjustRightInd w:val="0"/>
                    <w:spacing w:line="300" w:lineRule="exact"/>
                    <w:jc w:val="center"/>
                    <w:rPr>
                      <w:rFonts w:hint="default"/>
                      <w:color w:val="auto"/>
                      <w:sz w:val="18"/>
                      <w:szCs w:val="18"/>
                      <w:highlight w:val="none"/>
                      <w:lang w:val="en-US" w:eastAsia="zh-CN"/>
                    </w:rPr>
                  </w:pPr>
                  <w:r>
                    <w:rPr>
                      <w:rFonts w:hint="eastAsia"/>
                      <w:color w:val="auto"/>
                      <w:sz w:val="18"/>
                      <w:szCs w:val="18"/>
                      <w:highlight w:val="none"/>
                      <w:lang w:val="en-US" w:eastAsia="zh-CN"/>
                    </w:rPr>
                    <w:t>沾染矿物油</w:t>
                  </w:r>
                </w:p>
              </w:tc>
              <w:tc>
                <w:tcPr>
                  <w:tcW w:w="563" w:type="pct"/>
                  <w:noWrap w:val="0"/>
                  <w:vAlign w:val="center"/>
                </w:tcPr>
                <w:p w14:paraId="56281343">
                  <w:pPr>
                    <w:autoSpaceDE w:val="0"/>
                    <w:autoSpaceDN w:val="0"/>
                    <w:adjustRightInd w:val="0"/>
                    <w:spacing w:line="300" w:lineRule="exact"/>
                    <w:jc w:val="center"/>
                    <w:rPr>
                      <w:rFonts w:hint="default"/>
                      <w:color w:val="auto"/>
                      <w:kern w:val="2"/>
                      <w:sz w:val="18"/>
                      <w:szCs w:val="18"/>
                      <w:highlight w:val="none"/>
                      <w:lang w:val="en-US" w:eastAsia="zh-CN" w:bidi="ar-SA"/>
                    </w:rPr>
                  </w:pPr>
                  <w:r>
                    <w:rPr>
                      <w:rFonts w:hint="eastAsia"/>
                      <w:color w:val="auto"/>
                      <w:sz w:val="18"/>
                      <w:szCs w:val="18"/>
                      <w:highlight w:val="none"/>
                      <w:lang w:val="en-US" w:eastAsia="zh-CN"/>
                    </w:rPr>
                    <w:t>0.27</w:t>
                  </w:r>
                </w:p>
              </w:tc>
              <w:tc>
                <w:tcPr>
                  <w:tcW w:w="459" w:type="pct"/>
                  <w:noWrap w:val="0"/>
                  <w:vAlign w:val="center"/>
                </w:tcPr>
                <w:p w14:paraId="7C386285">
                  <w:pPr>
                    <w:autoSpaceDE w:val="0"/>
                    <w:autoSpaceDN w:val="0"/>
                    <w:adjustRightInd w:val="0"/>
                    <w:spacing w:line="30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T，I</w:t>
                  </w:r>
                </w:p>
              </w:tc>
              <w:tc>
                <w:tcPr>
                  <w:tcW w:w="401" w:type="pct"/>
                  <w:noWrap w:val="0"/>
                  <w:vAlign w:val="center"/>
                </w:tcPr>
                <w:p w14:paraId="75162487">
                  <w:pPr>
                    <w:ind w:left="-99" w:leftChars="-47" w:right="-34" w:rightChars="-16"/>
                    <w:jc w:val="center"/>
                    <w:rPr>
                      <w:color w:val="auto"/>
                      <w:sz w:val="18"/>
                      <w:szCs w:val="18"/>
                      <w:highlight w:val="none"/>
                    </w:rPr>
                  </w:pPr>
                  <w:r>
                    <w:rPr>
                      <w:rFonts w:hint="eastAsia"/>
                      <w:color w:val="auto"/>
                      <w:sz w:val="18"/>
                      <w:szCs w:val="18"/>
                      <w:highlight w:val="none"/>
                    </w:rPr>
                    <w:t>暂存在危废暂存间</w:t>
                  </w:r>
                  <w:r>
                    <w:rPr>
                      <w:rFonts w:hint="eastAsia"/>
                      <w:color w:val="auto"/>
                      <w:sz w:val="18"/>
                      <w:szCs w:val="18"/>
                      <w:highlight w:val="none"/>
                      <w:lang w:eastAsia="zh-CN"/>
                    </w:rPr>
                    <w:t>，</w:t>
                  </w:r>
                  <w:r>
                    <w:rPr>
                      <w:rFonts w:hint="eastAsia"/>
                      <w:color w:val="auto"/>
                      <w:sz w:val="18"/>
                      <w:szCs w:val="18"/>
                      <w:highlight w:val="none"/>
                      <w:lang w:val="en-US" w:eastAsia="zh-CN"/>
                    </w:rPr>
                    <w:t>委托有资质的单位处置</w:t>
                  </w:r>
                </w:p>
              </w:tc>
            </w:tr>
          </w:tbl>
          <w:p w14:paraId="7DD94B79">
            <w:pPr>
              <w:adjustRightInd w:val="0"/>
              <w:snapToGrid w:val="0"/>
              <w:spacing w:line="360" w:lineRule="auto"/>
              <w:ind w:firstLine="422" w:firstLineChars="200"/>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2、环境管理要求</w:t>
            </w:r>
          </w:p>
          <w:p w14:paraId="4FBE99DF">
            <w:pPr>
              <w:adjustRightInd w:val="0"/>
              <w:snapToGrid w:val="0"/>
              <w:spacing w:line="360" w:lineRule="auto"/>
              <w:ind w:firstLine="443" w:firstLineChars="211"/>
              <w:rPr>
                <w:rFonts w:hint="eastAsia"/>
                <w:color w:val="auto"/>
                <w:lang w:eastAsia="zh-CN"/>
              </w:rPr>
            </w:pPr>
            <w:r>
              <w:rPr>
                <w:color w:val="auto"/>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2021年第82号）要求。贮存区采取防风防雨措施；各类固废应分类收集；贮存区按照《环境保护图形标志——固体废物贮存（处置）场》（GB15562.2）的要求设置环保图形标志；指定专人进行日常管理；做好一般固体废物台账记录，记录一般固废的产生及处置情况</w:t>
            </w:r>
            <w:r>
              <w:rPr>
                <w:rFonts w:hint="eastAsia"/>
                <w:color w:val="auto"/>
                <w:lang w:eastAsia="zh-CN"/>
              </w:rPr>
              <w:t>。</w:t>
            </w:r>
          </w:p>
          <w:p w14:paraId="7E0F5BD6">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eastAsia"/>
                <w:color w:val="auto"/>
                <w:szCs w:val="21"/>
                <w:highlight w:val="none"/>
                <w:lang w:eastAsia="zh-CN"/>
              </w:rPr>
            </w:pPr>
            <w:r>
              <w:rPr>
                <w:rFonts w:hint="eastAsia"/>
                <w:color w:val="auto"/>
                <w:szCs w:val="21"/>
                <w:highlight w:val="none"/>
                <w:lang w:eastAsia="zh-CN"/>
              </w:rPr>
              <w:t>厂区</w:t>
            </w:r>
            <w:r>
              <w:rPr>
                <w:rFonts w:hint="eastAsia"/>
                <w:color w:val="auto"/>
                <w:szCs w:val="21"/>
                <w:highlight w:val="none"/>
                <w:lang w:val="en-US" w:eastAsia="zh-CN"/>
              </w:rPr>
              <w:t>拟设置</w:t>
            </w:r>
            <w:r>
              <w:rPr>
                <w:color w:val="auto"/>
                <w:szCs w:val="21"/>
                <w:highlight w:val="none"/>
              </w:rPr>
              <w:t>1</w:t>
            </w:r>
            <w:r>
              <w:rPr>
                <w:rFonts w:hint="eastAsia"/>
                <w:color w:val="auto"/>
                <w:szCs w:val="21"/>
                <w:highlight w:val="none"/>
                <w:lang w:eastAsia="zh-CN"/>
              </w:rPr>
              <w:t>座</w:t>
            </w:r>
            <w:r>
              <w:rPr>
                <w:rFonts w:hint="eastAsia"/>
                <w:color w:val="auto"/>
                <w:szCs w:val="21"/>
                <w:highlight w:val="none"/>
                <w:lang w:val="en-US" w:eastAsia="zh-CN"/>
              </w:rPr>
              <w:t>10</w:t>
            </w:r>
            <w:r>
              <w:rPr>
                <w:rFonts w:hint="eastAsia"/>
                <w:color w:val="auto"/>
                <w:szCs w:val="21"/>
                <w:highlight w:val="none"/>
              </w:rPr>
              <w:t>m</w:t>
            </w:r>
            <w:r>
              <w:rPr>
                <w:rFonts w:hint="eastAsia"/>
                <w:color w:val="auto"/>
                <w:szCs w:val="21"/>
                <w:highlight w:val="none"/>
                <w:vertAlign w:val="superscript"/>
              </w:rPr>
              <w:t>2</w:t>
            </w:r>
            <w:r>
              <w:rPr>
                <w:color w:val="auto"/>
                <w:szCs w:val="21"/>
                <w:highlight w:val="none"/>
              </w:rPr>
              <w:t>危废</w:t>
            </w:r>
            <w:r>
              <w:rPr>
                <w:rFonts w:hint="eastAsia"/>
                <w:color w:val="auto"/>
                <w:szCs w:val="21"/>
                <w:highlight w:val="none"/>
                <w:lang w:eastAsia="zh-CN"/>
              </w:rPr>
              <w:t>间，高约</w:t>
            </w:r>
            <w:r>
              <w:rPr>
                <w:rFonts w:hint="eastAsia"/>
                <w:color w:val="auto"/>
                <w:szCs w:val="21"/>
                <w:highlight w:val="none"/>
                <w:lang w:val="en-US" w:eastAsia="zh-CN"/>
              </w:rPr>
              <w:t>2.5m</w:t>
            </w:r>
            <w:r>
              <w:rPr>
                <w:rFonts w:hint="eastAsia"/>
                <w:color w:val="auto"/>
                <w:szCs w:val="21"/>
                <w:highlight w:val="none"/>
              </w:rPr>
              <w:t>，位于</w:t>
            </w:r>
            <w:r>
              <w:rPr>
                <w:rFonts w:hint="eastAsia"/>
                <w:color w:val="auto"/>
                <w:szCs w:val="21"/>
                <w:highlight w:val="none"/>
                <w:lang w:val="en-US" w:eastAsia="zh-CN"/>
              </w:rPr>
              <w:t>车间</w:t>
            </w:r>
            <w:r>
              <w:rPr>
                <w:rFonts w:hint="eastAsia"/>
                <w:color w:val="auto"/>
                <w:szCs w:val="21"/>
                <w:highlight w:val="none"/>
                <w:lang w:eastAsia="zh-CN"/>
              </w:rPr>
              <w:t>内</w:t>
            </w:r>
            <w:r>
              <w:rPr>
                <w:rFonts w:hint="eastAsia"/>
                <w:color w:val="auto"/>
                <w:szCs w:val="21"/>
                <w:highlight w:val="none"/>
                <w:lang w:val="en-US" w:eastAsia="zh-CN"/>
              </w:rPr>
              <w:t>西南侧</w:t>
            </w:r>
            <w:r>
              <w:rPr>
                <w:rFonts w:hint="eastAsia"/>
                <w:color w:val="auto"/>
                <w:szCs w:val="21"/>
                <w:highlight w:val="none"/>
              </w:rPr>
              <w:t>，该危废间用于存放</w:t>
            </w:r>
            <w:r>
              <w:rPr>
                <w:rFonts w:hint="eastAsia"/>
                <w:color w:val="auto"/>
                <w:szCs w:val="21"/>
                <w:highlight w:val="none"/>
                <w:lang w:val="en-US" w:eastAsia="zh-CN"/>
              </w:rPr>
              <w:t>本</w:t>
            </w:r>
            <w:r>
              <w:rPr>
                <w:rFonts w:hint="eastAsia"/>
                <w:color w:val="auto"/>
                <w:szCs w:val="21"/>
                <w:highlight w:val="none"/>
                <w:lang w:eastAsia="zh-CN"/>
              </w:rPr>
              <w:t>项目</w:t>
            </w:r>
            <w:r>
              <w:rPr>
                <w:rFonts w:hint="eastAsia"/>
                <w:color w:val="auto"/>
                <w:szCs w:val="21"/>
                <w:highlight w:val="none"/>
              </w:rPr>
              <w:t>产生的危险废物</w:t>
            </w:r>
            <w:r>
              <w:rPr>
                <w:rFonts w:hint="eastAsia"/>
                <w:color w:val="auto"/>
                <w:szCs w:val="21"/>
                <w:highlight w:val="none"/>
                <w:lang w:eastAsia="zh-CN"/>
              </w:rPr>
              <w:t>。</w:t>
            </w:r>
          </w:p>
          <w:p w14:paraId="0C2DCE80">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kern w:val="0"/>
                <w:sz w:val="21"/>
                <w:szCs w:val="21"/>
                <w:highlight w:val="none"/>
                <w:lang w:val="zh-CN" w:eastAsia="zh-CN"/>
              </w:rPr>
            </w:pPr>
            <w:r>
              <w:rPr>
                <w:rFonts w:hint="eastAsia" w:cs="Times New Roman"/>
                <w:color w:val="auto"/>
                <w:kern w:val="0"/>
                <w:sz w:val="21"/>
                <w:szCs w:val="21"/>
                <w:highlight w:val="none"/>
                <w:lang w:val="zh-CN" w:eastAsia="zh-CN"/>
              </w:rPr>
              <w:t>危废间的建设及管理严格按照相关技术规范进行：</w:t>
            </w:r>
          </w:p>
          <w:p w14:paraId="343BFC4B">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kern w:val="0"/>
                <w:sz w:val="21"/>
                <w:szCs w:val="21"/>
                <w:highlight w:val="none"/>
                <w:lang w:val="zh-CN"/>
              </w:rPr>
            </w:pPr>
            <w:r>
              <w:rPr>
                <w:rFonts w:hint="eastAsia" w:ascii="Times New Roman" w:hAnsi="Times New Roman" w:cs="Times New Roman"/>
                <w:color w:val="auto"/>
                <w:kern w:val="0"/>
                <w:sz w:val="21"/>
                <w:szCs w:val="21"/>
                <w:highlight w:val="none"/>
                <w:lang w:val="en-US" w:eastAsia="zh-CN"/>
              </w:rPr>
              <w:t>a.</w:t>
            </w:r>
            <w:r>
              <w:rPr>
                <w:rFonts w:hint="default" w:ascii="Times New Roman" w:hAnsi="Times New Roman" w:cs="Times New Roman"/>
                <w:color w:val="auto"/>
                <w:kern w:val="0"/>
                <w:sz w:val="21"/>
                <w:szCs w:val="21"/>
                <w:highlight w:val="none"/>
                <w:lang w:val="zh-CN"/>
              </w:rPr>
              <w:t>危废暂存库要严格按照《危险废物贮存污染控制标准》（GB18597-20</w:t>
            </w:r>
            <w:r>
              <w:rPr>
                <w:rFonts w:hint="eastAsia" w:ascii="Times New Roman" w:hAnsi="Times New Roman" w:cs="Times New Roman"/>
                <w:color w:val="auto"/>
                <w:kern w:val="0"/>
                <w:sz w:val="21"/>
                <w:szCs w:val="21"/>
                <w:highlight w:val="none"/>
                <w:lang w:val="en-US" w:eastAsia="zh-CN"/>
              </w:rPr>
              <w:t>23</w:t>
            </w:r>
            <w:r>
              <w:rPr>
                <w:rFonts w:hint="default" w:ascii="Times New Roman" w:hAnsi="Times New Roman" w:cs="Times New Roman"/>
                <w:color w:val="auto"/>
                <w:kern w:val="0"/>
                <w:sz w:val="21"/>
                <w:szCs w:val="21"/>
                <w:highlight w:val="none"/>
                <w:lang w:val="zh-CN"/>
              </w:rPr>
              <w:t>）要求进行防渗工程设计施工，并配备消防设备。</w:t>
            </w:r>
          </w:p>
          <w:p w14:paraId="67F03715">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kern w:val="0"/>
                <w:sz w:val="21"/>
                <w:szCs w:val="21"/>
                <w:highlight w:val="none"/>
                <w:lang w:val="zh-CN"/>
              </w:rPr>
            </w:pPr>
            <w:r>
              <w:rPr>
                <w:rFonts w:hint="eastAsia" w:ascii="Times New Roman" w:hAnsi="Times New Roman" w:cs="Times New Roman"/>
                <w:color w:val="auto"/>
                <w:kern w:val="0"/>
                <w:sz w:val="21"/>
                <w:szCs w:val="21"/>
                <w:highlight w:val="none"/>
                <w:lang w:val="en-US" w:eastAsia="zh-CN"/>
              </w:rPr>
              <w:t>b.</w:t>
            </w:r>
            <w:r>
              <w:rPr>
                <w:rFonts w:hint="default" w:ascii="Times New Roman" w:hAnsi="Times New Roman" w:cs="Times New Roman"/>
                <w:color w:val="auto"/>
                <w:kern w:val="0"/>
                <w:sz w:val="21"/>
                <w:szCs w:val="21"/>
                <w:highlight w:val="none"/>
                <w:lang w:val="zh-CN"/>
              </w:rPr>
              <w:t>存储容器做到防腐、防漏，暂存于危废暂存间，设置危险废物标识。</w:t>
            </w:r>
          </w:p>
          <w:p w14:paraId="2D507EF9">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cs="Times New Roman"/>
                <w:color w:val="auto"/>
                <w:kern w:val="0"/>
                <w:sz w:val="24"/>
                <w:highlight w:val="none"/>
                <w:lang w:val="zh-CN"/>
              </w:rPr>
            </w:pPr>
            <w:r>
              <w:rPr>
                <w:rFonts w:hint="eastAsia" w:ascii="Times New Roman" w:hAnsi="Times New Roman" w:cs="Times New Roman"/>
                <w:color w:val="auto"/>
                <w:kern w:val="0"/>
                <w:sz w:val="21"/>
                <w:szCs w:val="21"/>
                <w:highlight w:val="none"/>
                <w:lang w:val="en-US" w:eastAsia="zh-CN"/>
              </w:rPr>
              <w:t>c.</w:t>
            </w:r>
            <w:r>
              <w:rPr>
                <w:rFonts w:hint="default" w:ascii="Times New Roman" w:hAnsi="Times New Roman" w:cs="Times New Roman"/>
                <w:color w:val="auto"/>
                <w:kern w:val="0"/>
                <w:sz w:val="21"/>
                <w:szCs w:val="21"/>
                <w:highlight w:val="none"/>
                <w:lang w:val="zh-CN"/>
              </w:rPr>
              <w:t>危险废物定期由有资质单位负责转运处理，企业不得私自转运。转移严格按照《危险废物转移管理办法》的相关要求执行。</w:t>
            </w:r>
          </w:p>
          <w:p w14:paraId="1A90C056">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color w:val="auto"/>
                <w:szCs w:val="21"/>
                <w:highlight w:val="none"/>
              </w:rPr>
            </w:pPr>
            <w:r>
              <w:rPr>
                <w:rFonts w:hint="eastAsia"/>
                <w:color w:val="auto"/>
                <w:szCs w:val="21"/>
                <w:highlight w:val="none"/>
                <w:lang w:eastAsia="zh-CN"/>
              </w:rPr>
              <w:t>本项目危险废物产生情况如下：</w:t>
            </w:r>
            <w:r>
              <w:rPr>
                <w:rFonts w:hint="eastAsia"/>
                <w:bCs/>
                <w:color w:val="auto"/>
                <w:highlight w:val="none"/>
                <w:lang w:val="en-US" w:eastAsia="zh-CN"/>
              </w:rPr>
              <w:t>废机油产生量为0.03</w:t>
            </w:r>
            <w:r>
              <w:rPr>
                <w:rFonts w:hint="eastAsia"/>
                <w:bCs/>
                <w:color w:val="auto"/>
                <w:highlight w:val="none"/>
                <w:lang w:val="de-DE" w:eastAsia="zh-CN"/>
              </w:rPr>
              <w:t>t/a，</w:t>
            </w:r>
            <w:r>
              <w:rPr>
                <w:rFonts w:hint="default" w:ascii="Times New Roman" w:hAnsi="Times New Roman" w:eastAsia="宋体" w:cs="Times New Roman"/>
                <w:color w:val="auto"/>
                <w:szCs w:val="21"/>
                <w:highlight w:val="none"/>
              </w:rPr>
              <w:t>桶装密闭</w:t>
            </w:r>
            <w:r>
              <w:rPr>
                <w:rFonts w:hint="default" w:ascii="Times New Roman" w:hAnsi="Times New Roman" w:eastAsia="宋体" w:cs="Times New Roman"/>
                <w:color w:val="auto"/>
                <w:szCs w:val="21"/>
                <w:highlight w:val="none"/>
                <w:lang w:val="en-US" w:eastAsia="zh-CN"/>
              </w:rPr>
              <w:t>保存</w:t>
            </w:r>
            <w:r>
              <w:rPr>
                <w:rFonts w:hint="eastAsia"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占地约2</w:t>
            </w:r>
            <w:r>
              <w:rPr>
                <w:rFonts w:hint="eastAsia"/>
                <w:bCs/>
                <w:color w:val="auto"/>
                <w:highlight w:val="none"/>
                <w:lang w:val="en-US" w:eastAsia="zh-CN"/>
              </w:rPr>
              <w:t>m</w:t>
            </w:r>
            <w:r>
              <w:rPr>
                <w:rFonts w:hint="eastAsia"/>
                <w:bCs/>
                <w:color w:val="auto"/>
                <w:highlight w:val="none"/>
                <w:vertAlign w:val="superscript"/>
                <w:lang w:val="en-US" w:eastAsia="zh-CN"/>
              </w:rPr>
              <w:t>2</w:t>
            </w:r>
            <w:r>
              <w:rPr>
                <w:rFonts w:hint="eastAsia"/>
                <w:bCs/>
                <w:color w:val="auto"/>
                <w:highlight w:val="none"/>
                <w:lang w:val="de-DE" w:eastAsia="zh-CN"/>
              </w:rPr>
              <w:t>；</w:t>
            </w:r>
            <w:r>
              <w:rPr>
                <w:rFonts w:hint="eastAsia"/>
                <w:bCs/>
                <w:color w:val="auto"/>
                <w:highlight w:val="none"/>
                <w:vertAlign w:val="baseline"/>
                <w:lang w:val="en-US" w:eastAsia="zh-CN"/>
              </w:rPr>
              <w:t>。本项目危废间占地面积为10</w:t>
            </w:r>
            <w:r>
              <w:rPr>
                <w:rFonts w:hint="eastAsia"/>
                <w:bCs/>
                <w:color w:val="auto"/>
                <w:highlight w:val="none"/>
                <w:lang w:val="en-US" w:eastAsia="zh-CN"/>
              </w:rPr>
              <w:t>m</w:t>
            </w:r>
            <w:r>
              <w:rPr>
                <w:rFonts w:hint="eastAsia"/>
                <w:bCs/>
                <w:color w:val="auto"/>
                <w:highlight w:val="none"/>
                <w:vertAlign w:val="superscript"/>
                <w:lang w:val="en-US" w:eastAsia="zh-CN"/>
              </w:rPr>
              <w:t>2</w:t>
            </w:r>
            <w:r>
              <w:rPr>
                <w:rFonts w:hint="eastAsia"/>
                <w:bCs/>
                <w:color w:val="auto"/>
                <w:highlight w:val="none"/>
                <w:lang w:val="de-DE" w:eastAsia="zh-CN"/>
              </w:rPr>
              <w:t>。本项目建成后危险废物总占地约</w:t>
            </w:r>
            <w:r>
              <w:rPr>
                <w:rFonts w:hint="eastAsia"/>
                <w:bCs/>
                <w:color w:val="auto"/>
                <w:highlight w:val="none"/>
                <w:lang w:val="en-US" w:eastAsia="zh-CN"/>
              </w:rPr>
              <w:t>7m</w:t>
            </w:r>
            <w:r>
              <w:rPr>
                <w:rFonts w:hint="eastAsia"/>
                <w:bCs/>
                <w:color w:val="auto"/>
                <w:highlight w:val="none"/>
                <w:vertAlign w:val="superscript"/>
                <w:lang w:val="en-US" w:eastAsia="zh-CN"/>
              </w:rPr>
              <w:t>2</w:t>
            </w:r>
            <w:r>
              <w:rPr>
                <w:rFonts w:hint="eastAsia"/>
                <w:bCs/>
                <w:color w:val="auto"/>
                <w:highlight w:val="none"/>
                <w:lang w:val="de-DE" w:eastAsia="zh-CN"/>
              </w:rPr>
              <w:t>。定期做好危废处置工作，</w:t>
            </w:r>
            <w:r>
              <w:rPr>
                <w:color w:val="auto"/>
                <w:szCs w:val="21"/>
                <w:highlight w:val="none"/>
              </w:rPr>
              <w:t>危废间</w:t>
            </w:r>
            <w:r>
              <w:rPr>
                <w:rFonts w:hint="eastAsia"/>
                <w:color w:val="auto"/>
                <w:szCs w:val="21"/>
                <w:highlight w:val="none"/>
              </w:rPr>
              <w:t>可以满足存放要求。</w:t>
            </w:r>
            <w:r>
              <w:rPr>
                <w:color w:val="auto"/>
                <w:szCs w:val="21"/>
                <w:highlight w:val="none"/>
              </w:rPr>
              <w:t>危险废物储存在该危险废物暂存间中，分类储存，严</w:t>
            </w:r>
            <w:r>
              <w:rPr>
                <w:rFonts w:hint="eastAsia"/>
                <w:color w:val="auto"/>
                <w:szCs w:val="21"/>
                <w:highlight w:val="none"/>
                <w:lang w:val="en-US" w:eastAsia="zh-CN"/>
              </w:rPr>
              <w:t>禁</w:t>
            </w:r>
            <w:r>
              <w:rPr>
                <w:color w:val="auto"/>
                <w:szCs w:val="21"/>
                <w:highlight w:val="none"/>
              </w:rPr>
              <w:t>烟火和外人出入。危废</w:t>
            </w:r>
            <w:r>
              <w:rPr>
                <w:rFonts w:hint="eastAsia"/>
                <w:color w:val="auto"/>
                <w:szCs w:val="21"/>
                <w:highlight w:val="none"/>
                <w:lang w:eastAsia="zh-CN"/>
              </w:rPr>
              <w:t>仓库</w:t>
            </w:r>
            <w:r>
              <w:rPr>
                <w:color w:val="auto"/>
                <w:szCs w:val="21"/>
                <w:highlight w:val="none"/>
              </w:rPr>
              <w:t>地面做硬化处理，设置围堰，不同种类的危险废物分类存放。危废暂存间设置相应的环境保护图形标志。</w:t>
            </w:r>
          </w:p>
          <w:p w14:paraId="1767690F">
            <w:pPr>
              <w:keepNext w:val="0"/>
              <w:keepLines w:val="0"/>
              <w:pageBreakBefore w:val="0"/>
              <w:widowControl w:val="0"/>
              <w:kinsoku/>
              <w:wordWrap/>
              <w:overflowPunct/>
              <w:topLinePunct w:val="0"/>
              <w:autoSpaceDE w:val="0"/>
              <w:autoSpaceDN w:val="0"/>
              <w:bidi w:val="0"/>
              <w:adjustRightInd w:val="0"/>
              <w:snapToGrid w:val="0"/>
              <w:spacing w:line="360" w:lineRule="auto"/>
              <w:ind w:firstLine="25" w:firstLineChars="12"/>
              <w:jc w:val="center"/>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表4-</w:t>
            </w:r>
            <w:r>
              <w:rPr>
                <w:rFonts w:hint="eastAsia" w:cs="Times New Roman"/>
                <w:b/>
                <w:bCs/>
                <w:color w:val="auto"/>
                <w:szCs w:val="21"/>
                <w:highlight w:val="none"/>
                <w:lang w:val="en-US" w:eastAsia="zh-CN"/>
              </w:rPr>
              <w:t>17</w:t>
            </w:r>
            <w:r>
              <w:rPr>
                <w:rFonts w:hint="default" w:ascii="Times New Roman" w:hAnsi="Times New Roman" w:eastAsia="宋体" w:cs="Times New Roman"/>
                <w:b/>
                <w:bCs/>
                <w:color w:val="auto"/>
                <w:szCs w:val="21"/>
                <w:highlight w:val="none"/>
              </w:rPr>
              <w:t>项目危险废物贮存场所（设施）基本情况表</w:t>
            </w:r>
          </w:p>
          <w:tbl>
            <w:tblPr>
              <w:tblStyle w:val="83"/>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29"/>
              <w:gridCol w:w="1222"/>
              <w:gridCol w:w="968"/>
              <w:gridCol w:w="779"/>
              <w:gridCol w:w="1294"/>
              <w:gridCol w:w="883"/>
              <w:gridCol w:w="688"/>
              <w:gridCol w:w="1080"/>
              <w:gridCol w:w="1025"/>
            </w:tblGrid>
            <w:tr w14:paraId="1353B0E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56" w:type="pct"/>
                  <w:tcBorders>
                    <w:top w:val="single" w:color="auto" w:sz="2" w:space="0"/>
                    <w:left w:val="single" w:color="auto" w:sz="2" w:space="0"/>
                    <w:bottom w:val="single" w:color="auto" w:sz="2" w:space="0"/>
                    <w:right w:val="single" w:color="auto" w:sz="2" w:space="0"/>
                  </w:tcBorders>
                  <w:noWrap w:val="0"/>
                  <w:vAlign w:val="center"/>
                </w:tcPr>
                <w:p w14:paraId="0A7A0DA5">
                  <w:pPr>
                    <w:spacing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序号</w:t>
                  </w:r>
                </w:p>
              </w:tc>
              <w:tc>
                <w:tcPr>
                  <w:tcW w:w="730" w:type="pct"/>
                  <w:tcBorders>
                    <w:top w:val="single" w:color="auto" w:sz="2" w:space="0"/>
                    <w:left w:val="single" w:color="auto" w:sz="2" w:space="0"/>
                    <w:bottom w:val="single" w:color="auto" w:sz="2" w:space="0"/>
                    <w:right w:val="single" w:color="auto" w:sz="2" w:space="0"/>
                  </w:tcBorders>
                  <w:noWrap w:val="0"/>
                  <w:vAlign w:val="center"/>
                </w:tcPr>
                <w:p w14:paraId="67B9E92C">
                  <w:pPr>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贮存场所</w:t>
                  </w:r>
                </w:p>
                <w:p w14:paraId="518515A9">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bCs/>
                      <w:color w:val="auto"/>
                      <w:sz w:val="18"/>
                      <w:szCs w:val="18"/>
                      <w:highlight w:val="none"/>
                    </w:rPr>
                    <w:t>名称</w:t>
                  </w:r>
                </w:p>
              </w:tc>
              <w:tc>
                <w:tcPr>
                  <w:tcW w:w="578" w:type="pct"/>
                  <w:tcBorders>
                    <w:top w:val="single" w:color="auto" w:sz="2" w:space="0"/>
                    <w:left w:val="single" w:color="auto" w:sz="2" w:space="0"/>
                    <w:bottom w:val="single" w:color="auto" w:sz="2" w:space="0"/>
                    <w:right w:val="single" w:color="auto" w:sz="2" w:space="0"/>
                  </w:tcBorders>
                  <w:noWrap w:val="0"/>
                  <w:vAlign w:val="center"/>
                </w:tcPr>
                <w:p w14:paraId="4F677916">
                  <w:pPr>
                    <w:spacing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危险废物名称</w:t>
                  </w:r>
                </w:p>
              </w:tc>
              <w:tc>
                <w:tcPr>
                  <w:tcW w:w="465" w:type="pct"/>
                  <w:tcBorders>
                    <w:top w:val="single" w:color="auto" w:sz="2" w:space="0"/>
                    <w:left w:val="single" w:color="auto" w:sz="2" w:space="0"/>
                    <w:bottom w:val="single" w:color="auto" w:sz="2" w:space="0"/>
                    <w:right w:val="single" w:color="auto" w:sz="2" w:space="0"/>
                  </w:tcBorders>
                  <w:noWrap w:val="0"/>
                  <w:vAlign w:val="center"/>
                </w:tcPr>
                <w:p w14:paraId="57D75CB7">
                  <w:pPr>
                    <w:spacing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危险废物类别</w:t>
                  </w:r>
                </w:p>
              </w:tc>
              <w:tc>
                <w:tcPr>
                  <w:tcW w:w="773" w:type="pct"/>
                  <w:tcBorders>
                    <w:top w:val="single" w:color="auto" w:sz="2" w:space="0"/>
                    <w:left w:val="single" w:color="auto" w:sz="2" w:space="0"/>
                    <w:bottom w:val="single" w:color="auto" w:sz="2" w:space="0"/>
                    <w:right w:val="single" w:color="auto" w:sz="2" w:space="0"/>
                  </w:tcBorders>
                  <w:noWrap w:val="0"/>
                  <w:vAlign w:val="center"/>
                </w:tcPr>
                <w:p w14:paraId="029E62D6">
                  <w:pPr>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bCs/>
                      <w:color w:val="auto"/>
                      <w:sz w:val="18"/>
                      <w:szCs w:val="18"/>
                      <w:highlight w:val="none"/>
                    </w:rPr>
                    <w:t>危险废物代码</w:t>
                  </w:r>
                </w:p>
              </w:tc>
              <w:tc>
                <w:tcPr>
                  <w:tcW w:w="527" w:type="pct"/>
                  <w:tcBorders>
                    <w:top w:val="single" w:color="auto" w:sz="2" w:space="0"/>
                    <w:left w:val="single" w:color="auto" w:sz="2" w:space="0"/>
                    <w:bottom w:val="single" w:color="auto" w:sz="2" w:space="0"/>
                    <w:right w:val="single" w:color="auto" w:sz="2" w:space="0"/>
                  </w:tcBorders>
                  <w:noWrap w:val="0"/>
                  <w:vAlign w:val="center"/>
                </w:tcPr>
                <w:p w14:paraId="7E040399">
                  <w:pPr>
                    <w:spacing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位置</w:t>
                  </w:r>
                </w:p>
              </w:tc>
              <w:tc>
                <w:tcPr>
                  <w:tcW w:w="411" w:type="pct"/>
                  <w:tcBorders>
                    <w:top w:val="single" w:color="auto" w:sz="2" w:space="0"/>
                    <w:left w:val="single" w:color="auto" w:sz="2" w:space="0"/>
                    <w:bottom w:val="single" w:color="auto" w:sz="2" w:space="0"/>
                    <w:right w:val="single" w:color="auto" w:sz="2" w:space="0"/>
                  </w:tcBorders>
                  <w:noWrap w:val="0"/>
                  <w:vAlign w:val="center"/>
                </w:tcPr>
                <w:p w14:paraId="4AC15688">
                  <w:pPr>
                    <w:spacing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占地面积</w:t>
                  </w:r>
                </w:p>
              </w:tc>
              <w:tc>
                <w:tcPr>
                  <w:tcW w:w="645" w:type="pct"/>
                  <w:tcBorders>
                    <w:top w:val="single" w:color="auto" w:sz="2" w:space="0"/>
                    <w:left w:val="single" w:color="auto" w:sz="2" w:space="0"/>
                    <w:bottom w:val="single" w:color="auto" w:sz="2" w:space="0"/>
                    <w:right w:val="single" w:color="auto" w:sz="2" w:space="0"/>
                  </w:tcBorders>
                  <w:noWrap w:val="0"/>
                  <w:vAlign w:val="center"/>
                </w:tcPr>
                <w:p w14:paraId="31555F6A">
                  <w:pPr>
                    <w:spacing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贮存方式</w:t>
                  </w:r>
                </w:p>
              </w:tc>
              <w:tc>
                <w:tcPr>
                  <w:tcW w:w="612" w:type="pct"/>
                  <w:tcBorders>
                    <w:top w:val="single" w:color="auto" w:sz="2" w:space="0"/>
                    <w:left w:val="single" w:color="auto" w:sz="2" w:space="0"/>
                    <w:bottom w:val="single" w:color="auto" w:sz="2" w:space="0"/>
                    <w:right w:val="single" w:color="auto" w:sz="2" w:space="0"/>
                  </w:tcBorders>
                  <w:noWrap w:val="0"/>
                  <w:vAlign w:val="center"/>
                </w:tcPr>
                <w:p w14:paraId="4B6A6D43">
                  <w:pPr>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贮存</w:t>
                  </w:r>
                </w:p>
                <w:p w14:paraId="648844FC">
                  <w:pPr>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周期</w:t>
                  </w:r>
                </w:p>
              </w:tc>
            </w:tr>
            <w:tr w14:paraId="2417F51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56" w:type="pct"/>
                  <w:tcBorders>
                    <w:top w:val="single" w:color="auto" w:sz="2" w:space="0"/>
                    <w:left w:val="single" w:color="auto" w:sz="2" w:space="0"/>
                    <w:right w:val="single" w:color="auto" w:sz="2" w:space="0"/>
                  </w:tcBorders>
                  <w:noWrap w:val="0"/>
                  <w:vAlign w:val="center"/>
                </w:tcPr>
                <w:p w14:paraId="1BB584E3">
                  <w:pPr>
                    <w:pStyle w:val="1042"/>
                    <w:numPr>
                      <w:ilvl w:val="0"/>
                      <w:numId w:val="22"/>
                    </w:numPr>
                    <w:spacing w:beforeLines="50"/>
                    <w:ind w:right="-124" w:rightChars="-59" w:firstLine="0" w:firstLineChars="0"/>
                    <w:jc w:val="center"/>
                    <w:rPr>
                      <w:rStyle w:val="227"/>
                      <w:rFonts w:hint="default" w:ascii="Times New Roman" w:hAnsi="Times New Roman" w:eastAsia="宋体" w:cs="Times New Roman"/>
                      <w:color w:val="auto"/>
                      <w:sz w:val="18"/>
                      <w:szCs w:val="18"/>
                      <w:highlight w:val="none"/>
                    </w:rPr>
                  </w:pPr>
                </w:p>
              </w:tc>
              <w:tc>
                <w:tcPr>
                  <w:tcW w:w="730" w:type="pct"/>
                  <w:tcBorders>
                    <w:top w:val="single" w:color="auto" w:sz="2" w:space="0"/>
                    <w:left w:val="single" w:color="auto" w:sz="2" w:space="0"/>
                    <w:right w:val="single" w:color="auto" w:sz="2" w:space="0"/>
                  </w:tcBorders>
                  <w:noWrap w:val="0"/>
                  <w:vAlign w:val="center"/>
                </w:tcPr>
                <w:p w14:paraId="6CA29EC6">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危废暂存间</w:t>
                  </w:r>
                </w:p>
              </w:tc>
              <w:tc>
                <w:tcPr>
                  <w:tcW w:w="578"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79407D87">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废机油</w:t>
                  </w:r>
                </w:p>
              </w:tc>
              <w:tc>
                <w:tcPr>
                  <w:tcW w:w="465"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14D743D3">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HW08</w:t>
                  </w:r>
                </w:p>
              </w:tc>
              <w:tc>
                <w:tcPr>
                  <w:tcW w:w="773"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5BFD4C12">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900-214-08</w:t>
                  </w:r>
                </w:p>
              </w:tc>
              <w:tc>
                <w:tcPr>
                  <w:tcW w:w="527" w:type="pct"/>
                  <w:tcBorders>
                    <w:top w:val="single" w:color="auto" w:sz="2" w:space="0"/>
                    <w:left w:val="single" w:color="auto" w:sz="2" w:space="0"/>
                    <w:right w:val="single" w:color="auto" w:sz="2" w:space="0"/>
                  </w:tcBorders>
                  <w:noWrap w:val="0"/>
                  <w:vAlign w:val="center"/>
                </w:tcPr>
                <w:p w14:paraId="0857BDA6">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成品包装区南侧</w:t>
                  </w:r>
                </w:p>
              </w:tc>
              <w:tc>
                <w:tcPr>
                  <w:tcW w:w="411" w:type="pct"/>
                  <w:tcBorders>
                    <w:top w:val="single" w:color="auto" w:sz="2" w:space="0"/>
                    <w:left w:val="single" w:color="auto" w:sz="2" w:space="0"/>
                    <w:right w:val="single" w:color="auto" w:sz="2" w:space="0"/>
                  </w:tcBorders>
                  <w:shd w:val="clear" w:color="auto" w:fill="auto"/>
                  <w:noWrap w:val="0"/>
                  <w:vAlign w:val="center"/>
                </w:tcPr>
                <w:p w14:paraId="25AABE0F">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2</w:t>
                  </w:r>
                </w:p>
              </w:tc>
              <w:tc>
                <w:tcPr>
                  <w:tcW w:w="645"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3ED63A89">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桶装，密闭</w:t>
                  </w:r>
                  <w:r>
                    <w:rPr>
                      <w:rFonts w:hint="eastAsia" w:cs="Times New Roman"/>
                      <w:color w:val="auto"/>
                      <w:sz w:val="18"/>
                      <w:szCs w:val="18"/>
                      <w:highlight w:val="none"/>
                      <w:lang w:val="en-US" w:eastAsia="zh-CN"/>
                    </w:rPr>
                    <w:t>保存</w:t>
                  </w:r>
                </w:p>
              </w:tc>
              <w:tc>
                <w:tcPr>
                  <w:tcW w:w="612"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25563DD6">
                  <w:pPr>
                    <w:autoSpaceDE w:val="0"/>
                    <w:autoSpaceDN w:val="0"/>
                    <w:adjustRightInd w:val="0"/>
                    <w:spacing w:line="300" w:lineRule="exact"/>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1年</w:t>
                  </w:r>
                </w:p>
              </w:tc>
            </w:tr>
          </w:tbl>
          <w:p w14:paraId="3370AEB8">
            <w:pPr>
              <w:adjustRightInd w:val="0"/>
              <w:snapToGrid w:val="0"/>
              <w:spacing w:line="360" w:lineRule="auto"/>
              <w:ind w:firstLine="443" w:firstLineChars="211"/>
              <w:rPr>
                <w:rFonts w:hint="eastAsia" w:eastAsia="宋体"/>
                <w:color w:val="auto"/>
                <w:lang w:eastAsia="zh-CN"/>
              </w:rPr>
            </w:pPr>
            <w:r>
              <w:rPr>
                <w:color w:val="auto"/>
                <w:szCs w:val="21"/>
                <w:highlight w:val="none"/>
              </w:rPr>
              <w:t>本项目产生的危险废物储存时间较短，危险废物定期清理，存放于危险暂存间中，及时交</w:t>
            </w:r>
            <w:r>
              <w:rPr>
                <w:rFonts w:hint="eastAsia"/>
                <w:color w:val="auto"/>
                <w:szCs w:val="21"/>
                <w:highlight w:val="none"/>
              </w:rPr>
              <w:t>由</w:t>
            </w:r>
            <w:r>
              <w:rPr>
                <w:color w:val="auto"/>
                <w:szCs w:val="21"/>
                <w:highlight w:val="none"/>
              </w:rPr>
              <w:t>相应的危险废物处置单位进行处理。采取以上措施后，本项目危险废物可以得到有效处理，不会对环境造成影响</w:t>
            </w:r>
            <w:r>
              <w:rPr>
                <w:rFonts w:hint="eastAsia"/>
                <w:color w:val="auto"/>
                <w:lang w:eastAsia="zh-CN"/>
              </w:rPr>
              <w:t>。</w:t>
            </w:r>
          </w:p>
          <w:p w14:paraId="58E5F48C">
            <w:pPr>
              <w:adjustRightInd w:val="0"/>
              <w:snapToGrid w:val="0"/>
              <w:spacing w:line="360" w:lineRule="auto"/>
              <w:ind w:firstLine="422" w:firstLineChars="200"/>
              <w:rPr>
                <w:b/>
                <w:color w:val="auto"/>
              </w:rPr>
            </w:pPr>
            <w:r>
              <w:rPr>
                <w:b/>
                <w:color w:val="auto"/>
              </w:rPr>
              <w:t>五、地下水</w:t>
            </w:r>
          </w:p>
          <w:p w14:paraId="7C5B0E1D">
            <w:pPr>
              <w:adjustRightInd w:val="0"/>
              <w:snapToGrid w:val="0"/>
              <w:spacing w:line="360" w:lineRule="auto"/>
              <w:ind w:firstLine="420" w:firstLineChars="200"/>
              <w:rPr>
                <w:bCs/>
                <w:color w:val="auto"/>
              </w:rPr>
            </w:pPr>
            <w:r>
              <w:rPr>
                <w:bCs/>
                <w:color w:val="auto"/>
              </w:rPr>
              <w:t>1、污染途径、类型</w:t>
            </w:r>
          </w:p>
          <w:p w14:paraId="421BE731">
            <w:pPr>
              <w:adjustRightInd w:val="0"/>
              <w:snapToGrid w:val="0"/>
              <w:spacing w:line="360" w:lineRule="auto"/>
              <w:ind w:firstLine="420" w:firstLineChars="200"/>
              <w:rPr>
                <w:color w:val="auto"/>
              </w:rPr>
            </w:pPr>
            <w:r>
              <w:rPr>
                <w:rFonts w:hint="eastAsia"/>
                <w:color w:val="auto"/>
                <w:lang w:eastAsia="zh-CN"/>
              </w:rPr>
              <w:t>本项目</w:t>
            </w:r>
            <w:r>
              <w:rPr>
                <w:color w:val="auto"/>
              </w:rPr>
              <w:t>污染源主要为</w:t>
            </w:r>
            <w:r>
              <w:rPr>
                <w:rFonts w:hint="eastAsia"/>
                <w:color w:val="auto"/>
                <w:lang w:eastAsia="zh-CN"/>
              </w:rPr>
              <w:t>化粪池、</w:t>
            </w:r>
            <w:r>
              <w:rPr>
                <w:rFonts w:hint="eastAsia"/>
                <w:color w:val="auto"/>
                <w:lang w:val="en-US" w:eastAsia="zh-CN"/>
              </w:rPr>
              <w:t>危废间</w:t>
            </w:r>
            <w:r>
              <w:rPr>
                <w:color w:val="auto"/>
              </w:rPr>
              <w:t>。主要污染因子为COD、氨氮</w:t>
            </w:r>
            <w:r>
              <w:rPr>
                <w:rFonts w:hint="eastAsia"/>
                <w:color w:val="auto"/>
                <w:lang w:eastAsia="zh-CN"/>
              </w:rPr>
              <w:t>、</w:t>
            </w:r>
            <w:r>
              <w:rPr>
                <w:rFonts w:hint="eastAsia"/>
                <w:color w:val="auto"/>
                <w:lang w:val="en-US" w:eastAsia="zh-CN"/>
              </w:rPr>
              <w:t>石油类</w:t>
            </w:r>
            <w:r>
              <w:rPr>
                <w:color w:val="auto"/>
              </w:rPr>
              <w:t>等。</w:t>
            </w:r>
            <w:r>
              <w:rPr>
                <w:rFonts w:hint="eastAsia"/>
                <w:color w:val="auto"/>
                <w:lang w:val="en-US" w:eastAsia="zh-CN"/>
              </w:rPr>
              <w:t>本项目租赁现有厂房进行生产，依托的</w:t>
            </w:r>
            <w:r>
              <w:rPr>
                <w:color w:val="auto"/>
              </w:rPr>
              <w:t>化粪池</w:t>
            </w:r>
            <w:r>
              <w:rPr>
                <w:rFonts w:hint="eastAsia"/>
                <w:color w:val="auto"/>
                <w:lang w:eastAsia="zh-CN"/>
              </w:rPr>
              <w:t>已</w:t>
            </w:r>
            <w:r>
              <w:rPr>
                <w:color w:val="auto"/>
              </w:rPr>
              <w:t>进行相应的防渗和硬化处理，即使上述污染源发生泄漏在防渗层完好的情况下也不会发生垂直入渗现象。故而本项目对地下水几乎无影响途径。</w:t>
            </w:r>
          </w:p>
          <w:p w14:paraId="1394B331">
            <w:pPr>
              <w:adjustRightInd w:val="0"/>
              <w:snapToGrid w:val="0"/>
              <w:spacing w:line="360" w:lineRule="auto"/>
              <w:ind w:firstLine="420" w:firstLineChars="200"/>
              <w:rPr>
                <w:bCs/>
                <w:color w:val="auto"/>
              </w:rPr>
            </w:pPr>
            <w:r>
              <w:rPr>
                <w:bCs/>
                <w:color w:val="auto"/>
              </w:rPr>
              <w:t>2、采取保护措施</w:t>
            </w:r>
          </w:p>
          <w:p w14:paraId="52EDDC37">
            <w:pPr>
              <w:adjustRightInd w:val="0"/>
              <w:snapToGrid w:val="0"/>
              <w:spacing w:line="360" w:lineRule="auto"/>
              <w:ind w:firstLine="420" w:firstLineChars="200"/>
              <w:rPr>
                <w:bCs/>
                <w:color w:val="auto"/>
              </w:rPr>
            </w:pPr>
            <w:r>
              <w:rPr>
                <w:bCs/>
                <w:color w:val="auto"/>
              </w:rPr>
              <w:t>本项目</w:t>
            </w:r>
            <w:r>
              <w:rPr>
                <w:color w:val="auto"/>
              </w:rPr>
              <w:t>化粪池</w:t>
            </w:r>
            <w:r>
              <w:rPr>
                <w:rFonts w:hint="eastAsia"/>
                <w:color w:val="auto"/>
                <w:lang w:eastAsia="zh-CN"/>
              </w:rPr>
              <w:t>已</w:t>
            </w:r>
            <w:r>
              <w:rPr>
                <w:bCs/>
                <w:color w:val="auto"/>
              </w:rPr>
              <w:t>进行硬化，同时进行重点防渗处理。分区防渗措施见表4-</w:t>
            </w:r>
            <w:r>
              <w:rPr>
                <w:rFonts w:hint="eastAsia"/>
                <w:bCs/>
                <w:color w:val="auto"/>
                <w:lang w:val="en-US" w:eastAsia="zh-CN"/>
              </w:rPr>
              <w:t>18</w:t>
            </w:r>
            <w:r>
              <w:rPr>
                <w:bCs/>
                <w:color w:val="auto"/>
              </w:rPr>
              <w:t>。企业定期对地面进行检查维护，防止防渗层的破坏，在采取相应的措施后，即使发生泄漏，由于进行防渗处理，废液也无法进行下渗，本项目的运营几乎没有影响途径，对地下水影响较小。</w:t>
            </w:r>
          </w:p>
          <w:p w14:paraId="7E9CD2DB">
            <w:pPr>
              <w:adjustRightInd w:val="0"/>
              <w:snapToGrid w:val="0"/>
              <w:spacing w:line="360" w:lineRule="auto"/>
              <w:ind w:firstLine="422" w:firstLineChars="200"/>
              <w:jc w:val="center"/>
              <w:rPr>
                <w:b/>
                <w:color w:val="auto"/>
              </w:rPr>
            </w:pPr>
            <w:r>
              <w:rPr>
                <w:b/>
                <w:color w:val="auto"/>
              </w:rPr>
              <w:t>表4-</w:t>
            </w:r>
            <w:r>
              <w:rPr>
                <w:rFonts w:hint="eastAsia"/>
                <w:b/>
                <w:color w:val="auto"/>
                <w:lang w:val="en-US" w:eastAsia="zh-CN"/>
              </w:rPr>
              <w:t>18</w:t>
            </w:r>
            <w:r>
              <w:rPr>
                <w:b/>
                <w:color w:val="auto"/>
              </w:rPr>
              <w:t>项目</w:t>
            </w:r>
            <w:r>
              <w:rPr>
                <w:rFonts w:hint="eastAsia"/>
                <w:b/>
                <w:color w:val="auto"/>
                <w:lang w:eastAsia="zh-CN"/>
              </w:rPr>
              <w:t>已</w:t>
            </w:r>
            <w:r>
              <w:rPr>
                <w:b/>
                <w:color w:val="auto"/>
              </w:rPr>
              <w:t>采取的防腐、防渗措施</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7"/>
              <w:gridCol w:w="1158"/>
              <w:gridCol w:w="1871"/>
              <w:gridCol w:w="4499"/>
            </w:tblGrid>
            <w:tr w14:paraId="7571F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00" w:type="pct"/>
                  <w:vAlign w:val="center"/>
                </w:tcPr>
                <w:p w14:paraId="7FE132CE">
                  <w:pPr>
                    <w:adjustRightInd w:val="0"/>
                    <w:snapToGrid w:val="0"/>
                    <w:spacing w:line="300" w:lineRule="exact"/>
                    <w:jc w:val="center"/>
                    <w:rPr>
                      <w:b/>
                      <w:bCs/>
                      <w:color w:val="auto"/>
                      <w:sz w:val="18"/>
                      <w:szCs w:val="18"/>
                    </w:rPr>
                  </w:pPr>
                  <w:r>
                    <w:rPr>
                      <w:b/>
                      <w:bCs/>
                      <w:color w:val="auto"/>
                      <w:sz w:val="18"/>
                      <w:szCs w:val="18"/>
                    </w:rPr>
                    <w:t>序号</w:t>
                  </w:r>
                </w:p>
              </w:tc>
              <w:tc>
                <w:tcPr>
                  <w:tcW w:w="692" w:type="pct"/>
                  <w:vAlign w:val="center"/>
                </w:tcPr>
                <w:p w14:paraId="745C3FA8">
                  <w:pPr>
                    <w:adjustRightInd w:val="0"/>
                    <w:snapToGrid w:val="0"/>
                    <w:spacing w:line="300" w:lineRule="exact"/>
                    <w:jc w:val="center"/>
                    <w:rPr>
                      <w:b/>
                      <w:bCs/>
                      <w:color w:val="auto"/>
                      <w:sz w:val="18"/>
                      <w:szCs w:val="18"/>
                    </w:rPr>
                  </w:pPr>
                  <w:r>
                    <w:rPr>
                      <w:b/>
                      <w:bCs/>
                      <w:color w:val="auto"/>
                      <w:sz w:val="18"/>
                      <w:szCs w:val="18"/>
                    </w:rPr>
                    <w:t>分区</w:t>
                  </w:r>
                </w:p>
              </w:tc>
              <w:tc>
                <w:tcPr>
                  <w:tcW w:w="1118" w:type="pct"/>
                  <w:vAlign w:val="center"/>
                </w:tcPr>
                <w:p w14:paraId="48936C42">
                  <w:pPr>
                    <w:adjustRightInd w:val="0"/>
                    <w:snapToGrid w:val="0"/>
                    <w:spacing w:line="300" w:lineRule="exact"/>
                    <w:jc w:val="center"/>
                    <w:rPr>
                      <w:b/>
                      <w:bCs/>
                      <w:color w:val="auto"/>
                      <w:sz w:val="18"/>
                      <w:szCs w:val="18"/>
                    </w:rPr>
                  </w:pPr>
                  <w:r>
                    <w:rPr>
                      <w:b/>
                      <w:bCs/>
                      <w:color w:val="auto"/>
                      <w:sz w:val="18"/>
                      <w:szCs w:val="18"/>
                    </w:rPr>
                    <w:t>名称</w:t>
                  </w:r>
                </w:p>
              </w:tc>
              <w:tc>
                <w:tcPr>
                  <w:tcW w:w="2688" w:type="pct"/>
                  <w:vAlign w:val="center"/>
                </w:tcPr>
                <w:p w14:paraId="37CD8E34">
                  <w:pPr>
                    <w:adjustRightInd w:val="0"/>
                    <w:snapToGrid w:val="0"/>
                    <w:spacing w:line="300" w:lineRule="exact"/>
                    <w:jc w:val="center"/>
                    <w:rPr>
                      <w:b/>
                      <w:bCs/>
                      <w:color w:val="auto"/>
                      <w:sz w:val="18"/>
                      <w:szCs w:val="18"/>
                    </w:rPr>
                  </w:pPr>
                  <w:r>
                    <w:rPr>
                      <w:b/>
                      <w:bCs/>
                      <w:color w:val="auto"/>
                      <w:sz w:val="18"/>
                      <w:szCs w:val="18"/>
                    </w:rPr>
                    <w:t>防渗要求</w:t>
                  </w:r>
                </w:p>
              </w:tc>
            </w:tr>
            <w:tr w14:paraId="4C498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500" w:type="pct"/>
                  <w:vMerge w:val="restart"/>
                  <w:vAlign w:val="center"/>
                </w:tcPr>
                <w:p w14:paraId="50CD07E3">
                  <w:pPr>
                    <w:adjustRightInd w:val="0"/>
                    <w:snapToGrid w:val="0"/>
                    <w:spacing w:line="300" w:lineRule="exact"/>
                    <w:jc w:val="center"/>
                    <w:rPr>
                      <w:rFonts w:hint="eastAsia" w:eastAsia="宋体"/>
                      <w:b/>
                      <w:bCs/>
                      <w:color w:val="auto"/>
                      <w:sz w:val="18"/>
                      <w:szCs w:val="18"/>
                      <w:lang w:val="en-US" w:eastAsia="zh-CN"/>
                    </w:rPr>
                  </w:pPr>
                  <w:r>
                    <w:rPr>
                      <w:rFonts w:hint="eastAsia"/>
                      <w:b/>
                      <w:bCs/>
                      <w:color w:val="auto"/>
                      <w:sz w:val="18"/>
                      <w:szCs w:val="18"/>
                      <w:lang w:val="en-US" w:eastAsia="zh-CN"/>
                    </w:rPr>
                    <w:t>1</w:t>
                  </w:r>
                </w:p>
              </w:tc>
              <w:tc>
                <w:tcPr>
                  <w:tcW w:w="692" w:type="pct"/>
                  <w:vMerge w:val="restart"/>
                  <w:vAlign w:val="center"/>
                </w:tcPr>
                <w:p w14:paraId="641490D2">
                  <w:pPr>
                    <w:adjustRightInd w:val="0"/>
                    <w:snapToGrid w:val="0"/>
                    <w:spacing w:line="300" w:lineRule="exact"/>
                    <w:jc w:val="center"/>
                    <w:rPr>
                      <w:b/>
                      <w:bCs/>
                      <w:color w:val="auto"/>
                      <w:sz w:val="18"/>
                      <w:szCs w:val="18"/>
                    </w:rPr>
                  </w:pPr>
                  <w:r>
                    <w:rPr>
                      <w:color w:val="auto"/>
                      <w:sz w:val="18"/>
                      <w:szCs w:val="18"/>
                    </w:rPr>
                    <w:t>重点防渗区</w:t>
                  </w:r>
                </w:p>
              </w:tc>
              <w:tc>
                <w:tcPr>
                  <w:tcW w:w="1118" w:type="pct"/>
                  <w:vAlign w:val="center"/>
                </w:tcPr>
                <w:p w14:paraId="2043021B">
                  <w:pPr>
                    <w:adjustRightInd w:val="0"/>
                    <w:snapToGrid w:val="0"/>
                    <w:spacing w:line="300" w:lineRule="exact"/>
                    <w:jc w:val="center"/>
                    <w:rPr>
                      <w:rFonts w:hint="default" w:eastAsia="宋体"/>
                      <w:b/>
                      <w:bCs/>
                      <w:color w:val="auto"/>
                      <w:sz w:val="18"/>
                      <w:szCs w:val="18"/>
                      <w:lang w:val="en-US" w:eastAsia="zh-CN"/>
                    </w:rPr>
                  </w:pPr>
                  <w:r>
                    <w:rPr>
                      <w:color w:val="auto"/>
                      <w:sz w:val="18"/>
                      <w:szCs w:val="18"/>
                    </w:rPr>
                    <w:t>化粪池</w:t>
                  </w:r>
                </w:p>
              </w:tc>
              <w:tc>
                <w:tcPr>
                  <w:tcW w:w="2688" w:type="pct"/>
                  <w:vAlign w:val="center"/>
                </w:tcPr>
                <w:p w14:paraId="6290F995">
                  <w:pPr>
                    <w:adjustRightInd w:val="0"/>
                    <w:snapToGrid w:val="0"/>
                    <w:spacing w:line="300" w:lineRule="exact"/>
                    <w:jc w:val="center"/>
                    <w:rPr>
                      <w:b/>
                      <w:bCs/>
                      <w:color w:val="auto"/>
                      <w:sz w:val="18"/>
                      <w:szCs w:val="18"/>
                    </w:rPr>
                  </w:pPr>
                  <w:r>
                    <w:rPr>
                      <w:rFonts w:hint="default" w:ascii="Times New Roman" w:hAnsi="Times New Roman" w:cs="Times New Roman"/>
                      <w:color w:val="auto"/>
                      <w:sz w:val="18"/>
                      <w:szCs w:val="18"/>
                      <w:highlight w:val="none"/>
                    </w:rPr>
                    <w:t>采用20cm厚C30商砼硬化，抗渗性能P8，满足等效粘土防渗层Mb≥6.0m，K≤1×10</w:t>
                  </w:r>
                  <w:r>
                    <w:rPr>
                      <w:rFonts w:hint="default" w:ascii="Times New Roman" w:hAnsi="Times New Roman" w:cs="Times New Roman"/>
                      <w:color w:val="auto"/>
                      <w:sz w:val="18"/>
                      <w:szCs w:val="18"/>
                      <w:highlight w:val="none"/>
                      <w:vertAlign w:val="superscript"/>
                    </w:rPr>
                    <w:t>-7</w:t>
                  </w:r>
                  <w:r>
                    <w:rPr>
                      <w:rFonts w:hint="default" w:ascii="Times New Roman" w:hAnsi="Times New Roman" w:cs="Times New Roman"/>
                      <w:color w:val="auto"/>
                      <w:sz w:val="18"/>
                      <w:szCs w:val="18"/>
                      <w:highlight w:val="none"/>
                    </w:rPr>
                    <w:t>cm/s要求</w:t>
                  </w:r>
                </w:p>
              </w:tc>
            </w:tr>
            <w:tr w14:paraId="583B9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500" w:type="pct"/>
                  <w:vMerge w:val="continue"/>
                  <w:vAlign w:val="center"/>
                </w:tcPr>
                <w:p w14:paraId="6BE6E8D0">
                  <w:pPr>
                    <w:adjustRightInd w:val="0"/>
                    <w:snapToGrid w:val="0"/>
                    <w:spacing w:line="300" w:lineRule="exact"/>
                    <w:jc w:val="center"/>
                  </w:pPr>
                </w:p>
              </w:tc>
              <w:tc>
                <w:tcPr>
                  <w:tcW w:w="692" w:type="pct"/>
                  <w:vMerge w:val="continue"/>
                  <w:vAlign w:val="center"/>
                </w:tcPr>
                <w:p w14:paraId="2CF082A2">
                  <w:pPr>
                    <w:adjustRightInd w:val="0"/>
                    <w:snapToGrid w:val="0"/>
                    <w:spacing w:line="300" w:lineRule="exact"/>
                    <w:jc w:val="center"/>
                  </w:pPr>
                </w:p>
              </w:tc>
              <w:tc>
                <w:tcPr>
                  <w:tcW w:w="1118" w:type="pct"/>
                  <w:vAlign w:val="center"/>
                </w:tcPr>
                <w:p w14:paraId="2B16982F">
                  <w:pPr>
                    <w:adjustRightInd w:val="0"/>
                    <w:snapToGrid w:val="0"/>
                    <w:spacing w:line="300" w:lineRule="exact"/>
                    <w:jc w:val="center"/>
                    <w:rPr>
                      <w:color w:val="auto"/>
                      <w:sz w:val="18"/>
                      <w:szCs w:val="18"/>
                    </w:rPr>
                  </w:pPr>
                  <w:r>
                    <w:rPr>
                      <w:rFonts w:hint="eastAsia"/>
                      <w:color w:val="auto"/>
                      <w:sz w:val="18"/>
                      <w:szCs w:val="18"/>
                      <w:lang w:val="en-US" w:eastAsia="zh-CN"/>
                    </w:rPr>
                    <w:t>危废间</w:t>
                  </w:r>
                </w:p>
              </w:tc>
              <w:tc>
                <w:tcPr>
                  <w:tcW w:w="2688" w:type="pct"/>
                  <w:vAlign w:val="center"/>
                </w:tcPr>
                <w:p w14:paraId="6CDECA2D">
                  <w:pPr>
                    <w:adjustRightInd w:val="0"/>
                    <w:snapToGrid w:val="0"/>
                    <w:spacing w:line="300" w:lineRule="exact"/>
                    <w:jc w:val="center"/>
                    <w:rPr>
                      <w:color w:val="auto"/>
                      <w:sz w:val="18"/>
                      <w:szCs w:val="18"/>
                    </w:rPr>
                  </w:pPr>
                  <w:r>
                    <w:rPr>
                      <w:rFonts w:hint="default" w:ascii="Times New Roman" w:hAnsi="Times New Roman" w:eastAsia="宋体" w:cs="Times New Roman"/>
                      <w:color w:val="auto"/>
                      <w:sz w:val="18"/>
                      <w:szCs w:val="18"/>
                      <w:highlight w:val="none"/>
                    </w:rPr>
                    <w:t>至少1m厚黏土层（渗透系数K≤1×10</w:t>
                  </w:r>
                  <w:r>
                    <w:rPr>
                      <w:rFonts w:hint="default" w:ascii="Times New Roman" w:hAnsi="Times New Roman" w:eastAsia="宋体" w:cs="Times New Roman"/>
                      <w:color w:val="auto"/>
                      <w:sz w:val="18"/>
                      <w:szCs w:val="18"/>
                      <w:highlight w:val="none"/>
                      <w:vertAlign w:val="superscript"/>
                    </w:rPr>
                    <w:t>-7</w:t>
                  </w:r>
                  <w:r>
                    <w:rPr>
                      <w:rFonts w:hint="default" w:ascii="Times New Roman" w:hAnsi="Times New Roman" w:eastAsia="宋体" w:cs="Times New Roman"/>
                      <w:color w:val="auto"/>
                      <w:sz w:val="18"/>
                      <w:szCs w:val="18"/>
                      <w:highlight w:val="none"/>
                    </w:rPr>
                    <w:t>cm/s），或2mm厚高密度聚乙烯膜，或至少2mm厚的其他人工材料，渗透系数≤10</w:t>
                  </w:r>
                  <w:r>
                    <w:rPr>
                      <w:rFonts w:hint="default" w:ascii="Times New Roman" w:hAnsi="Times New Roman" w:eastAsia="宋体" w:cs="Times New Roman"/>
                      <w:color w:val="auto"/>
                      <w:sz w:val="18"/>
                      <w:szCs w:val="18"/>
                      <w:highlight w:val="none"/>
                      <w:vertAlign w:val="superscript"/>
                    </w:rPr>
                    <w:t>-10</w:t>
                  </w:r>
                  <w:r>
                    <w:rPr>
                      <w:rFonts w:hint="default" w:ascii="Times New Roman" w:hAnsi="Times New Roman" w:eastAsia="宋体" w:cs="Times New Roman"/>
                      <w:color w:val="auto"/>
                      <w:sz w:val="18"/>
                      <w:szCs w:val="18"/>
                      <w:highlight w:val="none"/>
                    </w:rPr>
                    <w:t>cm/s</w:t>
                  </w:r>
                </w:p>
              </w:tc>
            </w:tr>
            <w:tr w14:paraId="2D933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 w:type="pct"/>
                  <w:vAlign w:val="center"/>
                </w:tcPr>
                <w:p w14:paraId="1ED26B1F">
                  <w:pPr>
                    <w:adjustRightInd w:val="0"/>
                    <w:snapToGrid w:val="0"/>
                    <w:spacing w:line="300" w:lineRule="exact"/>
                    <w:jc w:val="center"/>
                    <w:rPr>
                      <w:rFonts w:hint="eastAsia" w:eastAsia="宋体"/>
                      <w:color w:val="auto"/>
                      <w:sz w:val="18"/>
                      <w:szCs w:val="18"/>
                      <w:lang w:eastAsia="zh-CN"/>
                    </w:rPr>
                  </w:pPr>
                  <w:r>
                    <w:rPr>
                      <w:rFonts w:hint="eastAsia"/>
                      <w:color w:val="auto"/>
                      <w:sz w:val="18"/>
                      <w:szCs w:val="18"/>
                      <w:lang w:val="en-US" w:eastAsia="zh-CN"/>
                    </w:rPr>
                    <w:t>2</w:t>
                  </w:r>
                </w:p>
              </w:tc>
              <w:tc>
                <w:tcPr>
                  <w:tcW w:w="692" w:type="pct"/>
                  <w:vAlign w:val="center"/>
                </w:tcPr>
                <w:p w14:paraId="1338D8AA">
                  <w:pPr>
                    <w:adjustRightInd w:val="0"/>
                    <w:snapToGrid w:val="0"/>
                    <w:spacing w:line="300" w:lineRule="exact"/>
                    <w:jc w:val="center"/>
                    <w:rPr>
                      <w:color w:val="auto"/>
                      <w:sz w:val="18"/>
                      <w:szCs w:val="18"/>
                    </w:rPr>
                  </w:pPr>
                  <w:r>
                    <w:rPr>
                      <w:color w:val="auto"/>
                      <w:sz w:val="18"/>
                      <w:szCs w:val="18"/>
                    </w:rPr>
                    <w:t>一般防渗区</w:t>
                  </w:r>
                </w:p>
              </w:tc>
              <w:tc>
                <w:tcPr>
                  <w:tcW w:w="1118" w:type="pct"/>
                  <w:vAlign w:val="center"/>
                </w:tcPr>
                <w:p w14:paraId="79B3106C">
                  <w:pPr>
                    <w:adjustRightInd w:val="0"/>
                    <w:snapToGrid w:val="0"/>
                    <w:spacing w:line="300" w:lineRule="exact"/>
                    <w:jc w:val="center"/>
                    <w:rPr>
                      <w:rFonts w:hint="eastAsia" w:eastAsia="宋体"/>
                      <w:color w:val="auto"/>
                      <w:sz w:val="18"/>
                      <w:szCs w:val="18"/>
                      <w:lang w:eastAsia="zh-CN"/>
                    </w:rPr>
                  </w:pPr>
                  <w:r>
                    <w:rPr>
                      <w:rFonts w:hint="eastAsia"/>
                      <w:color w:val="auto"/>
                      <w:sz w:val="18"/>
                      <w:szCs w:val="18"/>
                      <w:lang w:val="en-US" w:eastAsia="zh-CN"/>
                    </w:rPr>
                    <w:t>生产车间</w:t>
                  </w:r>
                </w:p>
              </w:tc>
              <w:tc>
                <w:tcPr>
                  <w:tcW w:w="2688" w:type="pct"/>
                  <w:vAlign w:val="center"/>
                </w:tcPr>
                <w:p w14:paraId="06E93868">
                  <w:pPr>
                    <w:adjustRightInd w:val="0"/>
                    <w:snapToGrid w:val="0"/>
                    <w:spacing w:line="300" w:lineRule="exact"/>
                    <w:jc w:val="center"/>
                    <w:rPr>
                      <w:color w:val="auto"/>
                      <w:sz w:val="18"/>
                      <w:szCs w:val="18"/>
                    </w:rPr>
                  </w:pPr>
                  <w:r>
                    <w:rPr>
                      <w:rFonts w:hint="default" w:ascii="Times New Roman" w:hAnsi="Times New Roman" w:cs="Times New Roman"/>
                      <w:color w:val="auto"/>
                      <w:sz w:val="18"/>
                      <w:szCs w:val="18"/>
                      <w:highlight w:val="none"/>
                    </w:rPr>
                    <w:t>采用20cm厚C25商砼硬化，满足等效粘土防渗层Mb≥1.5m，K≤1×10</w:t>
                  </w:r>
                  <w:r>
                    <w:rPr>
                      <w:rFonts w:hint="default" w:ascii="Times New Roman" w:hAnsi="Times New Roman" w:cs="Times New Roman"/>
                      <w:color w:val="auto"/>
                      <w:sz w:val="18"/>
                      <w:szCs w:val="18"/>
                      <w:highlight w:val="none"/>
                      <w:vertAlign w:val="superscript"/>
                    </w:rPr>
                    <w:t>-7</w:t>
                  </w:r>
                  <w:r>
                    <w:rPr>
                      <w:rFonts w:hint="default" w:ascii="Times New Roman" w:hAnsi="Times New Roman" w:cs="Times New Roman"/>
                      <w:color w:val="auto"/>
                      <w:sz w:val="18"/>
                      <w:szCs w:val="18"/>
                      <w:highlight w:val="none"/>
                    </w:rPr>
                    <w:t>cm/s的防渗要求</w:t>
                  </w:r>
                </w:p>
              </w:tc>
            </w:tr>
            <w:tr w14:paraId="13501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 w:type="pct"/>
                  <w:vAlign w:val="center"/>
                </w:tcPr>
                <w:p w14:paraId="1BC2963C">
                  <w:pPr>
                    <w:adjustRightInd w:val="0"/>
                    <w:snapToGrid w:val="0"/>
                    <w:spacing w:line="300" w:lineRule="exact"/>
                    <w:jc w:val="center"/>
                    <w:rPr>
                      <w:rFonts w:hint="eastAsia" w:eastAsia="宋体"/>
                      <w:color w:val="auto"/>
                      <w:sz w:val="18"/>
                      <w:szCs w:val="18"/>
                      <w:lang w:eastAsia="zh-CN"/>
                    </w:rPr>
                  </w:pPr>
                  <w:r>
                    <w:rPr>
                      <w:rFonts w:hint="eastAsia"/>
                      <w:color w:val="auto"/>
                      <w:sz w:val="18"/>
                      <w:szCs w:val="18"/>
                      <w:lang w:val="en-US" w:eastAsia="zh-CN"/>
                    </w:rPr>
                    <w:t>3</w:t>
                  </w:r>
                </w:p>
              </w:tc>
              <w:tc>
                <w:tcPr>
                  <w:tcW w:w="692" w:type="pct"/>
                  <w:vAlign w:val="center"/>
                </w:tcPr>
                <w:p w14:paraId="367E110F">
                  <w:pPr>
                    <w:adjustRightInd w:val="0"/>
                    <w:snapToGrid w:val="0"/>
                    <w:spacing w:line="300" w:lineRule="exact"/>
                    <w:jc w:val="center"/>
                    <w:rPr>
                      <w:color w:val="auto"/>
                      <w:sz w:val="18"/>
                      <w:szCs w:val="18"/>
                    </w:rPr>
                  </w:pPr>
                  <w:r>
                    <w:rPr>
                      <w:color w:val="auto"/>
                      <w:sz w:val="18"/>
                      <w:szCs w:val="18"/>
                    </w:rPr>
                    <w:t>简单防渗区</w:t>
                  </w:r>
                </w:p>
              </w:tc>
              <w:tc>
                <w:tcPr>
                  <w:tcW w:w="1118" w:type="pct"/>
                  <w:vAlign w:val="center"/>
                </w:tcPr>
                <w:p w14:paraId="521505B2">
                  <w:pPr>
                    <w:adjustRightInd w:val="0"/>
                    <w:snapToGrid w:val="0"/>
                    <w:spacing w:line="300" w:lineRule="exact"/>
                    <w:jc w:val="center"/>
                    <w:rPr>
                      <w:color w:val="auto"/>
                      <w:sz w:val="18"/>
                      <w:szCs w:val="18"/>
                    </w:rPr>
                  </w:pPr>
                  <w:r>
                    <w:rPr>
                      <w:color w:val="auto"/>
                      <w:sz w:val="18"/>
                      <w:szCs w:val="18"/>
                    </w:rPr>
                    <w:t>其他区域</w:t>
                  </w:r>
                </w:p>
              </w:tc>
              <w:tc>
                <w:tcPr>
                  <w:tcW w:w="2688" w:type="pct"/>
                  <w:vAlign w:val="center"/>
                </w:tcPr>
                <w:p w14:paraId="4D49CB3C">
                  <w:pPr>
                    <w:adjustRightInd w:val="0"/>
                    <w:snapToGrid w:val="0"/>
                    <w:spacing w:line="300" w:lineRule="exact"/>
                    <w:jc w:val="center"/>
                    <w:rPr>
                      <w:color w:val="auto"/>
                      <w:sz w:val="18"/>
                      <w:szCs w:val="18"/>
                    </w:rPr>
                  </w:pPr>
                  <w:r>
                    <w:rPr>
                      <w:color w:val="auto"/>
                      <w:sz w:val="18"/>
                      <w:szCs w:val="18"/>
                    </w:rPr>
                    <w:t>一般地面硬化措施</w:t>
                  </w:r>
                </w:p>
              </w:tc>
            </w:tr>
          </w:tbl>
          <w:p w14:paraId="41AF4C37">
            <w:pPr>
              <w:adjustRightInd w:val="0"/>
              <w:snapToGrid w:val="0"/>
              <w:spacing w:line="360" w:lineRule="auto"/>
              <w:ind w:firstLine="420" w:firstLineChars="200"/>
              <w:rPr>
                <w:bCs/>
                <w:color w:val="auto"/>
              </w:rPr>
            </w:pPr>
            <w:r>
              <w:rPr>
                <w:bCs/>
                <w:color w:val="auto"/>
              </w:rPr>
              <w:t>在日常运行时应当加强车间</w:t>
            </w:r>
            <w:r>
              <w:rPr>
                <w:rFonts w:hint="eastAsia"/>
                <w:bCs/>
                <w:color w:val="auto"/>
                <w:lang w:eastAsia="zh-CN"/>
              </w:rPr>
              <w:t>、</w:t>
            </w:r>
            <w:r>
              <w:rPr>
                <w:rFonts w:hint="eastAsia"/>
                <w:bCs/>
                <w:color w:val="auto"/>
                <w:lang w:val="en-US" w:eastAsia="zh-CN"/>
              </w:rPr>
              <w:t>危废间</w:t>
            </w:r>
            <w:r>
              <w:rPr>
                <w:bCs/>
                <w:color w:val="auto"/>
              </w:rPr>
              <w:t>的防渗的巡检和维护工作，确保防渗层不破损。在污染防治措施到位，严格管理的前提下，本项目对地下水影响极小。</w:t>
            </w:r>
          </w:p>
          <w:p w14:paraId="07CA88F7">
            <w:pPr>
              <w:adjustRightInd w:val="0"/>
              <w:snapToGrid w:val="0"/>
              <w:spacing w:line="360" w:lineRule="auto"/>
              <w:ind w:left="420"/>
              <w:rPr>
                <w:bCs/>
                <w:color w:val="auto"/>
              </w:rPr>
            </w:pPr>
            <w:r>
              <w:rPr>
                <w:bCs/>
                <w:color w:val="auto"/>
              </w:rPr>
              <w:t>3、跟踪监测要求</w:t>
            </w:r>
          </w:p>
          <w:p w14:paraId="38E5C7C3">
            <w:pPr>
              <w:adjustRightInd w:val="0"/>
              <w:snapToGrid w:val="0"/>
              <w:spacing w:line="360" w:lineRule="auto"/>
              <w:ind w:firstLine="420" w:firstLineChars="200"/>
              <w:rPr>
                <w:bCs/>
                <w:color w:val="auto"/>
              </w:rPr>
            </w:pPr>
            <w:r>
              <w:rPr>
                <w:bCs/>
                <w:color w:val="auto"/>
                <w:lang w:val="zh-CN"/>
              </w:rPr>
              <w:t>根据以上分析，本项目</w:t>
            </w:r>
            <w:r>
              <w:rPr>
                <w:rFonts w:hint="eastAsia"/>
                <w:bCs/>
                <w:color w:val="auto"/>
                <w:lang w:val="zh-CN"/>
              </w:rPr>
              <w:t>物料不会产生渗滤液，</w:t>
            </w:r>
            <w:r>
              <w:rPr>
                <w:bCs/>
                <w:color w:val="auto"/>
                <w:lang w:val="zh-CN"/>
              </w:rPr>
              <w:t>正常工况下无污染地下水、土壤环境等重大污染源，且项目500米范围内无地下水集中式饮用水水源和热水、矿泉水、温泉等特殊地下水资源，运营期正常工况下不需要针对地下水环境污染进行跟踪监测</w:t>
            </w:r>
            <w:r>
              <w:rPr>
                <w:bCs/>
                <w:color w:val="auto"/>
              </w:rPr>
              <w:t>。</w:t>
            </w:r>
          </w:p>
          <w:p w14:paraId="0B61EF4F">
            <w:pPr>
              <w:adjustRightInd w:val="0"/>
              <w:snapToGrid w:val="0"/>
              <w:spacing w:line="360" w:lineRule="auto"/>
              <w:ind w:firstLine="422" w:firstLineChars="200"/>
              <w:rPr>
                <w:b/>
                <w:color w:val="auto"/>
              </w:rPr>
            </w:pPr>
            <w:r>
              <w:rPr>
                <w:b/>
                <w:color w:val="auto"/>
              </w:rPr>
              <w:t>六、土壤</w:t>
            </w:r>
          </w:p>
          <w:p w14:paraId="3B6F9FF2">
            <w:pPr>
              <w:adjustRightInd w:val="0"/>
              <w:snapToGrid w:val="0"/>
              <w:spacing w:line="360" w:lineRule="auto"/>
              <w:ind w:firstLine="420" w:firstLineChars="200"/>
              <w:rPr>
                <w:bCs/>
                <w:color w:val="auto"/>
              </w:rPr>
            </w:pPr>
            <w:r>
              <w:rPr>
                <w:bCs/>
                <w:color w:val="auto"/>
              </w:rPr>
              <w:t>1、污染途径、类型</w:t>
            </w:r>
          </w:p>
          <w:p w14:paraId="54984409">
            <w:pPr>
              <w:adjustRightInd w:val="0"/>
              <w:snapToGrid w:val="0"/>
              <w:spacing w:line="360" w:lineRule="auto"/>
              <w:ind w:firstLine="420" w:firstLineChars="200"/>
              <w:rPr>
                <w:bCs/>
                <w:color w:val="auto"/>
              </w:rPr>
            </w:pPr>
            <w:r>
              <w:rPr>
                <w:rFonts w:hint="default" w:ascii="Times New Roman" w:hAnsi="Times New Roman" w:cs="Times New Roman"/>
                <w:bCs/>
                <w:color w:val="auto"/>
                <w:sz w:val="21"/>
                <w:szCs w:val="21"/>
                <w:highlight w:val="none"/>
              </w:rPr>
              <w:t>本项目主要土壤污染源为</w:t>
            </w:r>
            <w:r>
              <w:rPr>
                <w:rFonts w:hint="default" w:ascii="Times New Roman" w:hAnsi="Times New Roman" w:cs="Times New Roman"/>
                <w:bCs/>
                <w:color w:val="auto"/>
                <w:sz w:val="21"/>
                <w:szCs w:val="21"/>
                <w:highlight w:val="none"/>
                <w:lang w:eastAsia="zh-CN"/>
              </w:rPr>
              <w:t>化粪池、</w:t>
            </w:r>
            <w:r>
              <w:rPr>
                <w:rFonts w:hint="eastAsia"/>
                <w:bCs/>
                <w:color w:val="auto"/>
                <w:lang w:val="en-US" w:eastAsia="zh-CN"/>
              </w:rPr>
              <w:t>危废间</w:t>
            </w:r>
            <w:r>
              <w:rPr>
                <w:rFonts w:hint="eastAsia"/>
                <w:bCs/>
                <w:color w:val="auto"/>
                <w:lang w:eastAsia="zh-CN"/>
              </w:rPr>
              <w:t>、</w:t>
            </w:r>
            <w:r>
              <w:rPr>
                <w:rFonts w:hint="default" w:ascii="Times New Roman" w:hAnsi="Times New Roman" w:cs="Times New Roman"/>
                <w:bCs/>
                <w:color w:val="auto"/>
                <w:sz w:val="21"/>
                <w:szCs w:val="21"/>
                <w:highlight w:val="none"/>
                <w:lang w:val="en-US" w:eastAsia="zh-CN"/>
              </w:rPr>
              <w:t>排气筒</w:t>
            </w:r>
            <w:r>
              <w:rPr>
                <w:rFonts w:hint="default" w:ascii="Times New Roman" w:hAnsi="Times New Roman" w:cs="Times New Roman"/>
                <w:bCs/>
                <w:color w:val="auto"/>
                <w:sz w:val="21"/>
                <w:szCs w:val="21"/>
                <w:highlight w:val="none"/>
              </w:rPr>
              <w:t>，主要污染因子为</w:t>
            </w:r>
            <w:r>
              <w:rPr>
                <w:rFonts w:hint="default" w:ascii="Times New Roman" w:hAnsi="Times New Roman" w:cs="Times New Roman"/>
                <w:bCs/>
                <w:color w:val="auto"/>
                <w:sz w:val="21"/>
                <w:szCs w:val="21"/>
                <w:highlight w:val="none"/>
                <w:lang w:eastAsia="zh-CN"/>
              </w:rPr>
              <w:t>颗粒物、</w:t>
            </w:r>
            <w:r>
              <w:rPr>
                <w:rFonts w:hint="default" w:ascii="Times New Roman" w:hAnsi="Times New Roman" w:cs="Times New Roman"/>
                <w:bCs/>
                <w:color w:val="auto"/>
                <w:sz w:val="21"/>
                <w:szCs w:val="21"/>
                <w:highlight w:val="none"/>
                <w:lang w:val="en-US" w:eastAsia="zh-CN"/>
              </w:rPr>
              <w:t>SO</w:t>
            </w:r>
            <w:r>
              <w:rPr>
                <w:rFonts w:hint="default" w:ascii="Times New Roman" w:hAnsi="Times New Roman" w:cs="Times New Roman"/>
                <w:bCs/>
                <w:color w:val="auto"/>
                <w:sz w:val="21"/>
                <w:szCs w:val="21"/>
                <w:highlight w:val="none"/>
                <w:vertAlign w:val="subscript"/>
                <w:lang w:val="en-US" w:eastAsia="zh-CN"/>
              </w:rPr>
              <w:t>2</w:t>
            </w:r>
            <w:r>
              <w:rPr>
                <w:rFonts w:hint="default" w:ascii="Times New Roman" w:hAnsi="Times New Roman" w:cs="Times New Roman"/>
                <w:bCs/>
                <w:color w:val="auto"/>
                <w:sz w:val="21"/>
                <w:szCs w:val="21"/>
                <w:highlight w:val="none"/>
                <w:lang w:val="en-US" w:eastAsia="zh-CN"/>
              </w:rPr>
              <w:t>、NOx、氨气、COD、氨氮</w:t>
            </w:r>
            <w:r>
              <w:rPr>
                <w:rFonts w:hint="eastAsia" w:cs="Times New Roman"/>
                <w:bCs/>
                <w:color w:val="auto"/>
                <w:sz w:val="21"/>
                <w:szCs w:val="21"/>
                <w:highlight w:val="none"/>
                <w:lang w:val="en-US" w:eastAsia="zh-CN"/>
              </w:rPr>
              <w:t>、石油烃</w:t>
            </w:r>
            <w:r>
              <w:rPr>
                <w:rFonts w:hint="default" w:ascii="Times New Roman" w:hAnsi="Times New Roman" w:cs="Times New Roman"/>
                <w:bCs/>
                <w:color w:val="auto"/>
                <w:sz w:val="21"/>
                <w:szCs w:val="21"/>
                <w:highlight w:val="none"/>
              </w:rPr>
              <w:t>，主要污染</w:t>
            </w:r>
            <w:r>
              <w:rPr>
                <w:rFonts w:hint="default" w:ascii="Times New Roman" w:hAnsi="Times New Roman" w:cs="Times New Roman"/>
                <w:bCs/>
                <w:color w:val="auto"/>
                <w:sz w:val="21"/>
                <w:szCs w:val="21"/>
                <w:highlight w:val="none"/>
                <w:lang w:eastAsia="zh-CN"/>
              </w:rPr>
              <w:t>途径</w:t>
            </w:r>
            <w:r>
              <w:rPr>
                <w:rFonts w:hint="default" w:ascii="Times New Roman" w:hAnsi="Times New Roman" w:cs="Times New Roman"/>
                <w:bCs/>
                <w:color w:val="auto"/>
                <w:sz w:val="21"/>
                <w:szCs w:val="21"/>
                <w:highlight w:val="none"/>
              </w:rPr>
              <w:t>为</w:t>
            </w:r>
            <w:r>
              <w:rPr>
                <w:rFonts w:hint="default" w:ascii="Times New Roman" w:hAnsi="Times New Roman" w:cs="Times New Roman"/>
                <w:bCs/>
                <w:color w:val="auto"/>
                <w:sz w:val="21"/>
                <w:szCs w:val="21"/>
                <w:highlight w:val="none"/>
                <w:lang w:eastAsia="zh-CN"/>
              </w:rPr>
              <w:t>大气沉降、垂直入渗</w:t>
            </w:r>
            <w:r>
              <w:rPr>
                <w:bCs/>
                <w:color w:val="auto"/>
              </w:rPr>
              <w:t>。</w:t>
            </w:r>
          </w:p>
          <w:p w14:paraId="2C571D5F">
            <w:pPr>
              <w:adjustRightInd w:val="0"/>
              <w:snapToGrid w:val="0"/>
              <w:spacing w:line="360" w:lineRule="auto"/>
              <w:ind w:firstLine="420" w:firstLineChars="200"/>
              <w:rPr>
                <w:bCs/>
                <w:color w:val="auto"/>
              </w:rPr>
            </w:pPr>
            <w:r>
              <w:rPr>
                <w:bCs/>
                <w:color w:val="auto"/>
              </w:rPr>
              <w:t>2、采取保护措施</w:t>
            </w:r>
          </w:p>
          <w:p w14:paraId="4C718EB7">
            <w:pPr>
              <w:adjustRightInd w:val="0"/>
              <w:snapToGrid w:val="0"/>
              <w:spacing w:line="360" w:lineRule="auto"/>
              <w:ind w:firstLine="420" w:firstLineChars="200"/>
              <w:rPr>
                <w:bCs/>
                <w:color w:val="auto"/>
              </w:rPr>
            </w:pPr>
            <w:r>
              <w:rPr>
                <w:rFonts w:hint="default" w:ascii="Times New Roman" w:hAnsi="Times New Roman" w:cs="Times New Roman"/>
                <w:bCs/>
                <w:color w:val="auto"/>
                <w:szCs w:val="21"/>
                <w:highlight w:val="none"/>
              </w:rPr>
              <w:t>本项目厂区车间根据生产情况的防渗硬化处理，防渗措施详见表4-</w:t>
            </w:r>
            <w:r>
              <w:rPr>
                <w:rFonts w:hint="eastAsia" w:cs="Times New Roman"/>
                <w:bCs/>
                <w:color w:val="auto"/>
                <w:szCs w:val="21"/>
                <w:highlight w:val="none"/>
                <w:lang w:val="en-US" w:eastAsia="zh-CN"/>
              </w:rPr>
              <w:t>18</w:t>
            </w:r>
            <w:r>
              <w:rPr>
                <w:rFonts w:hint="default" w:ascii="Times New Roman" w:hAnsi="Times New Roman" w:cs="Times New Roman"/>
                <w:bCs/>
                <w:color w:val="auto"/>
                <w:szCs w:val="21"/>
                <w:highlight w:val="none"/>
              </w:rPr>
              <w:t>。企业定期对地面进行检查维护，防止防渗层的破坏，在采取相应的措施后，本项目基本无法在防渗区下渗。综上，本项目的运营对土壤影响较小</w:t>
            </w:r>
            <w:r>
              <w:rPr>
                <w:rFonts w:hint="default" w:ascii="Times New Roman" w:hAnsi="Times New Roman" w:cs="Times New Roman"/>
                <w:bCs/>
                <w:color w:val="auto"/>
                <w:szCs w:val="21"/>
              </w:rPr>
              <w:t>。</w:t>
            </w:r>
          </w:p>
          <w:p w14:paraId="0F3BBE8C">
            <w:pPr>
              <w:adjustRightInd w:val="0"/>
              <w:snapToGrid w:val="0"/>
              <w:spacing w:line="360" w:lineRule="auto"/>
              <w:ind w:firstLine="420" w:firstLineChars="200"/>
              <w:rPr>
                <w:bCs/>
                <w:color w:val="auto"/>
              </w:rPr>
            </w:pPr>
            <w:r>
              <w:rPr>
                <w:bCs/>
                <w:color w:val="auto"/>
              </w:rPr>
              <w:t>3、跟踪监测</w:t>
            </w:r>
          </w:p>
          <w:p w14:paraId="5C6B1335">
            <w:pPr>
              <w:adjustRightInd w:val="0"/>
              <w:snapToGrid w:val="0"/>
              <w:spacing w:line="360" w:lineRule="auto"/>
              <w:ind w:firstLine="420" w:firstLineChars="200"/>
              <w:rPr>
                <w:rFonts w:hint="eastAsia" w:ascii="Times New Roman" w:hAnsi="Times New Roman" w:cs="Times New Roman" w:eastAsiaTheme="minorEastAsia"/>
                <w:bCs/>
                <w:color w:val="auto"/>
                <w:szCs w:val="21"/>
                <w:lang w:eastAsia="zh-CN"/>
              </w:rPr>
            </w:pPr>
            <w:r>
              <w:rPr>
                <w:rFonts w:hint="default" w:ascii="Times New Roman" w:hAnsi="Times New Roman" w:cs="Times New Roman" w:eastAsiaTheme="minorEastAsia"/>
                <w:bCs/>
                <w:color w:val="auto"/>
                <w:szCs w:val="21"/>
              </w:rPr>
              <w:t>由于</w:t>
            </w:r>
            <w:r>
              <w:rPr>
                <w:rFonts w:hint="eastAsia" w:cs="Times New Roman" w:eastAsiaTheme="minorEastAsia"/>
                <w:bCs/>
                <w:color w:val="auto"/>
                <w:szCs w:val="21"/>
                <w:lang w:eastAsia="zh-CN"/>
              </w:rPr>
              <w:t>本项目</w:t>
            </w:r>
            <w:r>
              <w:rPr>
                <w:rFonts w:hint="default" w:ascii="Times New Roman" w:hAnsi="Times New Roman" w:cs="Times New Roman" w:eastAsiaTheme="minorEastAsia"/>
                <w:bCs/>
                <w:color w:val="auto"/>
                <w:szCs w:val="21"/>
              </w:rPr>
              <w:t>厂区内均硬化，在采取土壤污染防治措施后基本不会存在污染途径，不会对周边土壤产生影响。无需进行土壤跟踪监测</w:t>
            </w:r>
            <w:r>
              <w:rPr>
                <w:rFonts w:hint="eastAsia" w:ascii="Times New Roman" w:hAnsi="Times New Roman" w:cs="Times New Roman" w:eastAsiaTheme="minorEastAsia"/>
                <w:bCs/>
                <w:color w:val="auto"/>
                <w:szCs w:val="21"/>
                <w:lang w:eastAsia="zh-CN"/>
              </w:rPr>
              <w:t>。</w:t>
            </w:r>
          </w:p>
          <w:p w14:paraId="434295DC">
            <w:pPr>
              <w:adjustRightInd w:val="0"/>
              <w:snapToGrid w:val="0"/>
              <w:spacing w:line="360" w:lineRule="auto"/>
              <w:ind w:firstLine="422" w:firstLineChars="200"/>
              <w:rPr>
                <w:b/>
                <w:color w:val="auto"/>
              </w:rPr>
            </w:pPr>
            <w:r>
              <w:rPr>
                <w:b/>
                <w:color w:val="auto"/>
              </w:rPr>
              <w:t>七、生态</w:t>
            </w:r>
          </w:p>
          <w:p w14:paraId="7C53602F">
            <w:pPr>
              <w:adjustRightInd w:val="0"/>
              <w:snapToGrid w:val="0"/>
              <w:spacing w:line="360" w:lineRule="auto"/>
              <w:ind w:firstLine="420" w:firstLineChars="200"/>
              <w:rPr>
                <w:bCs/>
                <w:color w:val="auto"/>
              </w:rPr>
            </w:pPr>
            <w:r>
              <w:rPr>
                <w:bCs/>
                <w:color w:val="auto"/>
              </w:rPr>
              <w:t>本项目</w:t>
            </w:r>
            <w:r>
              <w:rPr>
                <w:rFonts w:hint="eastAsia"/>
                <w:bCs/>
                <w:color w:val="auto"/>
                <w:lang w:val="en-US" w:eastAsia="zh-CN"/>
              </w:rPr>
              <w:t>在现有车间内进行技改</w:t>
            </w:r>
            <w:r>
              <w:rPr>
                <w:bCs/>
                <w:color w:val="auto"/>
              </w:rPr>
              <w:t>，不新增占地。项目占地内没有珍稀动植物物种，生态环境质量一般。项目占地内原有生物物种在项目周围地域广泛存在，基本不影响评价区域的生物多样性，项目运营对周围生态环境基本上没有产生明显的影响。</w:t>
            </w:r>
          </w:p>
          <w:p w14:paraId="7B6408BC">
            <w:pPr>
              <w:adjustRightInd w:val="0"/>
              <w:snapToGrid w:val="0"/>
              <w:spacing w:line="360" w:lineRule="auto"/>
              <w:ind w:firstLine="422" w:firstLineChars="200"/>
              <w:rPr>
                <w:b/>
                <w:color w:val="auto"/>
              </w:rPr>
            </w:pPr>
            <w:r>
              <w:rPr>
                <w:b/>
                <w:color w:val="auto"/>
              </w:rPr>
              <w:t>八、环境风险分析</w:t>
            </w:r>
          </w:p>
          <w:p w14:paraId="4003046D">
            <w:pPr>
              <w:adjustRightInd w:val="0"/>
              <w:snapToGrid w:val="0"/>
              <w:spacing w:line="360" w:lineRule="auto"/>
              <w:ind w:firstLine="420" w:firstLineChars="200"/>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、本项目危险物质和风险源分布及可能影响途径</w:t>
            </w:r>
          </w:p>
          <w:p w14:paraId="336534E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（1）危险物质和风险源分布</w:t>
            </w:r>
          </w:p>
          <w:p w14:paraId="4D8256E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rPr>
              <w:t>本项目</w:t>
            </w:r>
            <w:r>
              <w:rPr>
                <w:rFonts w:hint="eastAsia" w:cs="Times New Roman"/>
                <w:color w:val="auto"/>
                <w:lang w:val="en-US" w:eastAsia="zh-CN"/>
              </w:rPr>
              <w:t>天然气、尿素、润滑油和废润滑油为</w:t>
            </w:r>
            <w:r>
              <w:rPr>
                <w:rFonts w:hint="eastAsia" w:cs="Times New Roman"/>
                <w:color w:val="auto"/>
                <w:highlight w:val="none"/>
                <w:lang w:val="en-US" w:eastAsia="zh-CN"/>
              </w:rPr>
              <w:t>风险物质，天然气为管道运输，最大储存量为0.025t，临界量为10t，尿素储存在仓库中，最大储存量为1t，临界量为100t，润滑油和废润滑油最大储存量为0.2t/a，则Q值为0.00358＜1</w:t>
            </w:r>
            <w:r>
              <w:rPr>
                <w:rFonts w:hint="default" w:ascii="Times New Roman" w:hAnsi="Times New Roman" w:cs="Times New Roman"/>
                <w:color w:val="auto"/>
                <w:highlight w:val="none"/>
              </w:rPr>
              <w:t>。风险评价等级为简单分析。</w:t>
            </w:r>
          </w:p>
          <w:p w14:paraId="69FDF21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（2）可能影响途径</w:t>
            </w:r>
          </w:p>
          <w:p w14:paraId="484BDB1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eastAsia"/>
                <w:color w:val="auto"/>
                <w:highlight w:val="none"/>
                <w:lang w:val="en-US" w:eastAsia="zh-CN"/>
              </w:rPr>
              <w:t>天然气为管道输送，</w:t>
            </w:r>
            <w:r>
              <w:rPr>
                <w:rFonts w:hint="eastAsia"/>
                <w:color w:val="auto"/>
              </w:rPr>
              <w:t>尿素</w:t>
            </w:r>
            <w:r>
              <w:rPr>
                <w:color w:val="auto"/>
              </w:rPr>
              <w:t>存放于</w:t>
            </w:r>
            <w:r>
              <w:rPr>
                <w:rFonts w:hint="eastAsia"/>
                <w:color w:val="auto"/>
              </w:rPr>
              <w:t>包装袋</w:t>
            </w:r>
            <w:r>
              <w:rPr>
                <w:rFonts w:hint="eastAsia"/>
                <w:color w:val="auto"/>
                <w:lang w:eastAsia="zh-CN"/>
              </w:rPr>
              <w:t>，</w:t>
            </w:r>
            <w:r>
              <w:rPr>
                <w:rFonts w:hint="eastAsia"/>
                <w:color w:val="auto"/>
                <w:lang w:val="en-US" w:eastAsia="zh-CN"/>
              </w:rPr>
              <w:t>废润滑油为桶装，暂存在危废间，</w:t>
            </w:r>
            <w:r>
              <w:rPr>
                <w:color w:val="auto"/>
                <w:kern w:val="0"/>
                <w:highlight w:val="none"/>
              </w:rPr>
              <w:t>一般不会发生泄漏</w:t>
            </w:r>
            <w:r>
              <w:rPr>
                <w:rFonts w:hint="default" w:ascii="Times New Roman" w:hAnsi="Times New Roman" w:cs="Times New Roman"/>
                <w:color w:val="auto"/>
                <w:lang w:val="en-US" w:eastAsia="zh-CN"/>
              </w:rPr>
              <w:t>，</w:t>
            </w:r>
            <w:r>
              <w:rPr>
                <w:rFonts w:hint="default" w:ascii="Times New Roman" w:hAnsi="Times New Roman" w:cs="Times New Roman"/>
                <w:color w:val="auto"/>
              </w:rPr>
              <w:t>电器设备维护管理和使用不当，明火管理不当，吸烟等，均可能导致火灾事故发生。产生的消防废水等若是收集处理不当一旦流出厂界会对周边土壤造成影响，下渗会对地下水造成污染，若是进入雨排系统则有可能进入附近地表水体造成污染。</w:t>
            </w:r>
          </w:p>
          <w:p w14:paraId="01BD33E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eastAsia" w:cs="Times New Roman"/>
                <w:color w:val="auto"/>
                <w:lang w:val="en-US" w:eastAsia="zh-CN"/>
              </w:rPr>
              <w:t>2</w:t>
            </w:r>
            <w:r>
              <w:rPr>
                <w:rFonts w:hint="default" w:ascii="Times New Roman" w:hAnsi="Times New Roman" w:cs="Times New Roman"/>
                <w:color w:val="auto"/>
              </w:rPr>
              <w:t>、风险防范措施</w:t>
            </w:r>
          </w:p>
          <w:p w14:paraId="5D6854F1">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1）火灾事故防范措施</w:t>
            </w:r>
          </w:p>
          <w:p w14:paraId="0FA8A723">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严格按照有关建筑防火规范和《爆炸危险环境电力装置设计规范》进行设计；加大宣传教育力度，增强工作人员的整体消防安全意识。参加社会消防安全知识培训，提高广大职工的消防安全意识，使其掌握防火、灭火、逃生的基础知识；制定安全生产管理制度，严禁厂区吸烟和使用明火。电线必须穿管敷设，禁止临时随意拉接。车间内须使用排气风扇，加强通风；禁止无关人员进入车间，车间内严禁堆放杂物。制定和落实消防器材检查、维护保养制度，及时更换、维修消防栓、灭火器、水带等，使其始终处于完好状态。</w:t>
            </w:r>
          </w:p>
          <w:p w14:paraId="0508F79B">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2）大气环境风险防范措施</w:t>
            </w:r>
          </w:p>
          <w:p w14:paraId="464079CC">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①在车间内设置有</w:t>
            </w:r>
            <w:r>
              <w:rPr>
                <w:rFonts w:hint="eastAsia" w:cs="Times New Roman"/>
                <w:bCs/>
                <w:color w:val="auto"/>
                <w:lang w:val="en-US" w:eastAsia="zh-CN"/>
              </w:rPr>
              <w:t>可燃</w:t>
            </w:r>
            <w:r>
              <w:rPr>
                <w:rFonts w:hint="default" w:ascii="Times New Roman" w:hAnsi="Times New Roman" w:cs="Times New Roman"/>
                <w:bCs/>
                <w:color w:val="auto"/>
              </w:rPr>
              <w:t>气体泄漏报警器，报警信号传输到值班室。</w:t>
            </w:r>
          </w:p>
          <w:p w14:paraId="0B18052F">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②车间外配套风向仪，用于观测准确风向，当发生气体泄漏事故时，组织人员向事</w:t>
            </w:r>
          </w:p>
          <w:p w14:paraId="680A5490">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故发生源上风向疏散，以减少对人群的伤害。</w:t>
            </w:r>
          </w:p>
          <w:p w14:paraId="678029B3">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③对设备、法兰等的密封性经常进行检查，防止气体泄漏现象的发生。</w:t>
            </w:r>
          </w:p>
          <w:p w14:paraId="3EB281B0">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④制定规范的操作规程，并严格管理，生产人员应持证上岗。</w:t>
            </w:r>
          </w:p>
          <w:p w14:paraId="69E20900">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3）水环境风险防范措施</w:t>
            </w:r>
          </w:p>
          <w:p w14:paraId="42583244">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项目危废暂存间严格落实《危险废物贮存污染控制标准》（GB18597-2023）要求，需设置有事故水池等泄漏液收集系统，且进行防渗处理，确保事故时</w:t>
            </w:r>
            <w:r>
              <w:rPr>
                <w:rFonts w:hint="eastAsia" w:cs="Times New Roman"/>
                <w:bCs/>
                <w:color w:val="auto"/>
                <w:lang w:eastAsia="zh-CN"/>
              </w:rPr>
              <w:t>泄漏</w:t>
            </w:r>
            <w:r>
              <w:rPr>
                <w:rFonts w:hint="default" w:ascii="Times New Roman" w:hAnsi="Times New Roman" w:cs="Times New Roman"/>
                <w:bCs/>
                <w:color w:val="auto"/>
              </w:rPr>
              <w:t>物质不会通过渗透和地表径流污染地下水和地表水。</w:t>
            </w:r>
          </w:p>
          <w:p w14:paraId="4EA787E4">
            <w:pPr>
              <w:adjustRightInd w:val="0"/>
              <w:snapToGrid w:val="0"/>
              <w:spacing w:line="360" w:lineRule="auto"/>
              <w:ind w:firstLine="420" w:firstLineChars="200"/>
              <w:rPr>
                <w:rFonts w:hint="eastAsia" w:ascii="Times New Roman" w:hAnsi="Times New Roman" w:cs="Times New Roman"/>
                <w:bCs/>
                <w:color w:val="auto"/>
                <w:lang w:eastAsia="zh-CN"/>
              </w:rPr>
            </w:pPr>
            <w:r>
              <w:rPr>
                <w:rFonts w:hint="default" w:ascii="Times New Roman" w:hAnsi="Times New Roman" w:cs="Times New Roman"/>
                <w:bCs/>
                <w:color w:val="auto"/>
              </w:rPr>
              <w:t>企业在生产过程中须加强防范措施并完善风险应急预案，切实防范火灾、爆炸等环境风险事故的发生，企业在严格按照风险防范措施处理情况下，本项目的环境风险是可控的</w:t>
            </w:r>
            <w:r>
              <w:rPr>
                <w:rFonts w:hint="eastAsia" w:ascii="Times New Roman" w:hAnsi="Times New Roman" w:cs="Times New Roman"/>
                <w:bCs/>
                <w:color w:val="auto"/>
                <w:lang w:eastAsia="zh-CN"/>
              </w:rPr>
              <w:t>。</w:t>
            </w:r>
          </w:p>
          <w:p w14:paraId="7F9B73C1">
            <w:pPr>
              <w:adjustRightInd w:val="0"/>
              <w:snapToGrid w:val="0"/>
              <w:spacing w:line="360" w:lineRule="auto"/>
              <w:ind w:firstLine="422" w:firstLineChars="200"/>
              <w:rPr>
                <w:b/>
                <w:color w:val="auto"/>
              </w:rPr>
            </w:pPr>
            <w:r>
              <w:rPr>
                <w:b/>
                <w:color w:val="auto"/>
              </w:rPr>
              <w:t>九、环保投资及三同时分析</w:t>
            </w:r>
          </w:p>
          <w:p w14:paraId="7B5D6691">
            <w:pPr>
              <w:adjustRightInd w:val="0"/>
              <w:snapToGrid w:val="0"/>
              <w:spacing w:line="360" w:lineRule="auto"/>
              <w:ind w:firstLine="420" w:firstLineChars="200"/>
              <w:rPr>
                <w:bCs/>
                <w:color w:val="auto"/>
              </w:rPr>
            </w:pPr>
            <w:r>
              <w:rPr>
                <w:color w:val="auto"/>
              </w:rPr>
              <w:t>工程总投资</w:t>
            </w:r>
            <w:r>
              <w:rPr>
                <w:rFonts w:hint="eastAsia"/>
                <w:color w:val="auto"/>
                <w:lang w:val="en-US" w:eastAsia="zh-CN"/>
              </w:rPr>
              <w:t>500</w:t>
            </w:r>
            <w:r>
              <w:rPr>
                <w:color w:val="auto"/>
              </w:rPr>
              <w:t>万元，环保投资</w:t>
            </w:r>
            <w:r>
              <w:rPr>
                <w:rFonts w:hint="eastAsia"/>
                <w:color w:val="auto"/>
                <w:lang w:val="en-US" w:eastAsia="zh-CN"/>
              </w:rPr>
              <w:t>5</w:t>
            </w:r>
            <w:r>
              <w:rPr>
                <w:color w:val="auto"/>
              </w:rPr>
              <w:t>0万元，占投资的</w:t>
            </w:r>
            <w:r>
              <w:rPr>
                <w:rFonts w:hint="eastAsia"/>
                <w:color w:val="auto"/>
                <w:lang w:val="en-US" w:eastAsia="zh-CN"/>
              </w:rPr>
              <w:t>10</w:t>
            </w:r>
            <w:r>
              <w:rPr>
                <w:color w:val="auto"/>
              </w:rPr>
              <w:t>%，</w:t>
            </w:r>
            <w:r>
              <w:rPr>
                <w:bCs/>
                <w:color w:val="auto"/>
              </w:rPr>
              <w:t>根据项目的工程分析，污染因素分析及治理对策分析和调查，项目环保投资及三同时一览表如下：</w:t>
            </w:r>
          </w:p>
          <w:p w14:paraId="02756FA0">
            <w:pPr>
              <w:adjustRightInd w:val="0"/>
              <w:snapToGrid w:val="0"/>
              <w:spacing w:line="360" w:lineRule="auto"/>
              <w:jc w:val="center"/>
              <w:rPr>
                <w:b/>
                <w:color w:val="auto"/>
              </w:rPr>
            </w:pPr>
            <w:r>
              <w:rPr>
                <w:b/>
                <w:color w:val="auto"/>
              </w:rPr>
              <w:t>表4-</w:t>
            </w:r>
            <w:r>
              <w:rPr>
                <w:rFonts w:hint="eastAsia"/>
                <w:b/>
                <w:color w:val="auto"/>
                <w:lang w:val="en-US" w:eastAsia="zh-CN"/>
              </w:rPr>
              <w:t>19</w:t>
            </w:r>
            <w:r>
              <w:rPr>
                <w:b/>
                <w:color w:val="auto"/>
              </w:rPr>
              <w:t>项目环保投资及“三同时”一览表     单位：万元</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1342"/>
              <w:gridCol w:w="3933"/>
              <w:gridCol w:w="1073"/>
              <w:gridCol w:w="1237"/>
            </w:tblGrid>
            <w:tr w14:paraId="24603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466" w:type="pct"/>
                  <w:vAlign w:val="center"/>
                </w:tcPr>
                <w:p w14:paraId="6BC249CE">
                  <w:pPr>
                    <w:spacing w:line="240" w:lineRule="atLeast"/>
                    <w:jc w:val="center"/>
                    <w:rPr>
                      <w:b/>
                      <w:bCs/>
                      <w:color w:val="auto"/>
                      <w:sz w:val="18"/>
                      <w:szCs w:val="18"/>
                    </w:rPr>
                  </w:pPr>
                  <w:r>
                    <w:rPr>
                      <w:b/>
                      <w:bCs/>
                      <w:color w:val="auto"/>
                      <w:sz w:val="18"/>
                      <w:szCs w:val="18"/>
                    </w:rPr>
                    <w:t>序号</w:t>
                  </w:r>
                </w:p>
              </w:tc>
              <w:tc>
                <w:tcPr>
                  <w:tcW w:w="802" w:type="pct"/>
                  <w:vAlign w:val="center"/>
                </w:tcPr>
                <w:p w14:paraId="3CC58784">
                  <w:pPr>
                    <w:spacing w:line="240" w:lineRule="atLeast"/>
                    <w:jc w:val="center"/>
                    <w:rPr>
                      <w:b/>
                      <w:bCs/>
                      <w:color w:val="auto"/>
                      <w:sz w:val="18"/>
                      <w:szCs w:val="18"/>
                    </w:rPr>
                  </w:pPr>
                  <w:r>
                    <w:rPr>
                      <w:b/>
                      <w:bCs/>
                      <w:color w:val="auto"/>
                      <w:sz w:val="18"/>
                      <w:szCs w:val="18"/>
                    </w:rPr>
                    <w:t>项目</w:t>
                  </w:r>
                </w:p>
              </w:tc>
              <w:tc>
                <w:tcPr>
                  <w:tcW w:w="2350" w:type="pct"/>
                  <w:vAlign w:val="center"/>
                </w:tcPr>
                <w:p w14:paraId="5722639B">
                  <w:pPr>
                    <w:spacing w:line="240" w:lineRule="atLeast"/>
                    <w:jc w:val="center"/>
                    <w:rPr>
                      <w:b/>
                      <w:bCs/>
                      <w:color w:val="auto"/>
                      <w:sz w:val="18"/>
                      <w:szCs w:val="18"/>
                    </w:rPr>
                  </w:pPr>
                  <w:r>
                    <w:rPr>
                      <w:b/>
                      <w:bCs/>
                      <w:color w:val="auto"/>
                      <w:sz w:val="18"/>
                      <w:szCs w:val="18"/>
                    </w:rPr>
                    <w:t>环保措施及验收内容</w:t>
                  </w:r>
                </w:p>
              </w:tc>
              <w:tc>
                <w:tcPr>
                  <w:tcW w:w="641" w:type="pct"/>
                  <w:vAlign w:val="center"/>
                </w:tcPr>
                <w:p w14:paraId="1B033438">
                  <w:pPr>
                    <w:spacing w:line="240" w:lineRule="atLeast"/>
                    <w:jc w:val="center"/>
                    <w:rPr>
                      <w:b/>
                      <w:bCs/>
                      <w:color w:val="auto"/>
                      <w:sz w:val="18"/>
                      <w:szCs w:val="18"/>
                    </w:rPr>
                  </w:pPr>
                  <w:r>
                    <w:rPr>
                      <w:b/>
                      <w:bCs/>
                      <w:color w:val="auto"/>
                      <w:sz w:val="18"/>
                      <w:szCs w:val="18"/>
                    </w:rPr>
                    <w:t>投资估算</w:t>
                  </w:r>
                </w:p>
              </w:tc>
              <w:tc>
                <w:tcPr>
                  <w:tcW w:w="739" w:type="pct"/>
                  <w:vAlign w:val="center"/>
                </w:tcPr>
                <w:p w14:paraId="4889F6A0">
                  <w:pPr>
                    <w:spacing w:line="240" w:lineRule="atLeast"/>
                    <w:jc w:val="center"/>
                    <w:rPr>
                      <w:b/>
                      <w:bCs/>
                      <w:color w:val="auto"/>
                      <w:sz w:val="18"/>
                      <w:szCs w:val="18"/>
                    </w:rPr>
                  </w:pPr>
                  <w:r>
                    <w:rPr>
                      <w:b/>
                      <w:bCs/>
                      <w:color w:val="auto"/>
                      <w:sz w:val="18"/>
                      <w:szCs w:val="18"/>
                    </w:rPr>
                    <w:t>备注</w:t>
                  </w:r>
                </w:p>
              </w:tc>
            </w:tr>
            <w:tr w14:paraId="12425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466" w:type="pct"/>
                  <w:vAlign w:val="center"/>
                </w:tcPr>
                <w:p w14:paraId="4C40D568">
                  <w:pPr>
                    <w:spacing w:line="240" w:lineRule="atLeast"/>
                    <w:jc w:val="center"/>
                    <w:rPr>
                      <w:bCs/>
                      <w:color w:val="auto"/>
                      <w:sz w:val="18"/>
                      <w:szCs w:val="18"/>
                    </w:rPr>
                  </w:pPr>
                  <w:r>
                    <w:rPr>
                      <w:bCs/>
                      <w:color w:val="auto"/>
                      <w:sz w:val="18"/>
                      <w:szCs w:val="18"/>
                    </w:rPr>
                    <w:t>1</w:t>
                  </w:r>
                </w:p>
              </w:tc>
              <w:tc>
                <w:tcPr>
                  <w:tcW w:w="802" w:type="pct"/>
                  <w:vAlign w:val="center"/>
                </w:tcPr>
                <w:p w14:paraId="071AF1DC">
                  <w:pPr>
                    <w:widowControl/>
                    <w:spacing w:line="300" w:lineRule="exact"/>
                    <w:jc w:val="center"/>
                    <w:rPr>
                      <w:bCs/>
                      <w:color w:val="auto"/>
                      <w:sz w:val="18"/>
                      <w:szCs w:val="18"/>
                    </w:rPr>
                  </w:pPr>
                  <w:r>
                    <w:rPr>
                      <w:bCs/>
                      <w:color w:val="auto"/>
                      <w:sz w:val="18"/>
                      <w:szCs w:val="18"/>
                    </w:rPr>
                    <w:t>大气污染防治措施</w:t>
                  </w:r>
                </w:p>
              </w:tc>
              <w:tc>
                <w:tcPr>
                  <w:tcW w:w="2350" w:type="pct"/>
                  <w:vAlign w:val="center"/>
                </w:tcPr>
                <w:p w14:paraId="731A59AF">
                  <w:pPr>
                    <w:pStyle w:val="2"/>
                    <w:widowControl/>
                    <w:spacing w:line="300" w:lineRule="exact"/>
                    <w:ind w:firstLine="0" w:firstLineChars="0"/>
                    <w:jc w:val="center"/>
                    <w:rPr>
                      <w:rFonts w:hint="default"/>
                      <w:bCs/>
                      <w:color w:val="auto"/>
                      <w:sz w:val="18"/>
                      <w:szCs w:val="18"/>
                      <w:lang w:val="en-US"/>
                    </w:rPr>
                  </w:pPr>
                  <w:r>
                    <w:rPr>
                      <w:rFonts w:hint="eastAsia"/>
                      <w:bCs/>
                      <w:color w:val="auto"/>
                      <w:sz w:val="18"/>
                      <w:szCs w:val="18"/>
                      <w:lang w:val="en-US" w:eastAsia="zh-CN"/>
                    </w:rPr>
                    <w:t>2套</w:t>
                  </w:r>
                  <w:r>
                    <w:rPr>
                      <w:rFonts w:hint="eastAsia"/>
                      <w:bCs/>
                      <w:color w:val="auto"/>
                      <w:sz w:val="18"/>
                      <w:szCs w:val="18"/>
                      <w:lang w:eastAsia="zh-CN"/>
                    </w:rPr>
                    <w:t>布袋除尘器</w:t>
                  </w:r>
                  <w:r>
                    <w:rPr>
                      <w:rFonts w:hint="eastAsia"/>
                      <w:color w:val="auto"/>
                      <w:sz w:val="18"/>
                      <w:szCs w:val="18"/>
                      <w:lang w:eastAsia="zh-CN"/>
                    </w:rPr>
                    <w:t>，</w:t>
                  </w:r>
                  <w:r>
                    <w:rPr>
                      <w:rFonts w:hint="eastAsia"/>
                      <w:color w:val="auto"/>
                      <w:sz w:val="18"/>
                      <w:szCs w:val="18"/>
                      <w:lang w:val="en-US" w:eastAsia="zh-CN"/>
                    </w:rPr>
                    <w:t>1套SNCR脱硝设备、</w:t>
                  </w:r>
                  <w:r>
                    <w:rPr>
                      <w:rFonts w:hint="eastAsia"/>
                      <w:color w:val="auto"/>
                      <w:sz w:val="18"/>
                      <w:szCs w:val="18"/>
                      <w:lang w:eastAsia="zh-CN"/>
                    </w:rPr>
                    <w:t>废气管道、集气罩、</w:t>
                  </w:r>
                  <w:r>
                    <w:rPr>
                      <w:rFonts w:hint="eastAsia"/>
                      <w:color w:val="auto"/>
                      <w:sz w:val="18"/>
                      <w:szCs w:val="18"/>
                      <w:lang w:val="en-US" w:eastAsia="zh-CN"/>
                    </w:rPr>
                    <w:t>排气筒</w:t>
                  </w:r>
                </w:p>
              </w:tc>
              <w:tc>
                <w:tcPr>
                  <w:tcW w:w="641" w:type="pct"/>
                  <w:vAlign w:val="center"/>
                </w:tcPr>
                <w:p w14:paraId="5BAE8873">
                  <w:pPr>
                    <w:spacing w:line="240" w:lineRule="atLeast"/>
                    <w:jc w:val="center"/>
                    <w:rPr>
                      <w:bCs/>
                      <w:color w:val="auto"/>
                      <w:sz w:val="18"/>
                      <w:szCs w:val="18"/>
                    </w:rPr>
                  </w:pPr>
                  <w:r>
                    <w:rPr>
                      <w:rFonts w:hint="eastAsia"/>
                      <w:bCs/>
                      <w:color w:val="auto"/>
                      <w:sz w:val="18"/>
                      <w:szCs w:val="18"/>
                      <w:lang w:val="en-US" w:eastAsia="zh-CN"/>
                    </w:rPr>
                    <w:t>25</w:t>
                  </w:r>
                </w:p>
              </w:tc>
              <w:tc>
                <w:tcPr>
                  <w:tcW w:w="739" w:type="pct"/>
                  <w:vMerge w:val="restart"/>
                  <w:vAlign w:val="center"/>
                </w:tcPr>
                <w:p w14:paraId="2B71C877">
                  <w:pPr>
                    <w:widowControl/>
                    <w:spacing w:line="300" w:lineRule="exact"/>
                    <w:jc w:val="center"/>
                    <w:rPr>
                      <w:bCs/>
                      <w:color w:val="auto"/>
                      <w:sz w:val="18"/>
                      <w:szCs w:val="18"/>
                    </w:rPr>
                  </w:pPr>
                  <w:r>
                    <w:rPr>
                      <w:bCs/>
                      <w:color w:val="auto"/>
                      <w:sz w:val="18"/>
                      <w:szCs w:val="18"/>
                    </w:rPr>
                    <w:t>项目的污染治理设施与主体工程同时设计、同时施工、同时投入使用</w:t>
                  </w:r>
                </w:p>
              </w:tc>
            </w:tr>
            <w:tr w14:paraId="14B37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jc w:val="center"/>
              </w:trPr>
              <w:tc>
                <w:tcPr>
                  <w:tcW w:w="466" w:type="pct"/>
                  <w:vAlign w:val="center"/>
                </w:tcPr>
                <w:p w14:paraId="54ED86E4">
                  <w:pPr>
                    <w:spacing w:line="240" w:lineRule="atLeast"/>
                    <w:jc w:val="center"/>
                    <w:rPr>
                      <w:bCs/>
                      <w:color w:val="auto"/>
                      <w:sz w:val="18"/>
                      <w:szCs w:val="18"/>
                    </w:rPr>
                  </w:pPr>
                  <w:r>
                    <w:rPr>
                      <w:bCs/>
                      <w:color w:val="auto"/>
                      <w:sz w:val="18"/>
                      <w:szCs w:val="18"/>
                    </w:rPr>
                    <w:t>2</w:t>
                  </w:r>
                </w:p>
              </w:tc>
              <w:tc>
                <w:tcPr>
                  <w:tcW w:w="802" w:type="pct"/>
                  <w:vAlign w:val="center"/>
                </w:tcPr>
                <w:p w14:paraId="71982193">
                  <w:pPr>
                    <w:widowControl/>
                    <w:spacing w:line="300" w:lineRule="exact"/>
                    <w:jc w:val="center"/>
                    <w:rPr>
                      <w:bCs/>
                      <w:color w:val="auto"/>
                      <w:sz w:val="18"/>
                      <w:szCs w:val="18"/>
                    </w:rPr>
                  </w:pPr>
                  <w:r>
                    <w:rPr>
                      <w:bCs/>
                      <w:color w:val="auto"/>
                      <w:sz w:val="18"/>
                      <w:szCs w:val="18"/>
                    </w:rPr>
                    <w:t>水污染防治措施</w:t>
                  </w:r>
                </w:p>
              </w:tc>
              <w:tc>
                <w:tcPr>
                  <w:tcW w:w="2350" w:type="pct"/>
                  <w:vAlign w:val="center"/>
                </w:tcPr>
                <w:p w14:paraId="7C5F99CB">
                  <w:pPr>
                    <w:adjustRightInd w:val="0"/>
                    <w:snapToGrid w:val="0"/>
                    <w:spacing w:line="240" w:lineRule="atLeast"/>
                    <w:jc w:val="center"/>
                    <w:rPr>
                      <w:rFonts w:hint="eastAsia" w:eastAsia="宋体"/>
                      <w:color w:val="auto"/>
                      <w:lang w:eastAsia="zh-CN"/>
                    </w:rPr>
                  </w:pPr>
                  <w:r>
                    <w:rPr>
                      <w:color w:val="auto"/>
                      <w:sz w:val="18"/>
                      <w:szCs w:val="18"/>
                    </w:rPr>
                    <w:t>化粪池</w:t>
                  </w:r>
                  <w:r>
                    <w:rPr>
                      <w:rFonts w:hint="eastAsia"/>
                      <w:color w:val="auto"/>
                      <w:sz w:val="18"/>
                      <w:szCs w:val="18"/>
                      <w:lang w:eastAsia="zh-CN"/>
                    </w:rPr>
                    <w:t>（依托现有）</w:t>
                  </w:r>
                </w:p>
              </w:tc>
              <w:tc>
                <w:tcPr>
                  <w:tcW w:w="641" w:type="pct"/>
                  <w:vAlign w:val="center"/>
                </w:tcPr>
                <w:p w14:paraId="1484E68C">
                  <w:pPr>
                    <w:spacing w:line="240" w:lineRule="atLeast"/>
                    <w:jc w:val="center"/>
                    <w:rPr>
                      <w:rFonts w:hint="default" w:eastAsia="宋体"/>
                      <w:bCs/>
                      <w:color w:val="auto"/>
                      <w:sz w:val="18"/>
                      <w:szCs w:val="18"/>
                      <w:lang w:val="en-US" w:eastAsia="zh-CN"/>
                    </w:rPr>
                  </w:pPr>
                  <w:r>
                    <w:rPr>
                      <w:rFonts w:hint="eastAsia"/>
                      <w:bCs/>
                      <w:color w:val="auto"/>
                      <w:sz w:val="18"/>
                      <w:szCs w:val="18"/>
                      <w:lang w:val="en-US" w:eastAsia="zh-CN"/>
                    </w:rPr>
                    <w:t>0</w:t>
                  </w:r>
                </w:p>
              </w:tc>
              <w:tc>
                <w:tcPr>
                  <w:tcW w:w="739" w:type="pct"/>
                  <w:vMerge w:val="continue"/>
                  <w:vAlign w:val="center"/>
                </w:tcPr>
                <w:p w14:paraId="4EC4D6B7">
                  <w:pPr>
                    <w:widowControl/>
                    <w:spacing w:line="300" w:lineRule="exact"/>
                    <w:jc w:val="center"/>
                    <w:rPr>
                      <w:bCs/>
                      <w:color w:val="auto"/>
                      <w:sz w:val="18"/>
                      <w:szCs w:val="18"/>
                    </w:rPr>
                  </w:pPr>
                </w:p>
              </w:tc>
            </w:tr>
            <w:tr w14:paraId="17053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2" w:hRule="atLeast"/>
                <w:jc w:val="center"/>
              </w:trPr>
              <w:tc>
                <w:tcPr>
                  <w:tcW w:w="466" w:type="pct"/>
                  <w:vAlign w:val="center"/>
                </w:tcPr>
                <w:p w14:paraId="625781C0">
                  <w:pPr>
                    <w:spacing w:line="240" w:lineRule="atLeast"/>
                    <w:jc w:val="center"/>
                    <w:rPr>
                      <w:bCs/>
                      <w:color w:val="auto"/>
                      <w:sz w:val="18"/>
                      <w:szCs w:val="18"/>
                    </w:rPr>
                  </w:pPr>
                  <w:r>
                    <w:rPr>
                      <w:bCs/>
                      <w:color w:val="auto"/>
                      <w:sz w:val="18"/>
                      <w:szCs w:val="18"/>
                    </w:rPr>
                    <w:t>3</w:t>
                  </w:r>
                </w:p>
              </w:tc>
              <w:tc>
                <w:tcPr>
                  <w:tcW w:w="802" w:type="pct"/>
                  <w:vAlign w:val="center"/>
                </w:tcPr>
                <w:p w14:paraId="502AF6D5">
                  <w:pPr>
                    <w:widowControl/>
                    <w:spacing w:line="300" w:lineRule="exact"/>
                    <w:jc w:val="center"/>
                    <w:rPr>
                      <w:bCs/>
                      <w:color w:val="auto"/>
                      <w:sz w:val="18"/>
                      <w:szCs w:val="18"/>
                    </w:rPr>
                  </w:pPr>
                  <w:r>
                    <w:rPr>
                      <w:bCs/>
                      <w:color w:val="auto"/>
                      <w:sz w:val="18"/>
                      <w:szCs w:val="18"/>
                    </w:rPr>
                    <w:t>噪声污染防治措施</w:t>
                  </w:r>
                </w:p>
              </w:tc>
              <w:tc>
                <w:tcPr>
                  <w:tcW w:w="2350" w:type="pct"/>
                  <w:vAlign w:val="center"/>
                </w:tcPr>
                <w:p w14:paraId="5B3A3D49">
                  <w:pPr>
                    <w:widowControl/>
                    <w:spacing w:line="300" w:lineRule="exact"/>
                    <w:jc w:val="center"/>
                    <w:rPr>
                      <w:bCs/>
                      <w:color w:val="auto"/>
                      <w:sz w:val="18"/>
                      <w:szCs w:val="18"/>
                    </w:rPr>
                  </w:pPr>
                  <w:r>
                    <w:rPr>
                      <w:bCs/>
                      <w:color w:val="auto"/>
                      <w:sz w:val="18"/>
                      <w:szCs w:val="18"/>
                    </w:rPr>
                    <w:t>合理布置，高噪声设备采用减震、消声、隔声等降噪措施。</w:t>
                  </w:r>
                </w:p>
              </w:tc>
              <w:tc>
                <w:tcPr>
                  <w:tcW w:w="641" w:type="pct"/>
                  <w:vAlign w:val="center"/>
                </w:tcPr>
                <w:p w14:paraId="0A1A72A1">
                  <w:pPr>
                    <w:spacing w:line="240" w:lineRule="atLeast"/>
                    <w:jc w:val="center"/>
                    <w:rPr>
                      <w:rFonts w:hint="default" w:eastAsia="宋体"/>
                      <w:bCs/>
                      <w:color w:val="auto"/>
                      <w:sz w:val="18"/>
                      <w:szCs w:val="18"/>
                      <w:lang w:val="en-US" w:eastAsia="zh-CN"/>
                    </w:rPr>
                  </w:pPr>
                  <w:r>
                    <w:rPr>
                      <w:rFonts w:hint="eastAsia"/>
                      <w:bCs/>
                      <w:color w:val="auto"/>
                      <w:sz w:val="18"/>
                      <w:szCs w:val="18"/>
                      <w:lang w:val="en-US" w:eastAsia="zh-CN"/>
                    </w:rPr>
                    <w:t>10</w:t>
                  </w:r>
                </w:p>
              </w:tc>
              <w:tc>
                <w:tcPr>
                  <w:tcW w:w="739" w:type="pct"/>
                  <w:vMerge w:val="continue"/>
                  <w:vAlign w:val="center"/>
                </w:tcPr>
                <w:p w14:paraId="10BE72AF">
                  <w:pPr>
                    <w:widowControl/>
                    <w:spacing w:line="300" w:lineRule="exact"/>
                    <w:jc w:val="center"/>
                    <w:rPr>
                      <w:bCs/>
                      <w:color w:val="auto"/>
                      <w:sz w:val="18"/>
                      <w:szCs w:val="18"/>
                    </w:rPr>
                  </w:pPr>
                </w:p>
              </w:tc>
            </w:tr>
            <w:tr w14:paraId="415FA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466" w:type="pct"/>
                  <w:vAlign w:val="center"/>
                </w:tcPr>
                <w:p w14:paraId="5835B556">
                  <w:pPr>
                    <w:spacing w:line="240" w:lineRule="atLeast"/>
                    <w:jc w:val="center"/>
                    <w:rPr>
                      <w:bCs/>
                      <w:color w:val="auto"/>
                      <w:sz w:val="18"/>
                      <w:szCs w:val="18"/>
                    </w:rPr>
                  </w:pPr>
                  <w:r>
                    <w:rPr>
                      <w:bCs/>
                      <w:color w:val="auto"/>
                      <w:sz w:val="18"/>
                      <w:szCs w:val="18"/>
                    </w:rPr>
                    <w:t>4</w:t>
                  </w:r>
                </w:p>
              </w:tc>
              <w:tc>
                <w:tcPr>
                  <w:tcW w:w="802" w:type="pct"/>
                  <w:vAlign w:val="center"/>
                </w:tcPr>
                <w:p w14:paraId="543783F2">
                  <w:pPr>
                    <w:widowControl/>
                    <w:spacing w:line="300" w:lineRule="exact"/>
                    <w:jc w:val="center"/>
                    <w:rPr>
                      <w:bCs/>
                      <w:color w:val="auto"/>
                      <w:sz w:val="18"/>
                      <w:szCs w:val="18"/>
                    </w:rPr>
                  </w:pPr>
                  <w:r>
                    <w:rPr>
                      <w:bCs/>
                      <w:color w:val="auto"/>
                      <w:sz w:val="18"/>
                      <w:szCs w:val="18"/>
                    </w:rPr>
                    <w:t>固体废物处理处置措施</w:t>
                  </w:r>
                </w:p>
              </w:tc>
              <w:tc>
                <w:tcPr>
                  <w:tcW w:w="2350" w:type="pct"/>
                  <w:vAlign w:val="center"/>
                </w:tcPr>
                <w:p w14:paraId="1D5377F8">
                  <w:pPr>
                    <w:widowControl/>
                    <w:spacing w:line="300" w:lineRule="exact"/>
                    <w:jc w:val="center"/>
                    <w:rPr>
                      <w:rFonts w:hint="default"/>
                      <w:bCs/>
                      <w:color w:val="auto"/>
                      <w:sz w:val="18"/>
                      <w:szCs w:val="18"/>
                      <w:lang w:val="en-US"/>
                    </w:rPr>
                  </w:pPr>
                  <w:r>
                    <w:rPr>
                      <w:rFonts w:hint="eastAsia"/>
                      <w:bCs/>
                      <w:color w:val="auto"/>
                      <w:sz w:val="18"/>
                      <w:szCs w:val="18"/>
                      <w:lang w:val="en-US" w:eastAsia="zh-CN"/>
                    </w:rPr>
                    <w:t>垃圾桶、一般固废暂存处、危废暂存间</w:t>
                  </w:r>
                </w:p>
              </w:tc>
              <w:tc>
                <w:tcPr>
                  <w:tcW w:w="641" w:type="pct"/>
                  <w:vAlign w:val="center"/>
                </w:tcPr>
                <w:p w14:paraId="753B594F">
                  <w:pPr>
                    <w:spacing w:line="240" w:lineRule="atLeast"/>
                    <w:jc w:val="center"/>
                    <w:rPr>
                      <w:rFonts w:hint="default" w:eastAsia="宋体"/>
                      <w:bCs/>
                      <w:color w:val="auto"/>
                      <w:sz w:val="18"/>
                      <w:szCs w:val="18"/>
                      <w:lang w:val="en-US" w:eastAsia="zh-CN"/>
                    </w:rPr>
                  </w:pPr>
                  <w:r>
                    <w:rPr>
                      <w:rFonts w:hint="eastAsia"/>
                      <w:bCs/>
                      <w:color w:val="auto"/>
                      <w:sz w:val="18"/>
                      <w:szCs w:val="18"/>
                      <w:lang w:val="en-US" w:eastAsia="zh-CN"/>
                    </w:rPr>
                    <w:t>5</w:t>
                  </w:r>
                </w:p>
              </w:tc>
              <w:tc>
                <w:tcPr>
                  <w:tcW w:w="739" w:type="pct"/>
                  <w:vMerge w:val="continue"/>
                  <w:vAlign w:val="center"/>
                </w:tcPr>
                <w:p w14:paraId="6BAF4DF5">
                  <w:pPr>
                    <w:widowControl/>
                    <w:spacing w:line="300" w:lineRule="exact"/>
                    <w:jc w:val="center"/>
                    <w:rPr>
                      <w:bCs/>
                      <w:color w:val="auto"/>
                      <w:sz w:val="18"/>
                      <w:szCs w:val="18"/>
                    </w:rPr>
                  </w:pPr>
                </w:p>
              </w:tc>
            </w:tr>
            <w:tr w14:paraId="5E49F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466" w:type="pct"/>
                  <w:vAlign w:val="center"/>
                </w:tcPr>
                <w:p w14:paraId="1519B435">
                  <w:pPr>
                    <w:spacing w:line="240" w:lineRule="atLeast"/>
                    <w:jc w:val="center"/>
                    <w:rPr>
                      <w:bCs/>
                      <w:color w:val="auto"/>
                      <w:sz w:val="18"/>
                      <w:szCs w:val="18"/>
                    </w:rPr>
                  </w:pPr>
                  <w:r>
                    <w:rPr>
                      <w:bCs/>
                      <w:color w:val="auto"/>
                      <w:sz w:val="18"/>
                      <w:szCs w:val="18"/>
                    </w:rPr>
                    <w:t>5</w:t>
                  </w:r>
                </w:p>
              </w:tc>
              <w:tc>
                <w:tcPr>
                  <w:tcW w:w="802" w:type="pct"/>
                  <w:vAlign w:val="center"/>
                </w:tcPr>
                <w:p w14:paraId="251DE65F">
                  <w:pPr>
                    <w:widowControl/>
                    <w:spacing w:line="300" w:lineRule="exact"/>
                    <w:jc w:val="center"/>
                    <w:rPr>
                      <w:bCs/>
                      <w:color w:val="auto"/>
                      <w:sz w:val="18"/>
                      <w:szCs w:val="18"/>
                    </w:rPr>
                  </w:pPr>
                  <w:r>
                    <w:rPr>
                      <w:bCs/>
                      <w:color w:val="auto"/>
                      <w:sz w:val="18"/>
                      <w:szCs w:val="18"/>
                    </w:rPr>
                    <w:t>地下水、土壤防治措施</w:t>
                  </w:r>
                </w:p>
              </w:tc>
              <w:tc>
                <w:tcPr>
                  <w:tcW w:w="2350" w:type="pct"/>
                  <w:vAlign w:val="center"/>
                </w:tcPr>
                <w:p w14:paraId="46B5A124">
                  <w:pPr>
                    <w:widowControl/>
                    <w:spacing w:line="300" w:lineRule="exact"/>
                    <w:jc w:val="center"/>
                    <w:rPr>
                      <w:bCs/>
                      <w:color w:val="auto"/>
                      <w:sz w:val="18"/>
                      <w:szCs w:val="18"/>
                    </w:rPr>
                  </w:pPr>
                  <w:r>
                    <w:rPr>
                      <w:bCs/>
                      <w:color w:val="auto"/>
                      <w:sz w:val="18"/>
                      <w:szCs w:val="18"/>
                    </w:rPr>
                    <w:t>地面硬化+防渗处理</w:t>
                  </w:r>
                </w:p>
              </w:tc>
              <w:tc>
                <w:tcPr>
                  <w:tcW w:w="641" w:type="pct"/>
                  <w:vAlign w:val="center"/>
                </w:tcPr>
                <w:p w14:paraId="7CCA29BB">
                  <w:pPr>
                    <w:spacing w:line="240" w:lineRule="atLeast"/>
                    <w:jc w:val="center"/>
                    <w:rPr>
                      <w:rFonts w:hint="default" w:eastAsia="宋体"/>
                      <w:bCs/>
                      <w:color w:val="auto"/>
                      <w:sz w:val="18"/>
                      <w:szCs w:val="18"/>
                      <w:lang w:val="en-US" w:eastAsia="zh-CN"/>
                    </w:rPr>
                  </w:pPr>
                  <w:r>
                    <w:rPr>
                      <w:rFonts w:hint="eastAsia"/>
                      <w:bCs/>
                      <w:color w:val="auto"/>
                      <w:sz w:val="18"/>
                      <w:szCs w:val="18"/>
                      <w:lang w:val="en-US" w:eastAsia="zh-CN"/>
                    </w:rPr>
                    <w:t>10</w:t>
                  </w:r>
                </w:p>
              </w:tc>
              <w:tc>
                <w:tcPr>
                  <w:tcW w:w="739" w:type="pct"/>
                  <w:vMerge w:val="continue"/>
                  <w:vAlign w:val="center"/>
                </w:tcPr>
                <w:p w14:paraId="10A4B119">
                  <w:pPr>
                    <w:widowControl/>
                    <w:spacing w:line="300" w:lineRule="exact"/>
                    <w:jc w:val="center"/>
                    <w:rPr>
                      <w:bCs/>
                      <w:color w:val="auto"/>
                      <w:sz w:val="18"/>
                      <w:szCs w:val="18"/>
                    </w:rPr>
                  </w:pPr>
                </w:p>
              </w:tc>
            </w:tr>
            <w:tr w14:paraId="01975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18" w:type="pct"/>
                  <w:gridSpan w:val="3"/>
                  <w:vAlign w:val="center"/>
                </w:tcPr>
                <w:p w14:paraId="5D7FDBDC">
                  <w:pPr>
                    <w:pStyle w:val="894"/>
                    <w:tabs>
                      <w:tab w:val="clear" w:pos="400"/>
                    </w:tabs>
                    <w:spacing w:line="300" w:lineRule="exact"/>
                    <w:ind w:firstLine="0"/>
                    <w:jc w:val="center"/>
                    <w:rPr>
                      <w:bCs/>
                      <w:color w:val="auto"/>
                      <w:sz w:val="18"/>
                      <w:szCs w:val="18"/>
                    </w:rPr>
                  </w:pPr>
                  <w:r>
                    <w:rPr>
                      <w:bCs/>
                      <w:color w:val="auto"/>
                      <w:sz w:val="18"/>
                      <w:szCs w:val="18"/>
                    </w:rPr>
                    <w:t>合计</w:t>
                  </w:r>
                </w:p>
              </w:tc>
              <w:tc>
                <w:tcPr>
                  <w:tcW w:w="641" w:type="pct"/>
                  <w:vAlign w:val="center"/>
                </w:tcPr>
                <w:p w14:paraId="62CEFE8F">
                  <w:pPr>
                    <w:pStyle w:val="894"/>
                    <w:tabs>
                      <w:tab w:val="clear" w:pos="400"/>
                    </w:tabs>
                    <w:spacing w:line="300" w:lineRule="exact"/>
                    <w:ind w:firstLine="0"/>
                    <w:jc w:val="center"/>
                    <w:rPr>
                      <w:rFonts w:hint="default"/>
                      <w:bCs/>
                      <w:color w:val="auto"/>
                      <w:sz w:val="18"/>
                      <w:szCs w:val="18"/>
                      <w:lang w:val="en-US"/>
                    </w:rPr>
                  </w:pPr>
                  <w:r>
                    <w:rPr>
                      <w:rFonts w:hint="eastAsia"/>
                      <w:bCs/>
                      <w:color w:val="auto"/>
                      <w:sz w:val="18"/>
                      <w:szCs w:val="18"/>
                      <w:lang w:val="en-US" w:eastAsia="zh-CN"/>
                    </w:rPr>
                    <w:t>50</w:t>
                  </w:r>
                </w:p>
              </w:tc>
              <w:tc>
                <w:tcPr>
                  <w:tcW w:w="739" w:type="pct"/>
                  <w:vMerge w:val="continue"/>
                  <w:vAlign w:val="center"/>
                </w:tcPr>
                <w:p w14:paraId="362AA946">
                  <w:pPr>
                    <w:spacing w:line="240" w:lineRule="atLeast"/>
                    <w:jc w:val="center"/>
                    <w:rPr>
                      <w:bCs/>
                      <w:color w:val="auto"/>
                      <w:sz w:val="18"/>
                      <w:szCs w:val="18"/>
                    </w:rPr>
                  </w:pPr>
                </w:p>
              </w:tc>
            </w:tr>
          </w:tbl>
          <w:p w14:paraId="14317B3C">
            <w:pPr>
              <w:adjustRightInd w:val="0"/>
              <w:snapToGrid w:val="0"/>
              <w:spacing w:line="360" w:lineRule="auto"/>
              <w:ind w:firstLine="422" w:firstLineChars="200"/>
              <w:rPr>
                <w:b/>
                <w:bCs/>
                <w:color w:val="auto"/>
              </w:rPr>
            </w:pPr>
            <w:r>
              <w:rPr>
                <w:rFonts w:hint="eastAsia"/>
                <w:b/>
                <w:bCs/>
                <w:color w:val="auto"/>
              </w:rPr>
              <w:t>十</w:t>
            </w:r>
            <w:r>
              <w:rPr>
                <w:b/>
                <w:bCs/>
                <w:color w:val="auto"/>
              </w:rPr>
              <w:t>、环境管理</w:t>
            </w:r>
          </w:p>
          <w:p w14:paraId="7E5D69F2">
            <w:pPr>
              <w:pStyle w:val="34"/>
              <w:adjustRightInd w:val="0"/>
              <w:spacing w:before="0" w:after="0" w:line="360" w:lineRule="auto"/>
              <w:ind w:right="0" w:firstLine="422" w:firstLineChars="200"/>
              <w:rPr>
                <w:b/>
                <w:bCs/>
                <w:color w:val="auto"/>
                <w:sz w:val="21"/>
                <w:szCs w:val="21"/>
              </w:rPr>
            </w:pPr>
            <w:r>
              <w:rPr>
                <w:rFonts w:hint="eastAsia"/>
                <w:b/>
                <w:bCs/>
                <w:color w:val="auto"/>
                <w:sz w:val="21"/>
                <w:szCs w:val="21"/>
              </w:rPr>
              <w:t>（1）</w:t>
            </w:r>
            <w:r>
              <w:rPr>
                <w:b/>
                <w:bCs/>
                <w:color w:val="auto"/>
                <w:sz w:val="21"/>
                <w:szCs w:val="21"/>
              </w:rPr>
              <w:t>环境信息公开</w:t>
            </w:r>
          </w:p>
          <w:p w14:paraId="40850419">
            <w:pPr>
              <w:pStyle w:val="34"/>
              <w:adjustRightInd w:val="0"/>
              <w:spacing w:before="0" w:after="0" w:line="360" w:lineRule="auto"/>
              <w:ind w:right="0" w:firstLine="480"/>
              <w:rPr>
                <w:color w:val="auto"/>
                <w:sz w:val="21"/>
                <w:szCs w:val="21"/>
              </w:rPr>
            </w:pPr>
            <w:r>
              <w:rPr>
                <w:color w:val="auto"/>
                <w:sz w:val="21"/>
                <w:szCs w:val="21"/>
              </w:rPr>
              <w:t>环保机构合理设置对于有效地管理较为重要，一般分为环境管理机构和监测机构两部分。本项目建成后，建设单位应设立专门的环境管理机构，配备专职（可兼职）环保人员，负责该公司日常环保监督管理工作。保证工作质量，且专职环保人员需经过专职的培训，并定期参加国家或地方环保部门的考核。</w:t>
            </w:r>
          </w:p>
          <w:p w14:paraId="070ED476">
            <w:pPr>
              <w:pStyle w:val="34"/>
              <w:adjustRightInd w:val="0"/>
              <w:spacing w:before="0" w:after="0" w:line="360" w:lineRule="auto"/>
              <w:ind w:right="0" w:firstLine="422" w:firstLineChars="200"/>
              <w:rPr>
                <w:b/>
                <w:bCs/>
                <w:color w:val="auto"/>
                <w:sz w:val="21"/>
                <w:szCs w:val="21"/>
              </w:rPr>
            </w:pPr>
            <w:r>
              <w:rPr>
                <w:rFonts w:hint="eastAsia"/>
                <w:b/>
                <w:bCs/>
                <w:color w:val="auto"/>
                <w:sz w:val="21"/>
                <w:szCs w:val="21"/>
              </w:rPr>
              <w:t>（2）</w:t>
            </w:r>
            <w:r>
              <w:rPr>
                <w:b/>
                <w:bCs/>
                <w:color w:val="auto"/>
                <w:sz w:val="21"/>
                <w:szCs w:val="21"/>
              </w:rPr>
              <w:t>环保机构职责</w:t>
            </w:r>
          </w:p>
          <w:p w14:paraId="4AFCFDB5">
            <w:pPr>
              <w:pStyle w:val="34"/>
              <w:adjustRightInd w:val="0"/>
              <w:spacing w:before="0" w:after="0" w:line="360" w:lineRule="auto"/>
              <w:ind w:right="0" w:firstLine="420" w:firstLineChars="200"/>
              <w:rPr>
                <w:color w:val="auto"/>
                <w:sz w:val="21"/>
                <w:szCs w:val="21"/>
              </w:rPr>
            </w:pPr>
            <w:r>
              <w:rPr>
                <w:color w:val="auto"/>
                <w:sz w:val="21"/>
                <w:szCs w:val="21"/>
              </w:rPr>
              <w:t>本项目环境管理机构应履行以下主要职责：</w:t>
            </w:r>
          </w:p>
          <w:p w14:paraId="2B8EE3F7">
            <w:pPr>
              <w:pStyle w:val="34"/>
              <w:adjustRightInd w:val="0"/>
              <w:spacing w:before="0" w:after="0" w:line="360" w:lineRule="auto"/>
              <w:ind w:right="0" w:firstLine="480"/>
              <w:rPr>
                <w:color w:val="auto"/>
                <w:sz w:val="21"/>
                <w:szCs w:val="21"/>
              </w:rPr>
            </w:pPr>
            <w:r>
              <w:rPr>
                <w:color w:val="auto"/>
                <w:sz w:val="21"/>
                <w:szCs w:val="21"/>
              </w:rPr>
              <w:t>①组织宣传贯彻国家和地方的环境保护方针、政策、标准，对企业员工进行环保知识教育；</w:t>
            </w:r>
          </w:p>
          <w:p w14:paraId="6C7C6799">
            <w:pPr>
              <w:pStyle w:val="34"/>
              <w:adjustRightInd w:val="0"/>
              <w:spacing w:before="0" w:after="0" w:line="360" w:lineRule="auto"/>
              <w:ind w:right="0" w:firstLine="420" w:firstLineChars="200"/>
              <w:rPr>
                <w:color w:val="auto"/>
                <w:sz w:val="21"/>
                <w:szCs w:val="21"/>
              </w:rPr>
            </w:pPr>
            <w:r>
              <w:rPr>
                <w:color w:val="auto"/>
                <w:sz w:val="21"/>
                <w:szCs w:val="21"/>
              </w:rPr>
              <w:t>②组织制定和修改项目的环境保护管理规章制度并监督执行；</w:t>
            </w:r>
          </w:p>
          <w:p w14:paraId="05214D3A">
            <w:pPr>
              <w:pStyle w:val="34"/>
              <w:adjustRightInd w:val="0"/>
              <w:spacing w:before="0" w:after="0" w:line="360" w:lineRule="auto"/>
              <w:ind w:right="0" w:firstLine="480"/>
              <w:rPr>
                <w:color w:val="auto"/>
                <w:sz w:val="21"/>
                <w:szCs w:val="21"/>
              </w:rPr>
            </w:pPr>
            <w:r>
              <w:rPr>
                <w:color w:val="auto"/>
                <w:sz w:val="21"/>
                <w:szCs w:val="21"/>
              </w:rPr>
              <w:t>③根据国家、地方政府等规定的环境质量要求，结合本项目实际情况制定并组织实施各项环境保护规则和计划，协调经济发展和环境保护之间的关系；</w:t>
            </w:r>
          </w:p>
          <w:p w14:paraId="5864B234">
            <w:pPr>
              <w:pStyle w:val="34"/>
              <w:adjustRightInd w:val="0"/>
              <w:spacing w:before="0" w:after="0" w:line="360" w:lineRule="auto"/>
              <w:ind w:right="0" w:firstLine="480"/>
              <w:rPr>
                <w:color w:val="auto"/>
                <w:sz w:val="21"/>
                <w:szCs w:val="21"/>
              </w:rPr>
            </w:pPr>
            <w:r>
              <w:rPr>
                <w:color w:val="auto"/>
                <w:sz w:val="21"/>
                <w:szCs w:val="21"/>
              </w:rPr>
              <w:t>④检查项目环境保护设施运行状况，配合厂内日常环境监测，确保各污染物控制措施可靠、有效；</w:t>
            </w:r>
          </w:p>
          <w:p w14:paraId="528DA67D">
            <w:pPr>
              <w:pStyle w:val="34"/>
              <w:adjustRightInd w:val="0"/>
              <w:spacing w:before="0" w:after="0" w:line="360" w:lineRule="auto"/>
              <w:ind w:right="0" w:firstLine="420" w:firstLineChars="200"/>
              <w:rPr>
                <w:color w:val="auto"/>
                <w:sz w:val="21"/>
                <w:szCs w:val="21"/>
              </w:rPr>
            </w:pPr>
            <w:r>
              <w:rPr>
                <w:color w:val="auto"/>
                <w:sz w:val="21"/>
                <w:szCs w:val="21"/>
              </w:rPr>
              <w:t>⑤对可能造成的环境污染及时向上级汇报，并提出防治、应急措施；</w:t>
            </w:r>
          </w:p>
          <w:p w14:paraId="63CA34BD">
            <w:pPr>
              <w:pStyle w:val="34"/>
              <w:adjustRightInd w:val="0"/>
              <w:spacing w:before="0" w:after="0" w:line="360" w:lineRule="auto"/>
              <w:ind w:right="0" w:firstLine="420" w:firstLineChars="200"/>
              <w:rPr>
                <w:color w:val="auto"/>
                <w:sz w:val="21"/>
                <w:szCs w:val="21"/>
              </w:rPr>
            </w:pPr>
            <w:r>
              <w:rPr>
                <w:color w:val="auto"/>
                <w:sz w:val="21"/>
                <w:szCs w:val="21"/>
              </w:rPr>
              <w:t>⑥组织开展项目的环境保护专业技术培训，提高员工环保素质；</w:t>
            </w:r>
          </w:p>
          <w:p w14:paraId="77426106">
            <w:pPr>
              <w:pStyle w:val="34"/>
              <w:adjustRightInd w:val="0"/>
              <w:spacing w:before="0" w:after="0" w:line="360" w:lineRule="auto"/>
              <w:ind w:right="0" w:firstLine="480"/>
              <w:rPr>
                <w:color w:val="auto"/>
                <w:sz w:val="21"/>
                <w:szCs w:val="21"/>
              </w:rPr>
            </w:pPr>
            <w:r>
              <w:rPr>
                <w:color w:val="auto"/>
                <w:sz w:val="21"/>
                <w:szCs w:val="21"/>
              </w:rPr>
              <w:t>⑦接受地方</w:t>
            </w:r>
            <w:r>
              <w:rPr>
                <w:rFonts w:hint="eastAsia"/>
                <w:color w:val="auto"/>
                <w:sz w:val="21"/>
                <w:szCs w:val="21"/>
              </w:rPr>
              <w:t>生态环境</w:t>
            </w:r>
            <w:r>
              <w:rPr>
                <w:color w:val="auto"/>
                <w:sz w:val="21"/>
                <w:szCs w:val="21"/>
              </w:rPr>
              <w:t>局的业务指导和监督，按要求上报各项管理工作的执行情况及有关环境数据，为区域整体环境管理服务；</w:t>
            </w:r>
          </w:p>
          <w:p w14:paraId="3F919804">
            <w:pPr>
              <w:pStyle w:val="34"/>
              <w:adjustRightInd w:val="0"/>
              <w:spacing w:before="0" w:after="0" w:line="360" w:lineRule="auto"/>
              <w:ind w:right="0" w:firstLine="420" w:firstLineChars="200"/>
              <w:rPr>
                <w:color w:val="auto"/>
                <w:sz w:val="21"/>
                <w:szCs w:val="21"/>
              </w:rPr>
            </w:pPr>
            <w:r>
              <w:rPr>
                <w:color w:val="auto"/>
                <w:sz w:val="21"/>
                <w:szCs w:val="21"/>
              </w:rPr>
              <w:t>⑧推广应用环境保护先进技术和经验。</w:t>
            </w:r>
          </w:p>
          <w:p w14:paraId="5C5E3637">
            <w:pPr>
              <w:pStyle w:val="34"/>
              <w:adjustRightInd w:val="0"/>
              <w:spacing w:before="0" w:after="0" w:line="360" w:lineRule="auto"/>
              <w:ind w:right="0" w:firstLine="422" w:firstLineChars="200"/>
              <w:rPr>
                <w:b/>
                <w:bCs/>
                <w:color w:val="auto"/>
                <w:sz w:val="21"/>
                <w:szCs w:val="21"/>
              </w:rPr>
            </w:pPr>
            <w:r>
              <w:rPr>
                <w:rFonts w:hint="eastAsia"/>
                <w:b/>
                <w:bCs/>
                <w:color w:val="auto"/>
                <w:sz w:val="21"/>
                <w:szCs w:val="21"/>
              </w:rPr>
              <w:t>（3）</w:t>
            </w:r>
            <w:r>
              <w:rPr>
                <w:b/>
                <w:bCs/>
                <w:color w:val="auto"/>
                <w:sz w:val="21"/>
                <w:szCs w:val="21"/>
              </w:rPr>
              <w:t>环境保护管理制度</w:t>
            </w:r>
          </w:p>
          <w:p w14:paraId="49ADBBBB">
            <w:pPr>
              <w:pStyle w:val="34"/>
              <w:adjustRightInd w:val="0"/>
              <w:spacing w:before="0" w:after="0" w:line="360" w:lineRule="auto"/>
              <w:ind w:right="0" w:firstLine="480"/>
              <w:rPr>
                <w:color w:val="auto"/>
                <w:sz w:val="21"/>
                <w:szCs w:val="21"/>
              </w:rPr>
            </w:pPr>
            <w:r>
              <w:rPr>
                <w:color w:val="auto"/>
                <w:sz w:val="21"/>
                <w:szCs w:val="21"/>
              </w:rPr>
              <w:t>①对技术工人进行上岗前的环保知识法规教育及操作规范的培训，使各项环保设施的操作规范化，保证环保设施的正常运转；</w:t>
            </w:r>
          </w:p>
          <w:p w14:paraId="04F8D8A8">
            <w:pPr>
              <w:pStyle w:val="34"/>
              <w:adjustRightInd w:val="0"/>
              <w:spacing w:before="0" w:after="0" w:line="360" w:lineRule="auto"/>
              <w:ind w:right="0" w:firstLine="480"/>
              <w:rPr>
                <w:color w:val="auto"/>
                <w:sz w:val="21"/>
                <w:szCs w:val="21"/>
              </w:rPr>
            </w:pPr>
            <w:r>
              <w:rPr>
                <w:color w:val="auto"/>
                <w:sz w:val="21"/>
                <w:szCs w:val="21"/>
              </w:rPr>
              <w:t>②定期向环保主管部门汇报环保工作情况，污染治理设施运行情况，监视性监测结果；</w:t>
            </w:r>
          </w:p>
          <w:p w14:paraId="7F2A4024">
            <w:pPr>
              <w:pStyle w:val="34"/>
              <w:adjustRightInd w:val="0"/>
              <w:spacing w:before="0" w:after="0" w:line="360" w:lineRule="auto"/>
              <w:ind w:right="0" w:firstLine="480"/>
              <w:rPr>
                <w:color w:val="auto"/>
                <w:sz w:val="21"/>
                <w:szCs w:val="21"/>
              </w:rPr>
            </w:pPr>
            <w:r>
              <w:rPr>
                <w:color w:val="auto"/>
                <w:sz w:val="21"/>
                <w:szCs w:val="21"/>
              </w:rPr>
              <w:t>③加强环境监测工作，重点是各污染源的监测，并注意做好记录，监测中如发现异常情况应及时向有关部门通报，及时采取应急措施，防止事故排放；</w:t>
            </w:r>
          </w:p>
          <w:p w14:paraId="489DF7FE">
            <w:pPr>
              <w:pStyle w:val="34"/>
              <w:adjustRightInd w:val="0"/>
              <w:spacing w:before="0" w:after="0" w:line="360" w:lineRule="auto"/>
              <w:ind w:right="0" w:firstLine="480"/>
              <w:rPr>
                <w:color w:val="auto"/>
                <w:sz w:val="21"/>
                <w:szCs w:val="21"/>
              </w:rPr>
            </w:pPr>
            <w:r>
              <w:rPr>
                <w:color w:val="auto"/>
                <w:sz w:val="21"/>
                <w:szCs w:val="21"/>
              </w:rPr>
              <w:t>④建立本企业的环境保护工作档案，包括污染物排放情况；污染治理设施的运行、操作和管理情况；监测记录；污染事故情况及有关记录；其他与污染防治有关的情况和资料等。</w:t>
            </w:r>
          </w:p>
          <w:p w14:paraId="519BD4DA">
            <w:pPr>
              <w:pStyle w:val="34"/>
              <w:adjustRightInd w:val="0"/>
              <w:spacing w:before="0" w:after="0" w:line="360" w:lineRule="auto"/>
              <w:ind w:right="0" w:firstLine="420" w:firstLineChars="200"/>
              <w:rPr>
                <w:color w:val="auto"/>
                <w:sz w:val="21"/>
                <w:szCs w:val="21"/>
              </w:rPr>
            </w:pPr>
            <w:r>
              <w:rPr>
                <w:color w:val="auto"/>
                <w:sz w:val="21"/>
                <w:szCs w:val="21"/>
              </w:rPr>
              <w:t>⑤贯彻落实建设项目环境影响评价和“三同时”制度</w:t>
            </w:r>
          </w:p>
          <w:p w14:paraId="3FF3F2CE">
            <w:pPr>
              <w:pStyle w:val="34"/>
              <w:adjustRightInd w:val="0"/>
              <w:spacing w:before="0" w:after="0" w:line="360" w:lineRule="auto"/>
              <w:ind w:right="0" w:firstLine="422" w:firstLineChars="200"/>
              <w:rPr>
                <w:b/>
                <w:bCs/>
                <w:color w:val="auto"/>
                <w:sz w:val="21"/>
                <w:szCs w:val="21"/>
              </w:rPr>
            </w:pPr>
            <w:r>
              <w:rPr>
                <w:rFonts w:hint="eastAsia"/>
                <w:b/>
                <w:bCs/>
                <w:color w:val="auto"/>
                <w:sz w:val="21"/>
                <w:szCs w:val="21"/>
              </w:rPr>
              <w:t>（4）</w:t>
            </w:r>
            <w:r>
              <w:rPr>
                <w:b/>
                <w:bCs/>
                <w:color w:val="auto"/>
                <w:sz w:val="21"/>
                <w:szCs w:val="21"/>
              </w:rPr>
              <w:t>环保设施运行维护制度</w:t>
            </w:r>
          </w:p>
          <w:p w14:paraId="32F58767">
            <w:pPr>
              <w:pStyle w:val="34"/>
              <w:adjustRightInd w:val="0"/>
              <w:spacing w:before="0" w:after="0" w:line="360" w:lineRule="auto"/>
              <w:ind w:right="0" w:firstLine="480"/>
              <w:rPr>
                <w:color w:val="auto"/>
                <w:sz w:val="21"/>
                <w:szCs w:val="21"/>
              </w:rPr>
            </w:pPr>
            <w:r>
              <w:rPr>
                <w:color w:val="auto"/>
                <w:sz w:val="21"/>
                <w:szCs w:val="21"/>
              </w:rPr>
              <w:t>①制定</w:t>
            </w:r>
            <w:r>
              <w:rPr>
                <w:rFonts w:hint="eastAsia"/>
                <w:color w:val="auto"/>
                <w:sz w:val="21"/>
                <w:szCs w:val="21"/>
                <w:lang w:eastAsia="zh-CN"/>
              </w:rPr>
              <w:t>各项</w:t>
            </w:r>
            <w:r>
              <w:rPr>
                <w:color w:val="auto"/>
                <w:sz w:val="21"/>
                <w:szCs w:val="21"/>
              </w:rPr>
              <w:t>环保设施操作规程，定期维修制度，使各项环保设施在生产过程中处于良好地运行状态；</w:t>
            </w:r>
          </w:p>
          <w:p w14:paraId="65E0C583">
            <w:pPr>
              <w:pStyle w:val="34"/>
              <w:adjustRightInd w:val="0"/>
              <w:spacing w:before="0" w:after="0" w:line="360" w:lineRule="auto"/>
              <w:ind w:right="0" w:firstLine="480"/>
              <w:rPr>
                <w:color w:val="auto"/>
                <w:sz w:val="21"/>
                <w:szCs w:val="21"/>
              </w:rPr>
            </w:pPr>
            <w:r>
              <w:rPr>
                <w:color w:val="auto"/>
                <w:sz w:val="21"/>
                <w:szCs w:val="21"/>
              </w:rPr>
              <w:t>②加强对环保设施的运行管理，制定定期维修制度，如环保设施出现故障，应立即停产检修，严禁事故排放；</w:t>
            </w:r>
          </w:p>
          <w:p w14:paraId="6FE3EAF9">
            <w:pPr>
              <w:adjustRightInd w:val="0"/>
              <w:snapToGrid w:val="0"/>
              <w:spacing w:line="360" w:lineRule="auto"/>
              <w:ind w:firstLine="420" w:firstLineChars="200"/>
              <w:rPr>
                <w:color w:val="auto"/>
              </w:rPr>
            </w:pPr>
            <w:r>
              <w:rPr>
                <w:color w:val="auto"/>
              </w:rPr>
              <w:t>③保持环保设施与主体生产设备同步保养、同步检修、同步运行，有效发挥环保设施减排能力。对不能达到设计要求的环保设施，逐个排查，制订并落实整改方案，提升处理能力。产生水、气（汽）、声、渣等污染的项目，必须遵守国家和地方的污染物排放标准，并符合污染物排放总量控制的要求。</w:t>
            </w:r>
          </w:p>
          <w:p w14:paraId="3BFEAD68">
            <w:pPr>
              <w:spacing w:line="360" w:lineRule="auto"/>
              <w:ind w:firstLine="422" w:firstLineChars="200"/>
              <w:rPr>
                <w:b/>
                <w:bCs/>
                <w:color w:val="auto"/>
              </w:rPr>
            </w:pPr>
            <w:r>
              <w:rPr>
                <w:rFonts w:hint="eastAsia"/>
                <w:b/>
                <w:bCs/>
                <w:color w:val="auto"/>
              </w:rPr>
              <w:t>（5）</w:t>
            </w:r>
            <w:r>
              <w:rPr>
                <w:b/>
                <w:bCs/>
                <w:color w:val="auto"/>
              </w:rPr>
              <w:t>环境监测</w:t>
            </w:r>
          </w:p>
          <w:p w14:paraId="63CB1255">
            <w:pPr>
              <w:spacing w:line="360" w:lineRule="auto"/>
              <w:ind w:firstLine="420" w:firstLineChars="200"/>
              <w:rPr>
                <w:color w:val="auto"/>
              </w:rPr>
            </w:pPr>
            <w:r>
              <w:rPr>
                <w:rFonts w:hint="eastAsia"/>
                <w:color w:val="auto"/>
                <w:lang w:eastAsia="zh-CN"/>
              </w:rPr>
              <w:t>根据《</w:t>
            </w:r>
            <w:r>
              <w:rPr>
                <w:color w:val="auto"/>
                <w:lang w:eastAsia="zh-CN"/>
              </w:rPr>
              <w:t>排污</w:t>
            </w:r>
            <w:r>
              <w:rPr>
                <w:rFonts w:hint="eastAsia"/>
                <w:color w:val="auto"/>
                <w:lang w:eastAsia="zh-CN"/>
              </w:rPr>
              <w:t>单位自行监</w:t>
            </w:r>
            <w:r>
              <w:rPr>
                <w:color w:val="auto"/>
                <w:lang w:eastAsia="zh-CN"/>
              </w:rPr>
              <w:t>测技术指南</w:t>
            </w:r>
            <w:r>
              <w:rPr>
                <w:rFonts w:hint="eastAsia"/>
                <w:color w:val="auto"/>
                <w:lang w:val="en-US" w:eastAsia="zh-CN"/>
              </w:rPr>
              <w:t>--总则</w:t>
            </w:r>
            <w:r>
              <w:rPr>
                <w:rFonts w:hint="eastAsia"/>
                <w:color w:val="auto"/>
                <w:lang w:eastAsia="zh-CN"/>
              </w:rPr>
              <w:t>》（H</w:t>
            </w:r>
            <w:r>
              <w:rPr>
                <w:color w:val="auto"/>
                <w:lang w:eastAsia="zh-CN"/>
              </w:rPr>
              <w:t>J</w:t>
            </w:r>
            <w:r>
              <w:rPr>
                <w:rFonts w:hint="eastAsia"/>
                <w:color w:val="auto"/>
                <w:lang w:val="en-US" w:eastAsia="zh-CN"/>
              </w:rPr>
              <w:t>819-2017</w:t>
            </w:r>
            <w:r>
              <w:rPr>
                <w:rFonts w:hint="eastAsia"/>
                <w:color w:val="auto"/>
                <w:lang w:eastAsia="zh-CN"/>
              </w:rPr>
              <w:t>）、《排污单位自行监测技术指南 电子工业》（HJ1253-2022）、《排污许可证申请与核发技术规范 工业炉窑》（HJ1121—2020）</w:t>
            </w:r>
            <w:r>
              <w:rPr>
                <w:color w:val="auto"/>
              </w:rPr>
              <w:t>的要求，结合本工程的实际情况，企业应对常规项目及特征污染物进行日常监测，特征污染物企业需具备自主监测能力。在不具备监测条件的情况下，可委托具有监测能力的当地环境监测站及相关机构进行监测。</w:t>
            </w:r>
          </w:p>
          <w:p w14:paraId="20963A98">
            <w:pPr>
              <w:adjustRightInd w:val="0"/>
              <w:snapToGrid w:val="0"/>
              <w:spacing w:line="360" w:lineRule="auto"/>
              <w:ind w:firstLine="422" w:firstLineChars="200"/>
              <w:rPr>
                <w:b/>
                <w:bCs/>
                <w:color w:val="auto"/>
              </w:rPr>
            </w:pPr>
            <w:r>
              <w:rPr>
                <w:rFonts w:hint="eastAsia"/>
                <w:b/>
                <w:bCs/>
                <w:color w:val="auto"/>
              </w:rPr>
              <w:t>十</w:t>
            </w:r>
            <w:r>
              <w:rPr>
                <w:b/>
                <w:bCs/>
                <w:color w:val="auto"/>
              </w:rPr>
              <w:t>、排污许可分析</w:t>
            </w:r>
          </w:p>
          <w:p w14:paraId="11F2BAB5">
            <w:pPr>
              <w:adjustRightInd w:val="0"/>
              <w:snapToGrid w:val="0"/>
              <w:spacing w:line="360" w:lineRule="auto"/>
              <w:ind w:firstLine="420" w:firstLineChars="200"/>
              <w:rPr>
                <w:color w:val="auto"/>
              </w:rPr>
            </w:pPr>
            <w:r>
              <w:rPr>
                <w:color w:val="auto"/>
              </w:rPr>
              <w:t>根据《控制污染物排放许可制实施方案》（国办发[2016]81号）、《排污许可证管理暂行规定》（环水体[2016]186号）、</w:t>
            </w:r>
            <w:r>
              <w:rPr>
                <w:rFonts w:hint="eastAsia"/>
                <w:color w:val="auto"/>
                <w:lang w:eastAsia="zh-CN"/>
              </w:rPr>
              <w:t>《排污许可管理条例》（国务院令第736号）</w:t>
            </w:r>
            <w:r>
              <w:rPr>
                <w:color w:val="auto"/>
              </w:rPr>
              <w:t>等文件，“排污单位应当依法持有排污许可证，并按照排污许可证的规定排放污染物”。</w:t>
            </w:r>
          </w:p>
          <w:p w14:paraId="6DD305EC">
            <w:pPr>
              <w:adjustRightInd w:val="0"/>
              <w:snapToGrid w:val="0"/>
              <w:spacing w:line="360" w:lineRule="auto"/>
              <w:ind w:firstLine="420" w:firstLineChars="200"/>
              <w:rPr>
                <w:color w:val="auto"/>
              </w:rPr>
            </w:pPr>
            <w:r>
              <w:rPr>
                <w:color w:val="auto"/>
              </w:rPr>
              <w:t>根据《控制污染物排放许可制实施方案》（国办发[2016]81号，2016年11月11日）、《关于印发&lt;排污许可证管理暂行规定&gt;的通知》（环水体[2016]186号，2016年12月23日）、</w:t>
            </w:r>
            <w:r>
              <w:rPr>
                <w:rFonts w:hint="eastAsia"/>
                <w:color w:val="auto"/>
                <w:lang w:eastAsia="zh-CN"/>
              </w:rPr>
              <w:t>《排污许可管理条例》（国务院令第736号）</w:t>
            </w:r>
            <w:r>
              <w:rPr>
                <w:color w:val="auto"/>
              </w:rPr>
              <w:t>等文件，环境影响评价制度是建设项目的环境准入门槛，排污许可制是企事业单位生产运营期排污的法律依据，必须做好充分衔接，实现从污染预防到污染治理和排放控制的全过程监管。</w:t>
            </w:r>
          </w:p>
          <w:p w14:paraId="56A99AF9">
            <w:pPr>
              <w:adjustRightInd w:val="0"/>
              <w:snapToGrid w:val="0"/>
              <w:spacing w:line="360" w:lineRule="auto"/>
              <w:ind w:firstLine="420" w:firstLineChars="200"/>
              <w:rPr>
                <w:color w:val="auto"/>
              </w:rPr>
            </w:pPr>
            <w:r>
              <w:rPr>
                <w:color w:val="auto"/>
              </w:rPr>
              <w:t>根据《固定污染源排污许可分类管理名录（2019年版）》（环办环评函[2020]9号，2020年01月06日），本项目属于</w:t>
            </w:r>
            <w:r>
              <w:rPr>
                <w:rFonts w:hint="eastAsia"/>
                <w:color w:val="auto"/>
              </w:rPr>
              <w:t>三十四、计算机、通信和其他电子设备制造业 39</w:t>
            </w:r>
            <w:r>
              <w:rPr>
                <w:rFonts w:hint="eastAsia"/>
                <w:color w:val="auto"/>
                <w:lang w:val="en-US" w:eastAsia="zh-CN"/>
              </w:rPr>
              <w:t>-89</w:t>
            </w:r>
            <w:r>
              <w:rPr>
                <w:rFonts w:hint="eastAsia"/>
                <w:color w:val="auto"/>
              </w:rPr>
              <w:t>中的电子元件及电子专用材料制造 398</w:t>
            </w:r>
            <w:r>
              <w:rPr>
                <w:rFonts w:hint="eastAsia"/>
                <w:color w:val="auto"/>
                <w:lang w:val="en-US" w:eastAsia="zh-CN"/>
              </w:rPr>
              <w:t>-其他</w:t>
            </w:r>
            <w:r>
              <w:rPr>
                <w:color w:val="auto"/>
              </w:rPr>
              <w:t>，因此需进行</w:t>
            </w:r>
            <w:r>
              <w:rPr>
                <w:rFonts w:hint="eastAsia"/>
                <w:color w:val="auto"/>
                <w:lang w:val="en-US" w:eastAsia="zh-CN"/>
              </w:rPr>
              <w:t>登记</w:t>
            </w:r>
            <w:r>
              <w:rPr>
                <w:color w:val="auto"/>
              </w:rPr>
              <w:t>管理。</w:t>
            </w:r>
          </w:p>
          <w:p w14:paraId="3124C1F2">
            <w:pPr>
              <w:adjustRightInd w:val="0"/>
              <w:snapToGrid w:val="0"/>
              <w:spacing w:line="360" w:lineRule="auto"/>
              <w:ind w:firstLine="422" w:firstLineChars="200"/>
              <w:rPr>
                <w:b/>
                <w:bCs/>
                <w:color w:val="auto"/>
              </w:rPr>
            </w:pPr>
            <w:r>
              <w:rPr>
                <w:rFonts w:hint="eastAsia"/>
                <w:b/>
                <w:bCs/>
                <w:color w:val="auto"/>
              </w:rPr>
              <w:t>十一</w:t>
            </w:r>
            <w:r>
              <w:rPr>
                <w:b/>
                <w:bCs/>
                <w:color w:val="auto"/>
              </w:rPr>
              <w:t>、排污口规范设置</w:t>
            </w:r>
          </w:p>
          <w:p w14:paraId="140DFACB">
            <w:pPr>
              <w:adjustRightInd w:val="0"/>
              <w:snapToGrid w:val="0"/>
              <w:spacing w:line="360" w:lineRule="auto"/>
              <w:ind w:firstLine="420" w:firstLineChars="200"/>
              <w:rPr>
                <w:color w:val="auto"/>
              </w:rPr>
            </w:pPr>
            <w:r>
              <w:rPr>
                <w:color w:val="auto"/>
              </w:rPr>
              <w:t>根据国家标准《环境保护图形标志—排放口（源）》、国家环境保护总局</w:t>
            </w:r>
            <w:r>
              <w:rPr>
                <w:rFonts w:hint="eastAsia"/>
                <w:color w:val="auto"/>
                <w:lang w:eastAsia="zh-CN"/>
              </w:rPr>
              <w:t>《排污口规范化整治要求（试行）》</w:t>
            </w:r>
            <w:r>
              <w:rPr>
                <w:color w:val="auto"/>
              </w:rPr>
              <w:t>（国家环保局环监[1996]470号）、《山东省污水排放口环境信息公开技术规范》（DB37/T2463-2014）的技术要求，企业所有排放口（包括水、气、声、渣）必须按照“便于采样、便于计量检测、便于日常监督检查”的原则来规范化要求，设置与之相适应的环境保护图形标志牌和企业排污口分布图，对污染物治理设施安装运行监控装置、排污口规范化要符合当地环保部门的有关要求。</w:t>
            </w:r>
          </w:p>
          <w:p w14:paraId="564EE242">
            <w:pPr>
              <w:adjustRightInd w:val="0"/>
              <w:snapToGrid w:val="0"/>
              <w:spacing w:line="360" w:lineRule="auto"/>
              <w:ind w:firstLine="420" w:firstLineChars="200"/>
              <w:rPr>
                <w:color w:val="auto"/>
              </w:rPr>
            </w:pPr>
            <w:r>
              <w:rPr>
                <w:color w:val="auto"/>
              </w:rPr>
              <w:t>根据国家环境保护总局《关于开展排放口规范化整治工作的通知》环发[1999]24号和《排放口规范化整治技术》环发[1999]24号附件二等规定的要求，一切新建、改扩建、改建的排污单位以及限期治理的排污单位必须在建设污染治理设施的同时，建设规范化排放口。因此，建设项目产生的各类污染物排放口必须规范化，而且规范化工作的完成必须与污染治理设施同步，并列入污染物治理设施的验收内容。</w:t>
            </w:r>
          </w:p>
          <w:p w14:paraId="681EEE2C">
            <w:pPr>
              <w:adjustRightInd w:val="0"/>
              <w:snapToGrid w:val="0"/>
              <w:spacing w:line="360" w:lineRule="auto"/>
              <w:ind w:firstLine="420" w:firstLineChars="200"/>
              <w:rPr>
                <w:color w:val="auto"/>
              </w:rPr>
            </w:pPr>
            <w:r>
              <w:rPr>
                <w:color w:val="auto"/>
              </w:rPr>
              <w:t>①项目产生的一般固废企业收集后外售。存放场地需采取防扬散、防流失措施，并应在存放场地设置环保标志牌。</w:t>
            </w:r>
          </w:p>
          <w:p w14:paraId="3B3FC825">
            <w:pPr>
              <w:adjustRightInd w:val="0"/>
              <w:snapToGrid w:val="0"/>
              <w:spacing w:line="360" w:lineRule="auto"/>
              <w:ind w:firstLine="420" w:firstLineChars="200"/>
              <w:rPr>
                <w:color w:val="auto"/>
              </w:rPr>
            </w:pPr>
            <w:r>
              <w:rPr>
                <w:color w:val="auto"/>
              </w:rPr>
              <w:t>②主要固定噪声源附近应设置环境保护图形标志牌。</w:t>
            </w:r>
          </w:p>
          <w:p w14:paraId="5E7C078E">
            <w:pPr>
              <w:adjustRightInd w:val="0"/>
              <w:snapToGrid w:val="0"/>
              <w:spacing w:line="360" w:lineRule="auto"/>
              <w:ind w:firstLine="420" w:firstLineChars="200"/>
              <w:rPr>
                <w:color w:val="auto"/>
              </w:rPr>
            </w:pPr>
            <w:r>
              <w:rPr>
                <w:color w:val="auto"/>
              </w:rPr>
              <w:t>③项目废气污染源排气筒应按照“排污口”要求进行设置，并设置便于采样、监测的采样口或采样平台；在排气筒附近醒目处设置环保标志牌。</w:t>
            </w:r>
          </w:p>
          <w:p w14:paraId="5AD16EA0">
            <w:pPr>
              <w:spacing w:line="360" w:lineRule="auto"/>
              <w:ind w:firstLine="411" w:firstLineChars="196"/>
              <w:jc w:val="left"/>
              <w:rPr>
                <w:rFonts w:hint="eastAsia"/>
                <w:b/>
                <w:bCs/>
                <w:color w:val="auto"/>
              </w:rPr>
            </w:pPr>
            <w:r>
              <w:rPr>
                <w:color w:val="auto"/>
              </w:rPr>
              <w:t>本项目建成后，应将上述所有污染排放口名称、位置、数量，以及排放污染物名称、数量等内容进行统计，并登记上报当地环保部门，以便进行验收和排放口的规范化管理。</w:t>
            </w:r>
          </w:p>
          <w:p w14:paraId="116993C6">
            <w:pPr>
              <w:spacing w:line="360" w:lineRule="auto"/>
              <w:ind w:firstLine="413" w:firstLineChars="196"/>
              <w:jc w:val="left"/>
              <w:rPr>
                <w:b/>
                <w:bCs/>
                <w:color w:val="auto"/>
              </w:rPr>
            </w:pPr>
            <w:r>
              <w:rPr>
                <w:rFonts w:hint="eastAsia"/>
                <w:b/>
                <w:bCs/>
                <w:color w:val="auto"/>
              </w:rPr>
              <w:t>十二、电磁辐射</w:t>
            </w:r>
          </w:p>
          <w:p w14:paraId="5C953AC6">
            <w:pPr>
              <w:ind w:firstLine="420" w:firstLineChars="200"/>
              <w:rPr>
                <w:rFonts w:hint="eastAsia"/>
                <w:color w:val="auto"/>
              </w:rPr>
            </w:pPr>
            <w:r>
              <w:rPr>
                <w:rFonts w:hint="eastAsia"/>
                <w:color w:val="auto"/>
              </w:rPr>
              <w:t>本项目不涉及电磁辐射影响。</w:t>
            </w:r>
          </w:p>
          <w:p w14:paraId="490F089D">
            <w:pPr>
              <w:pStyle w:val="2"/>
              <w:ind w:left="0" w:leftChars="0" w:firstLine="0" w:firstLineChars="0"/>
              <w:rPr>
                <w:color w:val="auto"/>
              </w:rPr>
            </w:pPr>
          </w:p>
        </w:tc>
      </w:tr>
    </w:tbl>
    <w:p w14:paraId="4B300AB8">
      <w:pPr>
        <w:pStyle w:val="78"/>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br w:type="page"/>
      </w:r>
      <w:r>
        <w:rPr>
          <w:rFonts w:ascii="Times New Roman" w:hAnsi="Times New Roman" w:eastAsia="黑体"/>
          <w:snapToGrid w:val="0"/>
          <w:color w:val="auto"/>
          <w:sz w:val="30"/>
          <w:szCs w:val="30"/>
        </w:rPr>
        <w:t>五、环境保护措施监督检查清单</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1700"/>
        <w:gridCol w:w="1419"/>
        <w:gridCol w:w="1559"/>
        <w:gridCol w:w="2869"/>
      </w:tblGrid>
      <w:tr w14:paraId="224011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5" w:hRule="atLeast"/>
          <w:jc w:val="center"/>
        </w:trPr>
        <w:tc>
          <w:tcPr>
            <w:tcW w:w="1255" w:type="dxa"/>
            <w:tcBorders>
              <w:tl2br w:val="single" w:color="auto" w:sz="4" w:space="0"/>
            </w:tcBorders>
          </w:tcPr>
          <w:p w14:paraId="1C089B3B">
            <w:pPr>
              <w:adjustRightInd w:val="0"/>
              <w:snapToGrid w:val="0"/>
              <w:spacing w:line="300" w:lineRule="exact"/>
              <w:jc w:val="right"/>
              <w:rPr>
                <w:b/>
                <w:bCs/>
                <w:color w:val="auto"/>
                <w:sz w:val="21"/>
                <w:szCs w:val="21"/>
              </w:rPr>
            </w:pPr>
            <w:r>
              <w:rPr>
                <w:b/>
                <w:bCs/>
                <w:color w:val="auto"/>
                <w:sz w:val="21"/>
                <w:szCs w:val="21"/>
              </w:rPr>
              <w:t>内容</w:t>
            </w:r>
          </w:p>
          <w:p w14:paraId="0E7EF4AF">
            <w:pPr>
              <w:adjustRightInd w:val="0"/>
              <w:snapToGrid w:val="0"/>
              <w:spacing w:line="300" w:lineRule="exact"/>
              <w:rPr>
                <w:b/>
                <w:bCs/>
                <w:color w:val="auto"/>
                <w:sz w:val="21"/>
                <w:szCs w:val="21"/>
              </w:rPr>
            </w:pPr>
            <w:r>
              <w:rPr>
                <w:b/>
                <w:bCs/>
                <w:color w:val="auto"/>
                <w:sz w:val="21"/>
                <w:szCs w:val="21"/>
              </w:rPr>
              <w:t>要素</w:t>
            </w:r>
          </w:p>
        </w:tc>
        <w:tc>
          <w:tcPr>
            <w:tcW w:w="1700" w:type="dxa"/>
            <w:vAlign w:val="center"/>
          </w:tcPr>
          <w:p w14:paraId="5C0B1EAC">
            <w:pPr>
              <w:adjustRightInd w:val="0"/>
              <w:snapToGrid w:val="0"/>
              <w:spacing w:line="300" w:lineRule="exact"/>
              <w:jc w:val="center"/>
              <w:rPr>
                <w:b/>
                <w:bCs/>
                <w:color w:val="auto"/>
                <w:sz w:val="21"/>
                <w:szCs w:val="21"/>
              </w:rPr>
            </w:pPr>
            <w:r>
              <w:rPr>
                <w:b/>
                <w:bCs/>
                <w:color w:val="auto"/>
                <w:sz w:val="21"/>
                <w:szCs w:val="21"/>
              </w:rPr>
              <w:t>排放口（编号、</w:t>
            </w:r>
          </w:p>
          <w:p w14:paraId="3776BF26">
            <w:pPr>
              <w:adjustRightInd w:val="0"/>
              <w:snapToGrid w:val="0"/>
              <w:spacing w:line="300" w:lineRule="exact"/>
              <w:jc w:val="center"/>
              <w:rPr>
                <w:b/>
                <w:bCs/>
                <w:color w:val="auto"/>
                <w:sz w:val="21"/>
                <w:szCs w:val="21"/>
              </w:rPr>
            </w:pPr>
            <w:r>
              <w:rPr>
                <w:b/>
                <w:bCs/>
                <w:color w:val="auto"/>
                <w:sz w:val="21"/>
                <w:szCs w:val="21"/>
              </w:rPr>
              <w:t>名称）/污染源</w:t>
            </w:r>
          </w:p>
        </w:tc>
        <w:tc>
          <w:tcPr>
            <w:tcW w:w="1419" w:type="dxa"/>
            <w:vAlign w:val="center"/>
          </w:tcPr>
          <w:p w14:paraId="072BAC58">
            <w:pPr>
              <w:adjustRightInd w:val="0"/>
              <w:snapToGrid w:val="0"/>
              <w:spacing w:line="300" w:lineRule="exact"/>
              <w:jc w:val="center"/>
              <w:rPr>
                <w:b/>
                <w:bCs/>
                <w:color w:val="auto"/>
                <w:sz w:val="21"/>
                <w:szCs w:val="21"/>
              </w:rPr>
            </w:pPr>
            <w:r>
              <w:rPr>
                <w:b/>
                <w:bCs/>
                <w:color w:val="auto"/>
                <w:sz w:val="21"/>
                <w:szCs w:val="21"/>
              </w:rPr>
              <w:t>污染物项目</w:t>
            </w:r>
          </w:p>
        </w:tc>
        <w:tc>
          <w:tcPr>
            <w:tcW w:w="1559" w:type="dxa"/>
            <w:vAlign w:val="center"/>
          </w:tcPr>
          <w:p w14:paraId="3789CD4D">
            <w:pPr>
              <w:adjustRightInd w:val="0"/>
              <w:snapToGrid w:val="0"/>
              <w:spacing w:line="300" w:lineRule="exact"/>
              <w:jc w:val="center"/>
              <w:rPr>
                <w:b/>
                <w:bCs/>
                <w:color w:val="auto"/>
                <w:sz w:val="21"/>
                <w:szCs w:val="21"/>
              </w:rPr>
            </w:pPr>
            <w:r>
              <w:rPr>
                <w:b/>
                <w:bCs/>
                <w:color w:val="auto"/>
                <w:sz w:val="21"/>
                <w:szCs w:val="21"/>
              </w:rPr>
              <w:t>环境保护措施</w:t>
            </w:r>
          </w:p>
        </w:tc>
        <w:tc>
          <w:tcPr>
            <w:tcW w:w="2869" w:type="dxa"/>
            <w:vAlign w:val="center"/>
          </w:tcPr>
          <w:p w14:paraId="211F6275">
            <w:pPr>
              <w:adjustRightInd w:val="0"/>
              <w:snapToGrid w:val="0"/>
              <w:spacing w:line="300" w:lineRule="exact"/>
              <w:jc w:val="center"/>
              <w:rPr>
                <w:b/>
                <w:bCs/>
                <w:color w:val="auto"/>
                <w:sz w:val="21"/>
                <w:szCs w:val="21"/>
              </w:rPr>
            </w:pPr>
            <w:r>
              <w:rPr>
                <w:b/>
                <w:bCs/>
                <w:color w:val="auto"/>
                <w:sz w:val="21"/>
                <w:szCs w:val="21"/>
              </w:rPr>
              <w:t>执行标准</w:t>
            </w:r>
          </w:p>
        </w:tc>
      </w:tr>
      <w:tr w14:paraId="03419E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restart"/>
            <w:vAlign w:val="center"/>
          </w:tcPr>
          <w:p w14:paraId="43BFBA61">
            <w:pPr>
              <w:adjustRightInd w:val="0"/>
              <w:snapToGrid w:val="0"/>
              <w:spacing w:line="300" w:lineRule="exact"/>
              <w:jc w:val="center"/>
              <w:rPr>
                <w:color w:val="auto"/>
                <w:sz w:val="21"/>
                <w:szCs w:val="21"/>
              </w:rPr>
            </w:pPr>
            <w:r>
              <w:rPr>
                <w:color w:val="auto"/>
                <w:sz w:val="21"/>
                <w:szCs w:val="21"/>
              </w:rPr>
              <w:t>大气环境</w:t>
            </w:r>
          </w:p>
        </w:tc>
        <w:tc>
          <w:tcPr>
            <w:tcW w:w="1700" w:type="dxa"/>
            <w:shd w:val="clear" w:color="auto" w:fill="auto"/>
            <w:vAlign w:val="center"/>
          </w:tcPr>
          <w:p w14:paraId="1B7266B8">
            <w:pPr>
              <w:adjustRightInd w:val="0"/>
              <w:snapToGrid w:val="0"/>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DA001排气筒</w:t>
            </w:r>
          </w:p>
        </w:tc>
        <w:tc>
          <w:tcPr>
            <w:tcW w:w="1419" w:type="dxa"/>
            <w:shd w:val="clear" w:color="auto" w:fill="auto"/>
            <w:vAlign w:val="center"/>
          </w:tcPr>
          <w:p w14:paraId="59995CC9">
            <w:pPr>
              <w:adjustRightInd w:val="0"/>
              <w:snapToGrid w:val="0"/>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颗粒物、SO</w:t>
            </w:r>
            <w:r>
              <w:rPr>
                <w:rFonts w:hint="eastAsia" w:ascii="Times New Roman" w:hAnsi="Times New Roman" w:eastAsia="宋体" w:cs="Times New Roman"/>
                <w:color w:val="auto"/>
                <w:kern w:val="2"/>
                <w:sz w:val="21"/>
                <w:szCs w:val="21"/>
                <w:highlight w:val="none"/>
                <w:vertAlign w:val="subscript"/>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、NOx、氨、臭气浓度</w:t>
            </w:r>
          </w:p>
        </w:tc>
        <w:tc>
          <w:tcPr>
            <w:tcW w:w="1559" w:type="dxa"/>
            <w:shd w:val="clear" w:color="auto" w:fill="auto"/>
            <w:vAlign w:val="center"/>
          </w:tcPr>
          <w:p w14:paraId="3830F46B">
            <w:pPr>
              <w:adjustRightInd w:val="0"/>
              <w:snapToGrid w:val="0"/>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SNCR脱硝设备</w:t>
            </w:r>
            <w:r>
              <w:rPr>
                <w:rFonts w:hint="eastAsia"/>
                <w:color w:val="auto"/>
                <w:sz w:val="21"/>
                <w:szCs w:val="21"/>
                <w:highlight w:val="none"/>
                <w:lang w:val="en-US" w:eastAsia="zh-CN"/>
              </w:rPr>
              <w:t>+1#布袋除尘器</w:t>
            </w:r>
          </w:p>
        </w:tc>
        <w:tc>
          <w:tcPr>
            <w:tcW w:w="2869" w:type="dxa"/>
            <w:shd w:val="clear" w:color="auto" w:fill="auto"/>
            <w:vAlign w:val="center"/>
          </w:tcPr>
          <w:p w14:paraId="55F8C078">
            <w:pPr>
              <w:adjustRightInd w:val="0"/>
              <w:snapToGrid w:val="0"/>
              <w:spacing w:line="300" w:lineRule="exact"/>
              <w:jc w:val="center"/>
              <w:rPr>
                <w:rFonts w:hint="eastAsia" w:ascii="Times New Roman" w:hAnsi="Times New Roman" w:eastAsia="宋体" w:cs="Times New Roman"/>
                <w:color w:val="auto"/>
                <w:spacing w:val="6"/>
                <w:kern w:val="2"/>
                <w:sz w:val="21"/>
                <w:szCs w:val="21"/>
                <w:highlight w:val="none"/>
                <w:lang w:val="en-US" w:eastAsia="zh-CN" w:bidi="ar-SA"/>
              </w:rPr>
            </w:pPr>
            <w:r>
              <w:rPr>
                <w:color w:val="auto"/>
                <w:highlight w:val="none"/>
              </w:rPr>
              <w:t>《区域性大气污染物综合排放标准》（DB37/2376-2019）表1中“重点控制区”标准限值</w:t>
            </w:r>
            <w:r>
              <w:rPr>
                <w:rFonts w:hint="eastAsia"/>
                <w:color w:val="auto"/>
                <w:highlight w:val="none"/>
                <w:lang w:eastAsia="zh-CN"/>
              </w:rPr>
              <w:t>、《恶臭污染物排放标准》（GB14554-93）表2中标准</w:t>
            </w:r>
          </w:p>
        </w:tc>
      </w:tr>
      <w:tr w14:paraId="1C71AD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continue"/>
            <w:vAlign w:val="center"/>
          </w:tcPr>
          <w:p w14:paraId="523DF3B0">
            <w:pPr>
              <w:adjustRightInd w:val="0"/>
              <w:snapToGrid w:val="0"/>
              <w:spacing w:line="300" w:lineRule="exact"/>
              <w:jc w:val="center"/>
              <w:rPr>
                <w:color w:val="auto"/>
                <w:sz w:val="21"/>
                <w:szCs w:val="21"/>
              </w:rPr>
            </w:pPr>
          </w:p>
        </w:tc>
        <w:tc>
          <w:tcPr>
            <w:tcW w:w="1700" w:type="dxa"/>
            <w:vAlign w:val="center"/>
          </w:tcPr>
          <w:p w14:paraId="608CB271">
            <w:pPr>
              <w:adjustRightInd w:val="0"/>
              <w:snapToGrid w:val="0"/>
              <w:spacing w:line="30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DA002排气筒</w:t>
            </w:r>
          </w:p>
        </w:tc>
        <w:tc>
          <w:tcPr>
            <w:tcW w:w="1419" w:type="dxa"/>
            <w:shd w:val="clear" w:color="auto" w:fill="auto"/>
            <w:vAlign w:val="center"/>
          </w:tcPr>
          <w:p w14:paraId="342E1782">
            <w:pPr>
              <w:autoSpaceDE w:val="0"/>
              <w:autoSpaceDN w:val="0"/>
              <w:adjustRightInd w:val="0"/>
              <w:jc w:val="center"/>
              <w:rPr>
                <w:rFonts w:hint="eastAsia"/>
                <w:color w:val="auto"/>
                <w:sz w:val="21"/>
                <w:szCs w:val="21"/>
                <w:highlight w:val="none"/>
                <w:lang w:val="en-US" w:eastAsia="zh-CN"/>
              </w:rPr>
            </w:pPr>
            <w:r>
              <w:rPr>
                <w:rFonts w:hint="eastAsia"/>
                <w:color w:val="auto"/>
                <w:sz w:val="21"/>
                <w:szCs w:val="21"/>
                <w:highlight w:val="none"/>
                <w:lang w:val="en-US" w:eastAsia="zh-CN"/>
              </w:rPr>
              <w:t>颗粒物</w:t>
            </w:r>
          </w:p>
        </w:tc>
        <w:tc>
          <w:tcPr>
            <w:tcW w:w="1559" w:type="dxa"/>
            <w:shd w:val="clear" w:color="auto" w:fill="auto"/>
            <w:vAlign w:val="center"/>
          </w:tcPr>
          <w:p w14:paraId="214CF8A4">
            <w:pPr>
              <w:adjustRightInd w:val="0"/>
              <w:snapToGrid w:val="0"/>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集气罩+2#布袋除尘器</w:t>
            </w:r>
          </w:p>
        </w:tc>
        <w:tc>
          <w:tcPr>
            <w:tcW w:w="2869" w:type="dxa"/>
            <w:shd w:val="clear" w:color="auto" w:fill="auto"/>
            <w:vAlign w:val="center"/>
          </w:tcPr>
          <w:p w14:paraId="48B25C58">
            <w:pPr>
              <w:adjustRightInd w:val="0"/>
              <w:snapToGrid w:val="0"/>
              <w:spacing w:line="300" w:lineRule="exact"/>
              <w:jc w:val="center"/>
              <w:rPr>
                <w:color w:val="auto"/>
                <w:highlight w:val="none"/>
              </w:rPr>
            </w:pPr>
            <w:r>
              <w:rPr>
                <w:color w:val="auto"/>
                <w:highlight w:val="none"/>
              </w:rPr>
              <w:t>《区域性大气污染物综合排放标准》（DB37/2376-2019）表1中“重点控制区”标准限值</w:t>
            </w:r>
          </w:p>
        </w:tc>
      </w:tr>
      <w:tr w14:paraId="775F12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753" w:hRule="atLeast"/>
          <w:jc w:val="center"/>
        </w:trPr>
        <w:tc>
          <w:tcPr>
            <w:tcW w:w="1255" w:type="dxa"/>
            <w:vMerge w:val="continue"/>
            <w:vAlign w:val="center"/>
          </w:tcPr>
          <w:p w14:paraId="6A8181A4">
            <w:pPr>
              <w:adjustRightInd w:val="0"/>
              <w:snapToGrid w:val="0"/>
              <w:spacing w:line="300" w:lineRule="exact"/>
              <w:jc w:val="center"/>
              <w:rPr>
                <w:color w:val="auto"/>
                <w:sz w:val="21"/>
                <w:szCs w:val="21"/>
              </w:rPr>
            </w:pPr>
          </w:p>
        </w:tc>
        <w:tc>
          <w:tcPr>
            <w:tcW w:w="1700" w:type="dxa"/>
            <w:vAlign w:val="center"/>
          </w:tcPr>
          <w:p w14:paraId="5DA743FA">
            <w:pPr>
              <w:adjustRightInd w:val="0"/>
              <w:snapToGrid w:val="0"/>
              <w:spacing w:line="300" w:lineRule="exact"/>
              <w:jc w:val="center"/>
              <w:rPr>
                <w:color w:val="auto"/>
                <w:sz w:val="21"/>
                <w:szCs w:val="21"/>
                <w:highlight w:val="none"/>
              </w:rPr>
            </w:pPr>
            <w:r>
              <w:rPr>
                <w:color w:val="auto"/>
                <w:sz w:val="21"/>
                <w:szCs w:val="21"/>
                <w:highlight w:val="none"/>
              </w:rPr>
              <w:t>厂界无组织</w:t>
            </w:r>
          </w:p>
        </w:tc>
        <w:tc>
          <w:tcPr>
            <w:tcW w:w="1419" w:type="dxa"/>
            <w:shd w:val="clear" w:color="auto" w:fill="auto"/>
            <w:vAlign w:val="center"/>
          </w:tcPr>
          <w:p w14:paraId="01EB21CD">
            <w:pPr>
              <w:autoSpaceDE w:val="0"/>
              <w:autoSpaceDN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颗粒物</w:t>
            </w:r>
          </w:p>
        </w:tc>
        <w:tc>
          <w:tcPr>
            <w:tcW w:w="1559" w:type="dxa"/>
            <w:shd w:val="clear" w:color="auto" w:fill="auto"/>
            <w:vAlign w:val="center"/>
          </w:tcPr>
          <w:p w14:paraId="7CEF68FF">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加强管理</w:t>
            </w:r>
          </w:p>
        </w:tc>
        <w:tc>
          <w:tcPr>
            <w:tcW w:w="2869" w:type="dxa"/>
            <w:shd w:val="clear" w:color="auto" w:fill="auto"/>
            <w:vAlign w:val="center"/>
          </w:tcPr>
          <w:p w14:paraId="1180D060">
            <w:pPr>
              <w:adjustRightInd w:val="0"/>
              <w:snapToGrid w:val="0"/>
              <w:spacing w:line="300" w:lineRule="exact"/>
              <w:jc w:val="center"/>
              <w:rPr>
                <w:rFonts w:hint="eastAsia" w:ascii="Times New Roman" w:hAnsi="Times New Roman" w:eastAsia="宋体" w:cs="Times New Roman"/>
                <w:color w:val="auto"/>
                <w:spacing w:val="0"/>
                <w:kern w:val="2"/>
                <w:sz w:val="21"/>
                <w:szCs w:val="21"/>
                <w:highlight w:val="none"/>
                <w:lang w:val="en-US" w:eastAsia="zh-CN" w:bidi="ar-SA"/>
              </w:rPr>
            </w:pPr>
            <w:r>
              <w:rPr>
                <w:color w:val="auto"/>
                <w:highlight w:val="none"/>
              </w:rPr>
              <w:t>《大气污染物综合排放标准》（GB16297-1996）表2新污染源大气污染物排放限值中</w:t>
            </w:r>
            <w:r>
              <w:rPr>
                <w:rFonts w:hint="eastAsia"/>
                <w:color w:val="auto"/>
                <w:highlight w:val="none"/>
              </w:rPr>
              <w:t>周界外浓度最高点限值</w:t>
            </w:r>
            <w:r>
              <w:rPr>
                <w:color w:val="auto"/>
                <w:highlight w:val="none"/>
              </w:rPr>
              <w:t>要求</w:t>
            </w:r>
          </w:p>
        </w:tc>
      </w:tr>
      <w:tr w14:paraId="36A22E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8" w:hRule="atLeast"/>
          <w:jc w:val="center"/>
        </w:trPr>
        <w:tc>
          <w:tcPr>
            <w:tcW w:w="1255" w:type="dxa"/>
            <w:vMerge w:val="restart"/>
            <w:vAlign w:val="center"/>
          </w:tcPr>
          <w:p w14:paraId="50F09EF6">
            <w:pPr>
              <w:adjustRightInd w:val="0"/>
              <w:snapToGrid w:val="0"/>
              <w:spacing w:line="300" w:lineRule="exact"/>
              <w:jc w:val="center"/>
              <w:rPr>
                <w:color w:val="auto"/>
                <w:sz w:val="21"/>
                <w:szCs w:val="21"/>
              </w:rPr>
            </w:pPr>
            <w:r>
              <w:rPr>
                <w:color w:val="auto"/>
                <w:sz w:val="21"/>
                <w:szCs w:val="21"/>
              </w:rPr>
              <w:t>地表水环境</w:t>
            </w:r>
          </w:p>
        </w:tc>
        <w:tc>
          <w:tcPr>
            <w:tcW w:w="1700" w:type="dxa"/>
            <w:vMerge w:val="restart"/>
            <w:vAlign w:val="center"/>
          </w:tcPr>
          <w:p w14:paraId="6D0EB011">
            <w:pPr>
              <w:adjustRightInd w:val="0"/>
              <w:snapToGrid w:val="0"/>
              <w:jc w:val="center"/>
              <w:rPr>
                <w:color w:val="auto"/>
                <w:sz w:val="21"/>
                <w:szCs w:val="21"/>
              </w:rPr>
            </w:pPr>
            <w:r>
              <w:rPr>
                <w:bCs/>
                <w:color w:val="auto"/>
                <w:sz w:val="21"/>
                <w:szCs w:val="21"/>
              </w:rPr>
              <w:t>生活污水</w:t>
            </w:r>
          </w:p>
        </w:tc>
        <w:tc>
          <w:tcPr>
            <w:tcW w:w="1419" w:type="dxa"/>
            <w:vAlign w:val="center"/>
          </w:tcPr>
          <w:p w14:paraId="3101E678">
            <w:pPr>
              <w:adjustRightInd w:val="0"/>
              <w:snapToGrid w:val="0"/>
              <w:jc w:val="center"/>
              <w:rPr>
                <w:color w:val="auto"/>
                <w:sz w:val="21"/>
                <w:szCs w:val="21"/>
              </w:rPr>
            </w:pPr>
            <w:r>
              <w:rPr>
                <w:color w:val="auto"/>
                <w:sz w:val="21"/>
                <w:szCs w:val="21"/>
              </w:rPr>
              <w:t>COD</w:t>
            </w:r>
          </w:p>
        </w:tc>
        <w:tc>
          <w:tcPr>
            <w:tcW w:w="1559" w:type="dxa"/>
            <w:vMerge w:val="restart"/>
            <w:vAlign w:val="center"/>
          </w:tcPr>
          <w:p w14:paraId="499E0F53">
            <w:pPr>
              <w:adjustRightInd w:val="0"/>
              <w:snapToGrid w:val="0"/>
              <w:spacing w:line="300" w:lineRule="exact"/>
              <w:jc w:val="center"/>
              <w:rPr>
                <w:color w:val="auto"/>
                <w:sz w:val="21"/>
                <w:szCs w:val="21"/>
              </w:rPr>
            </w:pPr>
            <w:r>
              <w:rPr>
                <w:bCs/>
                <w:color w:val="auto"/>
                <w:sz w:val="21"/>
                <w:szCs w:val="21"/>
              </w:rPr>
              <w:t>生活污水经化粪池预处理后由环卫部门定期清运</w:t>
            </w:r>
          </w:p>
        </w:tc>
        <w:tc>
          <w:tcPr>
            <w:tcW w:w="2869" w:type="dxa"/>
            <w:vMerge w:val="restart"/>
            <w:vAlign w:val="center"/>
          </w:tcPr>
          <w:p w14:paraId="4401B269">
            <w:pPr>
              <w:adjustRightInd w:val="0"/>
              <w:snapToGrid w:val="0"/>
              <w:spacing w:line="300" w:lineRule="exact"/>
              <w:jc w:val="center"/>
              <w:rPr>
                <w:color w:val="auto"/>
                <w:sz w:val="21"/>
                <w:szCs w:val="21"/>
              </w:rPr>
            </w:pPr>
            <w:r>
              <w:rPr>
                <w:color w:val="auto"/>
                <w:sz w:val="21"/>
                <w:szCs w:val="21"/>
              </w:rPr>
              <w:t>—</w:t>
            </w:r>
          </w:p>
        </w:tc>
      </w:tr>
      <w:tr w14:paraId="35F558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4F565CA8">
            <w:pPr>
              <w:adjustRightInd w:val="0"/>
              <w:snapToGrid w:val="0"/>
              <w:spacing w:line="300" w:lineRule="exact"/>
              <w:ind w:left="-103" w:leftChars="-49" w:right="-107" w:rightChars="-51"/>
              <w:jc w:val="center"/>
              <w:rPr>
                <w:color w:val="auto"/>
                <w:sz w:val="21"/>
                <w:szCs w:val="21"/>
              </w:rPr>
            </w:pPr>
          </w:p>
        </w:tc>
        <w:tc>
          <w:tcPr>
            <w:tcW w:w="1700" w:type="dxa"/>
            <w:vMerge w:val="continue"/>
            <w:vAlign w:val="center"/>
          </w:tcPr>
          <w:p w14:paraId="2A2A1D64">
            <w:pPr>
              <w:adjustRightInd w:val="0"/>
              <w:snapToGrid w:val="0"/>
              <w:jc w:val="center"/>
              <w:rPr>
                <w:color w:val="auto"/>
                <w:sz w:val="21"/>
                <w:szCs w:val="21"/>
              </w:rPr>
            </w:pPr>
          </w:p>
        </w:tc>
        <w:tc>
          <w:tcPr>
            <w:tcW w:w="1419" w:type="dxa"/>
            <w:vAlign w:val="center"/>
          </w:tcPr>
          <w:p w14:paraId="017CCBCB">
            <w:pPr>
              <w:adjustRightInd w:val="0"/>
              <w:snapToGrid w:val="0"/>
              <w:jc w:val="center"/>
              <w:rPr>
                <w:color w:val="auto"/>
                <w:sz w:val="21"/>
                <w:szCs w:val="21"/>
              </w:rPr>
            </w:pPr>
            <w:r>
              <w:rPr>
                <w:color w:val="auto"/>
                <w:sz w:val="21"/>
                <w:szCs w:val="21"/>
              </w:rPr>
              <w:t>pH</w:t>
            </w:r>
          </w:p>
        </w:tc>
        <w:tc>
          <w:tcPr>
            <w:tcW w:w="1559" w:type="dxa"/>
            <w:vMerge w:val="continue"/>
            <w:vAlign w:val="center"/>
          </w:tcPr>
          <w:p w14:paraId="352C2D5D">
            <w:pPr>
              <w:adjustRightInd w:val="0"/>
              <w:snapToGrid w:val="0"/>
              <w:spacing w:line="300" w:lineRule="exact"/>
              <w:ind w:left="-103" w:leftChars="-49" w:right="-107" w:rightChars="-51"/>
              <w:jc w:val="center"/>
              <w:rPr>
                <w:color w:val="auto"/>
                <w:sz w:val="21"/>
                <w:szCs w:val="21"/>
              </w:rPr>
            </w:pPr>
          </w:p>
        </w:tc>
        <w:tc>
          <w:tcPr>
            <w:tcW w:w="2869" w:type="dxa"/>
            <w:vMerge w:val="continue"/>
            <w:vAlign w:val="center"/>
          </w:tcPr>
          <w:p w14:paraId="270A2128">
            <w:pPr>
              <w:adjustRightInd w:val="0"/>
              <w:snapToGrid w:val="0"/>
              <w:spacing w:line="300" w:lineRule="exact"/>
              <w:ind w:left="-103" w:leftChars="-49" w:right="-107" w:rightChars="-51"/>
              <w:jc w:val="center"/>
              <w:rPr>
                <w:color w:val="auto"/>
                <w:sz w:val="21"/>
                <w:szCs w:val="21"/>
              </w:rPr>
            </w:pPr>
          </w:p>
        </w:tc>
      </w:tr>
      <w:tr w14:paraId="3C9271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37545AD7">
            <w:pPr>
              <w:adjustRightInd w:val="0"/>
              <w:snapToGrid w:val="0"/>
              <w:spacing w:line="300" w:lineRule="exact"/>
              <w:ind w:left="-103" w:leftChars="-49" w:right="-107" w:rightChars="-51"/>
              <w:jc w:val="center"/>
              <w:rPr>
                <w:color w:val="auto"/>
                <w:sz w:val="21"/>
                <w:szCs w:val="21"/>
              </w:rPr>
            </w:pPr>
          </w:p>
        </w:tc>
        <w:tc>
          <w:tcPr>
            <w:tcW w:w="1700" w:type="dxa"/>
            <w:vMerge w:val="continue"/>
            <w:vAlign w:val="center"/>
          </w:tcPr>
          <w:p w14:paraId="4D0329B5">
            <w:pPr>
              <w:adjustRightInd w:val="0"/>
              <w:snapToGrid w:val="0"/>
              <w:jc w:val="center"/>
              <w:rPr>
                <w:color w:val="auto"/>
                <w:sz w:val="21"/>
                <w:szCs w:val="21"/>
              </w:rPr>
            </w:pPr>
          </w:p>
        </w:tc>
        <w:tc>
          <w:tcPr>
            <w:tcW w:w="1419" w:type="dxa"/>
            <w:vAlign w:val="center"/>
          </w:tcPr>
          <w:p w14:paraId="76F7BC99">
            <w:pPr>
              <w:adjustRightInd w:val="0"/>
              <w:snapToGrid w:val="0"/>
              <w:jc w:val="center"/>
              <w:rPr>
                <w:color w:val="auto"/>
                <w:sz w:val="21"/>
                <w:szCs w:val="21"/>
              </w:rPr>
            </w:pPr>
            <w:r>
              <w:rPr>
                <w:color w:val="auto"/>
                <w:sz w:val="21"/>
                <w:szCs w:val="21"/>
              </w:rPr>
              <w:t>BOD</w:t>
            </w:r>
            <w:r>
              <w:rPr>
                <w:color w:val="auto"/>
                <w:sz w:val="21"/>
                <w:szCs w:val="21"/>
                <w:vertAlign w:val="subscript"/>
              </w:rPr>
              <w:t>5</w:t>
            </w:r>
          </w:p>
        </w:tc>
        <w:tc>
          <w:tcPr>
            <w:tcW w:w="1559" w:type="dxa"/>
            <w:vMerge w:val="continue"/>
            <w:vAlign w:val="center"/>
          </w:tcPr>
          <w:p w14:paraId="758B0BF5">
            <w:pPr>
              <w:adjustRightInd w:val="0"/>
              <w:snapToGrid w:val="0"/>
              <w:spacing w:line="300" w:lineRule="exact"/>
              <w:ind w:left="-103" w:leftChars="-49" w:right="-107" w:rightChars="-51"/>
              <w:jc w:val="center"/>
              <w:rPr>
                <w:color w:val="auto"/>
                <w:sz w:val="21"/>
                <w:szCs w:val="21"/>
              </w:rPr>
            </w:pPr>
          </w:p>
        </w:tc>
        <w:tc>
          <w:tcPr>
            <w:tcW w:w="2869" w:type="dxa"/>
            <w:vMerge w:val="continue"/>
            <w:vAlign w:val="center"/>
          </w:tcPr>
          <w:p w14:paraId="5FC6049C">
            <w:pPr>
              <w:adjustRightInd w:val="0"/>
              <w:snapToGrid w:val="0"/>
              <w:spacing w:line="300" w:lineRule="exact"/>
              <w:ind w:left="-103" w:leftChars="-49" w:right="-107" w:rightChars="-51"/>
              <w:jc w:val="center"/>
              <w:rPr>
                <w:color w:val="auto"/>
                <w:sz w:val="21"/>
                <w:szCs w:val="21"/>
              </w:rPr>
            </w:pPr>
          </w:p>
        </w:tc>
      </w:tr>
      <w:tr w14:paraId="1D12AF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8" w:hRule="atLeast"/>
          <w:jc w:val="center"/>
        </w:trPr>
        <w:tc>
          <w:tcPr>
            <w:tcW w:w="1255" w:type="dxa"/>
            <w:vMerge w:val="continue"/>
            <w:vAlign w:val="center"/>
          </w:tcPr>
          <w:p w14:paraId="67DE75D6">
            <w:pPr>
              <w:adjustRightInd w:val="0"/>
              <w:snapToGrid w:val="0"/>
              <w:spacing w:line="300" w:lineRule="exact"/>
              <w:ind w:left="-103" w:leftChars="-49" w:right="-107" w:rightChars="-51"/>
              <w:jc w:val="center"/>
              <w:rPr>
                <w:color w:val="auto"/>
                <w:sz w:val="21"/>
                <w:szCs w:val="21"/>
              </w:rPr>
            </w:pPr>
          </w:p>
        </w:tc>
        <w:tc>
          <w:tcPr>
            <w:tcW w:w="1700" w:type="dxa"/>
            <w:vMerge w:val="continue"/>
            <w:vAlign w:val="center"/>
          </w:tcPr>
          <w:p w14:paraId="32BFA248">
            <w:pPr>
              <w:adjustRightInd w:val="0"/>
              <w:snapToGrid w:val="0"/>
              <w:jc w:val="center"/>
              <w:rPr>
                <w:color w:val="auto"/>
                <w:sz w:val="21"/>
                <w:szCs w:val="21"/>
              </w:rPr>
            </w:pPr>
          </w:p>
        </w:tc>
        <w:tc>
          <w:tcPr>
            <w:tcW w:w="1419" w:type="dxa"/>
            <w:vAlign w:val="center"/>
          </w:tcPr>
          <w:p w14:paraId="45347170">
            <w:pPr>
              <w:adjustRightInd w:val="0"/>
              <w:snapToGrid w:val="0"/>
              <w:jc w:val="center"/>
              <w:rPr>
                <w:color w:val="auto"/>
                <w:sz w:val="21"/>
                <w:szCs w:val="21"/>
              </w:rPr>
            </w:pPr>
            <w:r>
              <w:rPr>
                <w:color w:val="auto"/>
                <w:sz w:val="21"/>
                <w:szCs w:val="21"/>
              </w:rPr>
              <w:t>SS</w:t>
            </w:r>
          </w:p>
        </w:tc>
        <w:tc>
          <w:tcPr>
            <w:tcW w:w="1559" w:type="dxa"/>
            <w:vMerge w:val="continue"/>
            <w:vAlign w:val="center"/>
          </w:tcPr>
          <w:p w14:paraId="427D0965">
            <w:pPr>
              <w:adjustRightInd w:val="0"/>
              <w:snapToGrid w:val="0"/>
              <w:spacing w:line="300" w:lineRule="exact"/>
              <w:ind w:left="-103" w:leftChars="-49" w:right="-107" w:rightChars="-51"/>
              <w:jc w:val="center"/>
              <w:rPr>
                <w:color w:val="auto"/>
                <w:sz w:val="21"/>
                <w:szCs w:val="21"/>
              </w:rPr>
            </w:pPr>
          </w:p>
        </w:tc>
        <w:tc>
          <w:tcPr>
            <w:tcW w:w="2869" w:type="dxa"/>
            <w:vMerge w:val="continue"/>
            <w:vAlign w:val="center"/>
          </w:tcPr>
          <w:p w14:paraId="6616C2C3">
            <w:pPr>
              <w:adjustRightInd w:val="0"/>
              <w:snapToGrid w:val="0"/>
              <w:spacing w:line="300" w:lineRule="exact"/>
              <w:ind w:left="-103" w:leftChars="-49" w:right="-107" w:rightChars="-51"/>
              <w:jc w:val="center"/>
              <w:rPr>
                <w:color w:val="auto"/>
                <w:sz w:val="21"/>
                <w:szCs w:val="21"/>
              </w:rPr>
            </w:pPr>
          </w:p>
        </w:tc>
      </w:tr>
      <w:tr w14:paraId="50602B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8" w:hRule="atLeast"/>
          <w:jc w:val="center"/>
        </w:trPr>
        <w:tc>
          <w:tcPr>
            <w:tcW w:w="1255" w:type="dxa"/>
            <w:vMerge w:val="continue"/>
            <w:vAlign w:val="center"/>
          </w:tcPr>
          <w:p w14:paraId="7390B5A7">
            <w:pPr>
              <w:adjustRightInd w:val="0"/>
              <w:snapToGrid w:val="0"/>
              <w:spacing w:line="300" w:lineRule="exact"/>
              <w:ind w:left="-103" w:leftChars="-49" w:right="-107" w:rightChars="-51"/>
              <w:jc w:val="center"/>
              <w:rPr>
                <w:color w:val="auto"/>
                <w:sz w:val="21"/>
                <w:szCs w:val="21"/>
              </w:rPr>
            </w:pPr>
          </w:p>
        </w:tc>
        <w:tc>
          <w:tcPr>
            <w:tcW w:w="1700" w:type="dxa"/>
            <w:vMerge w:val="continue"/>
            <w:vAlign w:val="center"/>
          </w:tcPr>
          <w:p w14:paraId="1B4C9B88">
            <w:pPr>
              <w:adjustRightInd w:val="0"/>
              <w:snapToGrid w:val="0"/>
              <w:jc w:val="center"/>
              <w:rPr>
                <w:color w:val="auto"/>
                <w:sz w:val="21"/>
                <w:szCs w:val="21"/>
              </w:rPr>
            </w:pPr>
          </w:p>
        </w:tc>
        <w:tc>
          <w:tcPr>
            <w:tcW w:w="1419" w:type="dxa"/>
            <w:vAlign w:val="center"/>
          </w:tcPr>
          <w:p w14:paraId="77FC7056">
            <w:pPr>
              <w:adjustRightInd w:val="0"/>
              <w:snapToGrid w:val="0"/>
              <w:jc w:val="center"/>
              <w:rPr>
                <w:color w:val="auto"/>
                <w:sz w:val="21"/>
                <w:szCs w:val="21"/>
              </w:rPr>
            </w:pPr>
            <w:r>
              <w:rPr>
                <w:color w:val="auto"/>
                <w:sz w:val="21"/>
                <w:szCs w:val="21"/>
              </w:rPr>
              <w:t>氨氮</w:t>
            </w:r>
          </w:p>
        </w:tc>
        <w:tc>
          <w:tcPr>
            <w:tcW w:w="1559" w:type="dxa"/>
            <w:vMerge w:val="continue"/>
            <w:vAlign w:val="center"/>
          </w:tcPr>
          <w:p w14:paraId="78D4C6F8">
            <w:pPr>
              <w:adjustRightInd w:val="0"/>
              <w:snapToGrid w:val="0"/>
              <w:spacing w:line="300" w:lineRule="exact"/>
              <w:ind w:left="-103" w:leftChars="-49" w:right="-107" w:rightChars="-51"/>
              <w:jc w:val="center"/>
              <w:rPr>
                <w:color w:val="auto"/>
                <w:sz w:val="21"/>
                <w:szCs w:val="21"/>
              </w:rPr>
            </w:pPr>
          </w:p>
        </w:tc>
        <w:tc>
          <w:tcPr>
            <w:tcW w:w="2869" w:type="dxa"/>
            <w:vMerge w:val="continue"/>
            <w:vAlign w:val="center"/>
          </w:tcPr>
          <w:p w14:paraId="2265282F">
            <w:pPr>
              <w:adjustRightInd w:val="0"/>
              <w:snapToGrid w:val="0"/>
              <w:spacing w:line="300" w:lineRule="exact"/>
              <w:ind w:left="-103" w:leftChars="-49" w:right="-107" w:rightChars="-51"/>
              <w:jc w:val="center"/>
              <w:rPr>
                <w:color w:val="auto"/>
                <w:sz w:val="21"/>
                <w:szCs w:val="21"/>
              </w:rPr>
            </w:pPr>
          </w:p>
        </w:tc>
      </w:tr>
      <w:tr w14:paraId="2378DE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0AAF2CF9">
            <w:pPr>
              <w:adjustRightInd w:val="0"/>
              <w:snapToGrid w:val="0"/>
              <w:spacing w:line="300" w:lineRule="exact"/>
              <w:jc w:val="center"/>
              <w:rPr>
                <w:color w:val="auto"/>
                <w:sz w:val="21"/>
                <w:szCs w:val="21"/>
              </w:rPr>
            </w:pPr>
            <w:r>
              <w:rPr>
                <w:color w:val="auto"/>
                <w:sz w:val="21"/>
                <w:szCs w:val="21"/>
              </w:rPr>
              <w:t>声环境</w:t>
            </w:r>
          </w:p>
        </w:tc>
        <w:tc>
          <w:tcPr>
            <w:tcW w:w="1700" w:type="dxa"/>
            <w:vAlign w:val="center"/>
          </w:tcPr>
          <w:p w14:paraId="05FD21E5">
            <w:pPr>
              <w:adjustRightInd w:val="0"/>
              <w:snapToGrid w:val="0"/>
              <w:spacing w:line="300" w:lineRule="exact"/>
              <w:jc w:val="center"/>
              <w:rPr>
                <w:color w:val="auto"/>
                <w:sz w:val="21"/>
                <w:szCs w:val="21"/>
              </w:rPr>
            </w:pPr>
            <w:r>
              <w:rPr>
                <w:color w:val="auto"/>
                <w:sz w:val="21"/>
                <w:szCs w:val="21"/>
              </w:rPr>
              <w:t>产噪设备及车间</w:t>
            </w:r>
          </w:p>
        </w:tc>
        <w:tc>
          <w:tcPr>
            <w:tcW w:w="1419" w:type="dxa"/>
            <w:vAlign w:val="center"/>
          </w:tcPr>
          <w:p w14:paraId="2EA91CDC">
            <w:pPr>
              <w:adjustRightInd w:val="0"/>
              <w:snapToGrid w:val="0"/>
              <w:spacing w:line="300" w:lineRule="exact"/>
              <w:jc w:val="center"/>
              <w:rPr>
                <w:color w:val="auto"/>
                <w:sz w:val="21"/>
                <w:szCs w:val="21"/>
              </w:rPr>
            </w:pPr>
            <w:r>
              <w:rPr>
                <w:color w:val="auto"/>
                <w:sz w:val="21"/>
                <w:szCs w:val="21"/>
              </w:rPr>
              <w:t>dB（A）</w:t>
            </w:r>
          </w:p>
        </w:tc>
        <w:tc>
          <w:tcPr>
            <w:tcW w:w="1559" w:type="dxa"/>
            <w:vAlign w:val="center"/>
          </w:tcPr>
          <w:p w14:paraId="07CF191D">
            <w:pPr>
              <w:adjustRightInd w:val="0"/>
              <w:snapToGrid w:val="0"/>
              <w:spacing w:line="300" w:lineRule="exact"/>
              <w:jc w:val="center"/>
              <w:rPr>
                <w:color w:val="auto"/>
                <w:sz w:val="21"/>
                <w:szCs w:val="21"/>
              </w:rPr>
            </w:pPr>
            <w:r>
              <w:rPr>
                <w:color w:val="auto"/>
                <w:sz w:val="21"/>
                <w:szCs w:val="21"/>
              </w:rPr>
              <w:t>减震、隔声、室内布置</w:t>
            </w:r>
          </w:p>
        </w:tc>
        <w:tc>
          <w:tcPr>
            <w:tcW w:w="2869" w:type="dxa"/>
            <w:vAlign w:val="center"/>
          </w:tcPr>
          <w:p w14:paraId="0462C695">
            <w:pPr>
              <w:adjustRightInd w:val="0"/>
              <w:snapToGrid w:val="0"/>
              <w:spacing w:line="300" w:lineRule="exact"/>
              <w:jc w:val="center"/>
              <w:rPr>
                <w:color w:val="auto"/>
                <w:sz w:val="21"/>
                <w:szCs w:val="21"/>
              </w:rPr>
            </w:pPr>
            <w:r>
              <w:rPr>
                <w:color w:val="auto"/>
                <w:sz w:val="21"/>
                <w:szCs w:val="21"/>
              </w:rPr>
              <w:t>符合《工业企业厂界环境噪声排放标准》（GB12348-2008）2类标准</w:t>
            </w:r>
          </w:p>
        </w:tc>
      </w:tr>
      <w:tr w14:paraId="0F2397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0517B4E0">
            <w:pPr>
              <w:adjustRightInd w:val="0"/>
              <w:snapToGrid w:val="0"/>
              <w:spacing w:line="300" w:lineRule="exact"/>
              <w:jc w:val="center"/>
              <w:rPr>
                <w:color w:val="auto"/>
                <w:sz w:val="21"/>
                <w:szCs w:val="21"/>
              </w:rPr>
            </w:pPr>
            <w:r>
              <w:rPr>
                <w:color w:val="auto"/>
                <w:sz w:val="21"/>
                <w:szCs w:val="21"/>
              </w:rPr>
              <w:t>电磁辐射</w:t>
            </w:r>
          </w:p>
        </w:tc>
        <w:tc>
          <w:tcPr>
            <w:tcW w:w="1700" w:type="dxa"/>
            <w:vAlign w:val="center"/>
          </w:tcPr>
          <w:p w14:paraId="33D83500">
            <w:pPr>
              <w:adjustRightInd w:val="0"/>
              <w:snapToGrid w:val="0"/>
              <w:spacing w:line="300" w:lineRule="exact"/>
              <w:jc w:val="center"/>
              <w:rPr>
                <w:color w:val="auto"/>
                <w:sz w:val="21"/>
                <w:szCs w:val="21"/>
              </w:rPr>
            </w:pPr>
            <w:r>
              <w:rPr>
                <w:color w:val="auto"/>
                <w:sz w:val="21"/>
                <w:szCs w:val="21"/>
              </w:rPr>
              <w:t>—</w:t>
            </w:r>
          </w:p>
        </w:tc>
        <w:tc>
          <w:tcPr>
            <w:tcW w:w="1419" w:type="dxa"/>
          </w:tcPr>
          <w:p w14:paraId="0D4A5B7B">
            <w:pPr>
              <w:adjustRightInd w:val="0"/>
              <w:snapToGrid w:val="0"/>
              <w:spacing w:line="300" w:lineRule="exact"/>
              <w:jc w:val="center"/>
              <w:rPr>
                <w:color w:val="auto"/>
                <w:sz w:val="21"/>
                <w:szCs w:val="21"/>
              </w:rPr>
            </w:pPr>
            <w:r>
              <w:rPr>
                <w:color w:val="auto"/>
                <w:sz w:val="21"/>
                <w:szCs w:val="21"/>
              </w:rPr>
              <w:t>—</w:t>
            </w:r>
          </w:p>
        </w:tc>
        <w:tc>
          <w:tcPr>
            <w:tcW w:w="1559" w:type="dxa"/>
          </w:tcPr>
          <w:p w14:paraId="47908743">
            <w:pPr>
              <w:adjustRightInd w:val="0"/>
              <w:snapToGrid w:val="0"/>
              <w:spacing w:line="300" w:lineRule="exact"/>
              <w:jc w:val="center"/>
              <w:rPr>
                <w:color w:val="auto"/>
                <w:sz w:val="21"/>
                <w:szCs w:val="21"/>
              </w:rPr>
            </w:pPr>
            <w:r>
              <w:rPr>
                <w:color w:val="auto"/>
                <w:sz w:val="21"/>
                <w:szCs w:val="21"/>
              </w:rPr>
              <w:t>—</w:t>
            </w:r>
          </w:p>
        </w:tc>
        <w:tc>
          <w:tcPr>
            <w:tcW w:w="2869" w:type="dxa"/>
          </w:tcPr>
          <w:p w14:paraId="717CE021">
            <w:pPr>
              <w:adjustRightInd w:val="0"/>
              <w:snapToGrid w:val="0"/>
              <w:spacing w:line="300" w:lineRule="exact"/>
              <w:jc w:val="center"/>
              <w:rPr>
                <w:color w:val="auto"/>
                <w:sz w:val="21"/>
                <w:szCs w:val="21"/>
              </w:rPr>
            </w:pPr>
            <w:r>
              <w:rPr>
                <w:color w:val="auto"/>
                <w:sz w:val="21"/>
                <w:szCs w:val="21"/>
              </w:rPr>
              <w:t>—</w:t>
            </w:r>
          </w:p>
        </w:tc>
      </w:tr>
      <w:tr w14:paraId="133EA5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16" w:hRule="atLeast"/>
          <w:jc w:val="center"/>
        </w:trPr>
        <w:tc>
          <w:tcPr>
            <w:tcW w:w="1255" w:type="dxa"/>
            <w:vAlign w:val="center"/>
          </w:tcPr>
          <w:p w14:paraId="3395AD79">
            <w:pPr>
              <w:adjustRightInd w:val="0"/>
              <w:snapToGrid w:val="0"/>
              <w:spacing w:line="300" w:lineRule="exact"/>
              <w:jc w:val="center"/>
              <w:rPr>
                <w:color w:val="auto"/>
                <w:sz w:val="21"/>
                <w:szCs w:val="21"/>
              </w:rPr>
            </w:pPr>
            <w:r>
              <w:rPr>
                <w:color w:val="auto"/>
                <w:sz w:val="21"/>
                <w:szCs w:val="21"/>
              </w:rPr>
              <w:t>固体废物</w:t>
            </w:r>
          </w:p>
        </w:tc>
        <w:tc>
          <w:tcPr>
            <w:tcW w:w="7547" w:type="dxa"/>
            <w:gridSpan w:val="4"/>
            <w:vAlign w:val="center"/>
          </w:tcPr>
          <w:p w14:paraId="40A55ADD">
            <w:pPr>
              <w:autoSpaceDE w:val="0"/>
              <w:autoSpaceDN w:val="0"/>
              <w:adjustRightInd w:val="0"/>
              <w:spacing w:line="300" w:lineRule="exact"/>
              <w:ind w:firstLine="420" w:firstLineChars="200"/>
              <w:rPr>
                <w:color w:val="auto"/>
                <w:sz w:val="21"/>
                <w:szCs w:val="21"/>
                <w:lang w:val="zh-CN"/>
              </w:rPr>
            </w:pPr>
            <w:r>
              <w:rPr>
                <w:color w:val="auto"/>
                <w:sz w:val="21"/>
                <w:szCs w:val="21"/>
              </w:rPr>
              <w:t>固体废物管理台账，废弃物的运输登记，危险废物转移联单</w:t>
            </w:r>
          </w:p>
        </w:tc>
      </w:tr>
      <w:tr w14:paraId="2DB841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76" w:hRule="atLeast"/>
          <w:jc w:val="center"/>
        </w:trPr>
        <w:tc>
          <w:tcPr>
            <w:tcW w:w="1255" w:type="dxa"/>
            <w:vAlign w:val="center"/>
          </w:tcPr>
          <w:p w14:paraId="31161CAA">
            <w:pPr>
              <w:adjustRightInd w:val="0"/>
              <w:snapToGrid w:val="0"/>
              <w:spacing w:line="300" w:lineRule="exact"/>
              <w:ind w:left="-128" w:leftChars="-61" w:right="-107" w:rightChars="-51" w:firstLine="128" w:firstLineChars="61"/>
              <w:jc w:val="center"/>
              <w:rPr>
                <w:color w:val="auto"/>
                <w:sz w:val="21"/>
                <w:szCs w:val="21"/>
              </w:rPr>
            </w:pPr>
            <w:r>
              <w:rPr>
                <w:color w:val="auto"/>
                <w:sz w:val="21"/>
                <w:szCs w:val="21"/>
              </w:rPr>
              <w:t>土壤及地下水污染防治措施</w:t>
            </w:r>
          </w:p>
        </w:tc>
        <w:tc>
          <w:tcPr>
            <w:tcW w:w="7547" w:type="dxa"/>
            <w:gridSpan w:val="4"/>
            <w:vAlign w:val="center"/>
          </w:tcPr>
          <w:p w14:paraId="674523AA">
            <w:pPr>
              <w:autoSpaceDE w:val="0"/>
              <w:autoSpaceDN w:val="0"/>
              <w:adjustRightInd w:val="0"/>
              <w:spacing w:line="300" w:lineRule="exact"/>
              <w:ind w:firstLine="420" w:firstLineChars="200"/>
              <w:jc w:val="center"/>
              <w:rPr>
                <w:color w:val="auto"/>
                <w:sz w:val="21"/>
                <w:szCs w:val="21"/>
              </w:rPr>
            </w:pPr>
            <w:r>
              <w:rPr>
                <w:color w:val="auto"/>
                <w:sz w:val="21"/>
                <w:szCs w:val="21"/>
              </w:rPr>
              <w:t>采取分区防渗措施，其中重点防渗区，设置不低于6.0m厚渗透系数为1.0×10</w:t>
            </w:r>
            <w:r>
              <w:rPr>
                <w:color w:val="auto"/>
                <w:sz w:val="21"/>
                <w:szCs w:val="21"/>
                <w:vertAlign w:val="superscript"/>
              </w:rPr>
              <w:t>-7</w:t>
            </w:r>
            <w:r>
              <w:rPr>
                <w:color w:val="auto"/>
                <w:sz w:val="21"/>
                <w:szCs w:val="21"/>
              </w:rPr>
              <w:t>cm/s的黏土层的防渗性能；一般防渗区，设置不低于1.5m厚渗透系数为1.0×10</w:t>
            </w:r>
            <w:r>
              <w:rPr>
                <w:color w:val="auto"/>
                <w:sz w:val="21"/>
                <w:szCs w:val="21"/>
                <w:vertAlign w:val="superscript"/>
              </w:rPr>
              <w:t>-7</w:t>
            </w:r>
            <w:r>
              <w:rPr>
                <w:color w:val="auto"/>
                <w:sz w:val="21"/>
                <w:szCs w:val="21"/>
              </w:rPr>
              <w:t>cm/s的黏土层的防渗性能；办公室等其他区域采取硬化等简单防渗。</w:t>
            </w:r>
          </w:p>
        </w:tc>
      </w:tr>
      <w:tr w14:paraId="04C647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5" w:type="dxa"/>
            <w:vAlign w:val="center"/>
          </w:tcPr>
          <w:p w14:paraId="268B42C3">
            <w:pPr>
              <w:adjustRightInd w:val="0"/>
              <w:snapToGrid w:val="0"/>
              <w:spacing w:line="300" w:lineRule="exact"/>
              <w:ind w:left="-128" w:leftChars="-61" w:right="-107" w:rightChars="-51" w:firstLine="128" w:firstLineChars="61"/>
              <w:jc w:val="center"/>
              <w:rPr>
                <w:color w:val="auto"/>
                <w:sz w:val="21"/>
                <w:szCs w:val="21"/>
              </w:rPr>
            </w:pPr>
            <w:r>
              <w:rPr>
                <w:color w:val="auto"/>
                <w:sz w:val="21"/>
                <w:szCs w:val="21"/>
              </w:rPr>
              <w:t>生态保护措施</w:t>
            </w:r>
          </w:p>
        </w:tc>
        <w:tc>
          <w:tcPr>
            <w:tcW w:w="7547" w:type="dxa"/>
            <w:gridSpan w:val="4"/>
            <w:vAlign w:val="center"/>
          </w:tcPr>
          <w:p w14:paraId="15C3DB96">
            <w:pPr>
              <w:adjustRightInd w:val="0"/>
              <w:snapToGrid w:val="0"/>
              <w:spacing w:line="300" w:lineRule="exact"/>
              <w:jc w:val="center"/>
              <w:rPr>
                <w:color w:val="auto"/>
                <w:sz w:val="21"/>
                <w:szCs w:val="21"/>
              </w:rPr>
            </w:pPr>
            <w:r>
              <w:rPr>
                <w:color w:val="auto"/>
                <w:sz w:val="21"/>
                <w:szCs w:val="21"/>
              </w:rPr>
              <w:t>加强绿化</w:t>
            </w:r>
          </w:p>
        </w:tc>
      </w:tr>
      <w:tr w14:paraId="1BF2C2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55" w:type="dxa"/>
            <w:vAlign w:val="center"/>
          </w:tcPr>
          <w:p w14:paraId="30862AB0">
            <w:pPr>
              <w:adjustRightInd w:val="0"/>
              <w:snapToGrid w:val="0"/>
              <w:spacing w:line="300" w:lineRule="exact"/>
              <w:jc w:val="center"/>
              <w:rPr>
                <w:color w:val="auto"/>
                <w:spacing w:val="-8"/>
                <w:sz w:val="21"/>
                <w:szCs w:val="21"/>
              </w:rPr>
            </w:pPr>
            <w:r>
              <w:rPr>
                <w:color w:val="auto"/>
                <w:spacing w:val="-8"/>
                <w:sz w:val="21"/>
                <w:szCs w:val="21"/>
              </w:rPr>
              <w:t>环境风险</w:t>
            </w:r>
          </w:p>
          <w:p w14:paraId="0273C8EB">
            <w:pPr>
              <w:adjustRightInd w:val="0"/>
              <w:snapToGrid w:val="0"/>
              <w:spacing w:line="300" w:lineRule="exact"/>
              <w:jc w:val="center"/>
              <w:rPr>
                <w:color w:val="auto"/>
                <w:spacing w:val="-8"/>
                <w:sz w:val="21"/>
                <w:szCs w:val="21"/>
              </w:rPr>
            </w:pPr>
            <w:r>
              <w:rPr>
                <w:color w:val="auto"/>
                <w:spacing w:val="-8"/>
                <w:sz w:val="21"/>
                <w:szCs w:val="21"/>
              </w:rPr>
              <w:t>防范措施</w:t>
            </w:r>
          </w:p>
        </w:tc>
        <w:tc>
          <w:tcPr>
            <w:tcW w:w="7547" w:type="dxa"/>
            <w:gridSpan w:val="4"/>
            <w:vAlign w:val="center"/>
          </w:tcPr>
          <w:p w14:paraId="3373A2A6">
            <w:pPr>
              <w:spacing w:line="300" w:lineRule="exact"/>
              <w:rPr>
                <w:rFonts w:hint="eastAsia"/>
                <w:bCs/>
                <w:color w:val="auto"/>
                <w:sz w:val="21"/>
                <w:szCs w:val="21"/>
              </w:rPr>
            </w:pPr>
            <w:r>
              <w:rPr>
                <w:rFonts w:hint="eastAsia"/>
                <w:bCs/>
                <w:color w:val="auto"/>
                <w:sz w:val="21"/>
                <w:szCs w:val="21"/>
              </w:rPr>
              <w:t>1）火灾事故防范措施</w:t>
            </w:r>
          </w:p>
          <w:p w14:paraId="2CB75F7B">
            <w:pPr>
              <w:spacing w:line="300" w:lineRule="exact"/>
              <w:rPr>
                <w:rFonts w:hint="eastAsia"/>
                <w:bCs/>
                <w:color w:val="auto"/>
                <w:sz w:val="21"/>
                <w:szCs w:val="21"/>
              </w:rPr>
            </w:pPr>
            <w:r>
              <w:rPr>
                <w:rFonts w:hint="eastAsia"/>
                <w:bCs/>
                <w:color w:val="auto"/>
                <w:sz w:val="21"/>
                <w:szCs w:val="21"/>
              </w:rPr>
              <w:t>严格按照有关建筑防火规范和《爆炸危险环境电力装置设计规范》进行设计；加大宣传教育力度，增强工作人员的整体消防安全意识。参加社会消防安全知识培训，提高广大职工的消防安全意识，使其掌握防火、灭火、逃生的基础知识；制定安全生产管理制度，严禁厂区吸烟和使用明火。电线必须穿管敷设，禁止临时随意拉接。车间内须使用排气风扇，加强通风；禁止无关人员进入车间，车间内严禁堆放杂物。制定和落实消防器材检查、维护保养制度，及时更换、维修消防栓、灭火器、水带等，使其始终处于完好状态。</w:t>
            </w:r>
          </w:p>
          <w:p w14:paraId="77FE2569">
            <w:pPr>
              <w:spacing w:line="300" w:lineRule="exact"/>
              <w:rPr>
                <w:rFonts w:hint="eastAsia"/>
                <w:bCs/>
                <w:color w:val="auto"/>
                <w:sz w:val="21"/>
                <w:szCs w:val="21"/>
              </w:rPr>
            </w:pPr>
            <w:r>
              <w:rPr>
                <w:rFonts w:hint="eastAsia"/>
                <w:bCs/>
                <w:color w:val="auto"/>
                <w:sz w:val="21"/>
                <w:szCs w:val="21"/>
              </w:rPr>
              <w:t>2）大气环境风险防范措施</w:t>
            </w:r>
          </w:p>
          <w:p w14:paraId="147D2305">
            <w:pPr>
              <w:spacing w:line="300" w:lineRule="exact"/>
              <w:rPr>
                <w:rFonts w:hint="eastAsia"/>
                <w:bCs/>
                <w:color w:val="auto"/>
                <w:sz w:val="21"/>
                <w:szCs w:val="21"/>
              </w:rPr>
            </w:pPr>
            <w:r>
              <w:rPr>
                <w:rFonts w:hint="eastAsia"/>
                <w:bCs/>
                <w:color w:val="auto"/>
                <w:sz w:val="21"/>
                <w:szCs w:val="21"/>
              </w:rPr>
              <w:t>①在车间内设置有可燃气体泄漏报警器，报警信号传输到值班室。</w:t>
            </w:r>
          </w:p>
          <w:p w14:paraId="0CAB3C53">
            <w:pPr>
              <w:spacing w:line="300" w:lineRule="exact"/>
              <w:rPr>
                <w:rFonts w:hint="eastAsia"/>
                <w:bCs/>
                <w:color w:val="auto"/>
                <w:sz w:val="21"/>
                <w:szCs w:val="21"/>
              </w:rPr>
            </w:pPr>
            <w:r>
              <w:rPr>
                <w:rFonts w:hint="eastAsia"/>
                <w:bCs/>
                <w:color w:val="auto"/>
                <w:sz w:val="21"/>
                <w:szCs w:val="21"/>
              </w:rPr>
              <w:t>②车间外配套风向仪，用于观测准确风向，当发生气体泄漏事故时，组织人员向事</w:t>
            </w:r>
          </w:p>
          <w:p w14:paraId="77408827">
            <w:pPr>
              <w:spacing w:line="300" w:lineRule="exact"/>
              <w:rPr>
                <w:rFonts w:hint="eastAsia"/>
                <w:bCs/>
                <w:color w:val="auto"/>
                <w:sz w:val="21"/>
                <w:szCs w:val="21"/>
              </w:rPr>
            </w:pPr>
            <w:r>
              <w:rPr>
                <w:rFonts w:hint="eastAsia"/>
                <w:bCs/>
                <w:color w:val="auto"/>
                <w:sz w:val="21"/>
                <w:szCs w:val="21"/>
              </w:rPr>
              <w:t>故发生源上风向疏散，以减少对人群的伤害。</w:t>
            </w:r>
          </w:p>
          <w:p w14:paraId="117C55E4">
            <w:pPr>
              <w:spacing w:line="300" w:lineRule="exact"/>
              <w:rPr>
                <w:rFonts w:hint="eastAsia"/>
                <w:bCs/>
                <w:color w:val="auto"/>
                <w:sz w:val="21"/>
                <w:szCs w:val="21"/>
              </w:rPr>
            </w:pPr>
            <w:r>
              <w:rPr>
                <w:rFonts w:hint="eastAsia"/>
                <w:bCs/>
                <w:color w:val="auto"/>
                <w:sz w:val="21"/>
                <w:szCs w:val="21"/>
              </w:rPr>
              <w:t>③对设备、法兰等的密封性经常进行检查，防止气体泄漏现象的发生。</w:t>
            </w:r>
          </w:p>
          <w:p w14:paraId="3E05FE7E">
            <w:pPr>
              <w:spacing w:line="300" w:lineRule="exact"/>
              <w:rPr>
                <w:rFonts w:hint="eastAsia"/>
                <w:bCs/>
                <w:color w:val="auto"/>
                <w:sz w:val="21"/>
                <w:szCs w:val="21"/>
              </w:rPr>
            </w:pPr>
            <w:r>
              <w:rPr>
                <w:rFonts w:hint="eastAsia"/>
                <w:bCs/>
                <w:color w:val="auto"/>
                <w:sz w:val="21"/>
                <w:szCs w:val="21"/>
              </w:rPr>
              <w:t>④制定规范的操作规程，并严格管理，生产人员应持证上岗。</w:t>
            </w:r>
          </w:p>
          <w:p w14:paraId="2307DD93">
            <w:pPr>
              <w:spacing w:line="300" w:lineRule="exact"/>
              <w:rPr>
                <w:rFonts w:hint="eastAsia"/>
                <w:bCs/>
                <w:color w:val="auto"/>
                <w:sz w:val="21"/>
                <w:szCs w:val="21"/>
              </w:rPr>
            </w:pPr>
            <w:r>
              <w:rPr>
                <w:rFonts w:hint="eastAsia"/>
                <w:bCs/>
                <w:color w:val="auto"/>
                <w:sz w:val="21"/>
                <w:szCs w:val="21"/>
              </w:rPr>
              <w:t>3）水环境风险防范措施</w:t>
            </w:r>
          </w:p>
          <w:p w14:paraId="08652485">
            <w:pPr>
              <w:spacing w:line="300" w:lineRule="exact"/>
              <w:rPr>
                <w:rFonts w:hint="eastAsia"/>
                <w:bCs/>
                <w:color w:val="auto"/>
                <w:sz w:val="21"/>
                <w:szCs w:val="21"/>
              </w:rPr>
            </w:pPr>
            <w:r>
              <w:rPr>
                <w:rFonts w:hint="eastAsia"/>
                <w:bCs/>
                <w:color w:val="auto"/>
                <w:sz w:val="21"/>
                <w:szCs w:val="21"/>
              </w:rPr>
              <w:t>项目危废暂存间严格落实《危险废物贮存污染控制标准》（GB18597-2023）要求，需设置有事故水池等泄漏液收集系统，且进行防渗处理，确保事故时泄露物质不会通过渗透和地表径流污染地下水和地表水。</w:t>
            </w:r>
          </w:p>
          <w:p w14:paraId="517D7BDC">
            <w:pPr>
              <w:spacing w:line="300" w:lineRule="exact"/>
              <w:rPr>
                <w:bCs/>
                <w:color w:val="auto"/>
                <w:sz w:val="21"/>
                <w:szCs w:val="21"/>
              </w:rPr>
            </w:pPr>
          </w:p>
        </w:tc>
      </w:tr>
      <w:tr w14:paraId="772B26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73" w:hRule="atLeast"/>
          <w:jc w:val="center"/>
        </w:trPr>
        <w:tc>
          <w:tcPr>
            <w:tcW w:w="1255" w:type="dxa"/>
            <w:vAlign w:val="center"/>
          </w:tcPr>
          <w:p w14:paraId="5EDE72A0">
            <w:pPr>
              <w:adjustRightInd w:val="0"/>
              <w:snapToGrid w:val="0"/>
              <w:spacing w:line="300" w:lineRule="exact"/>
              <w:jc w:val="center"/>
              <w:rPr>
                <w:color w:val="auto"/>
                <w:spacing w:val="-8"/>
                <w:sz w:val="21"/>
                <w:szCs w:val="21"/>
              </w:rPr>
            </w:pPr>
            <w:r>
              <w:rPr>
                <w:color w:val="auto"/>
                <w:spacing w:val="-8"/>
                <w:sz w:val="21"/>
                <w:szCs w:val="21"/>
              </w:rPr>
              <w:t>其他环境</w:t>
            </w:r>
          </w:p>
          <w:p w14:paraId="63EBC0CE">
            <w:pPr>
              <w:adjustRightInd w:val="0"/>
              <w:snapToGrid w:val="0"/>
              <w:spacing w:line="300" w:lineRule="exact"/>
              <w:jc w:val="center"/>
              <w:rPr>
                <w:color w:val="auto"/>
                <w:spacing w:val="-8"/>
                <w:sz w:val="21"/>
                <w:szCs w:val="21"/>
              </w:rPr>
            </w:pPr>
            <w:r>
              <w:rPr>
                <w:color w:val="auto"/>
                <w:spacing w:val="-8"/>
                <w:sz w:val="21"/>
                <w:szCs w:val="21"/>
              </w:rPr>
              <w:t>管理要求</w:t>
            </w:r>
          </w:p>
        </w:tc>
        <w:tc>
          <w:tcPr>
            <w:tcW w:w="7547" w:type="dxa"/>
            <w:gridSpan w:val="4"/>
            <w:vAlign w:val="center"/>
          </w:tcPr>
          <w:p w14:paraId="599027D7">
            <w:pPr>
              <w:adjustRightInd w:val="0"/>
              <w:snapToGrid w:val="0"/>
              <w:spacing w:line="300" w:lineRule="exact"/>
              <w:ind w:firstLine="420" w:firstLineChars="200"/>
              <w:rPr>
                <w:color w:val="auto"/>
                <w:sz w:val="21"/>
                <w:szCs w:val="21"/>
              </w:rPr>
            </w:pPr>
            <w:r>
              <w:rPr>
                <w:color w:val="auto"/>
                <w:sz w:val="21"/>
                <w:szCs w:val="21"/>
              </w:rPr>
              <w:t>①严格按照国家有关建设项目环保管理规定，各类污染物的排放应执行本次环评规定的标准。</w:t>
            </w:r>
          </w:p>
          <w:p w14:paraId="57E55C1C">
            <w:pPr>
              <w:adjustRightInd w:val="0"/>
              <w:snapToGrid w:val="0"/>
              <w:spacing w:line="300" w:lineRule="exact"/>
              <w:ind w:firstLine="420" w:firstLineChars="200"/>
              <w:rPr>
                <w:color w:val="auto"/>
                <w:sz w:val="21"/>
                <w:szCs w:val="21"/>
              </w:rPr>
            </w:pPr>
            <w:r>
              <w:rPr>
                <w:color w:val="auto"/>
                <w:sz w:val="21"/>
                <w:szCs w:val="21"/>
              </w:rPr>
              <w:t>②确保所用原辅材料为符合环保要求的产品。</w:t>
            </w:r>
          </w:p>
          <w:p w14:paraId="0E64C7B8">
            <w:pPr>
              <w:adjustRightInd w:val="0"/>
              <w:snapToGrid w:val="0"/>
              <w:spacing w:line="300" w:lineRule="exact"/>
              <w:ind w:firstLine="420" w:firstLineChars="200"/>
              <w:rPr>
                <w:color w:val="auto"/>
                <w:sz w:val="21"/>
                <w:szCs w:val="21"/>
              </w:rPr>
            </w:pPr>
            <w:r>
              <w:rPr>
                <w:color w:val="auto"/>
                <w:sz w:val="21"/>
                <w:szCs w:val="21"/>
              </w:rPr>
              <w:t>③对涉及风险物质设施定期检查，确定其可以长期稳定运行。</w:t>
            </w:r>
          </w:p>
          <w:p w14:paraId="00D43C16">
            <w:pPr>
              <w:adjustRightInd w:val="0"/>
              <w:snapToGrid w:val="0"/>
              <w:spacing w:line="300" w:lineRule="exact"/>
              <w:ind w:firstLine="420" w:firstLineChars="200"/>
              <w:rPr>
                <w:color w:val="auto"/>
                <w:sz w:val="21"/>
                <w:szCs w:val="21"/>
              </w:rPr>
            </w:pPr>
            <w:r>
              <w:rPr>
                <w:color w:val="auto"/>
                <w:sz w:val="21"/>
                <w:szCs w:val="21"/>
              </w:rPr>
              <w:t>④加强职工宣传教育，制定环保管理制度并严格执行。</w:t>
            </w:r>
          </w:p>
          <w:p w14:paraId="1F27FC47">
            <w:pPr>
              <w:adjustRightInd w:val="0"/>
              <w:snapToGrid w:val="0"/>
              <w:spacing w:line="300" w:lineRule="exact"/>
              <w:ind w:firstLine="420" w:firstLineChars="200"/>
              <w:rPr>
                <w:color w:val="auto"/>
                <w:sz w:val="21"/>
                <w:szCs w:val="21"/>
              </w:rPr>
            </w:pPr>
            <w:r>
              <w:rPr>
                <w:color w:val="auto"/>
                <w:sz w:val="21"/>
                <w:szCs w:val="21"/>
              </w:rPr>
              <w:t>⑤严格按照环评要求进行例行监测。</w:t>
            </w:r>
          </w:p>
          <w:p w14:paraId="174DD654">
            <w:pPr>
              <w:adjustRightInd w:val="0"/>
              <w:snapToGrid w:val="0"/>
              <w:spacing w:line="240" w:lineRule="exact"/>
              <w:ind w:firstLine="420" w:firstLineChars="200"/>
              <w:rPr>
                <w:color w:val="auto"/>
                <w:sz w:val="21"/>
                <w:szCs w:val="21"/>
              </w:rPr>
            </w:pPr>
            <w:r>
              <w:rPr>
                <w:color w:val="auto"/>
                <w:sz w:val="21"/>
                <w:szCs w:val="21"/>
              </w:rPr>
              <w:t>⑥本项目</w:t>
            </w:r>
            <w:r>
              <w:rPr>
                <w:rFonts w:hint="eastAsia"/>
                <w:color w:val="auto"/>
                <w:sz w:val="21"/>
                <w:szCs w:val="21"/>
                <w:lang w:eastAsia="zh-CN"/>
              </w:rPr>
              <w:t>完成后产生实际排污前，需申请排污</w:t>
            </w:r>
            <w:r>
              <w:rPr>
                <w:rFonts w:hint="eastAsia"/>
                <w:color w:val="auto"/>
                <w:sz w:val="21"/>
                <w:szCs w:val="21"/>
                <w:lang w:val="en-US" w:eastAsia="zh-CN"/>
              </w:rPr>
              <w:t>登记</w:t>
            </w:r>
            <w:r>
              <w:rPr>
                <w:color w:val="auto"/>
                <w:sz w:val="21"/>
                <w:szCs w:val="21"/>
              </w:rPr>
              <w:t>。</w:t>
            </w:r>
          </w:p>
          <w:p w14:paraId="07B4D6AB">
            <w:pPr>
              <w:adjustRightInd w:val="0"/>
              <w:snapToGrid w:val="0"/>
              <w:spacing w:line="300" w:lineRule="exact"/>
              <w:ind w:firstLine="420" w:firstLineChars="200"/>
              <w:rPr>
                <w:color w:val="auto"/>
                <w:sz w:val="21"/>
                <w:szCs w:val="21"/>
                <w:highlight w:val="none"/>
              </w:rPr>
            </w:pPr>
            <w:r>
              <w:rPr>
                <w:color w:val="auto"/>
                <w:sz w:val="21"/>
                <w:szCs w:val="21"/>
              </w:rPr>
              <w:t>⑦严格执行环保“</w:t>
            </w:r>
            <w:r>
              <w:rPr>
                <w:color w:val="auto"/>
                <w:sz w:val="21"/>
                <w:szCs w:val="21"/>
                <w:highlight w:val="none"/>
              </w:rPr>
              <w:t>三同时”制度，确保各项环保措施落实到位，企业运用后需自行开展环境保护竣工验收，验收时环保设施处理效果及相关管理参数不得低于环评中相关参数要求</w:t>
            </w:r>
            <w:r>
              <w:rPr>
                <w:rFonts w:hint="eastAsia"/>
                <w:color w:val="auto"/>
                <w:sz w:val="21"/>
                <w:szCs w:val="21"/>
                <w:highlight w:val="none"/>
              </w:rPr>
              <w:t>。</w:t>
            </w:r>
          </w:p>
          <w:p w14:paraId="1666C6E4">
            <w:pPr>
              <w:adjustRightInd w:val="0"/>
              <w:snapToGrid w:val="0"/>
              <w:spacing w:line="300" w:lineRule="exact"/>
              <w:ind w:firstLine="420" w:firstLineChars="200"/>
              <w:rPr>
                <w:color w:val="auto"/>
                <w:sz w:val="21"/>
                <w:szCs w:val="21"/>
              </w:rPr>
            </w:pPr>
            <w:r>
              <w:rPr>
                <w:rFonts w:hint="eastAsia" w:ascii="宋体" w:hAnsi="宋体" w:cs="宋体"/>
                <w:color w:val="auto"/>
                <w:sz w:val="21"/>
                <w:szCs w:val="21"/>
                <w:highlight w:val="none"/>
              </w:rPr>
              <w:t>⑧</w:t>
            </w:r>
            <w:r>
              <w:rPr>
                <w:color w:val="auto"/>
                <w:sz w:val="21"/>
                <w:szCs w:val="21"/>
                <w:highlight w:val="none"/>
              </w:rPr>
              <w:t>根据</w:t>
            </w:r>
            <w:r>
              <w:rPr>
                <w:rFonts w:hint="eastAsia"/>
                <w:color w:val="auto"/>
                <w:sz w:val="21"/>
                <w:szCs w:val="21"/>
                <w:highlight w:val="none"/>
                <w:lang w:eastAsia="zh-CN"/>
              </w:rPr>
              <w:t>《</w:t>
            </w:r>
            <w:r>
              <w:rPr>
                <w:color w:val="auto"/>
                <w:sz w:val="21"/>
                <w:szCs w:val="21"/>
                <w:highlight w:val="none"/>
                <w:lang w:eastAsia="zh-CN"/>
              </w:rPr>
              <w:t>排污</w:t>
            </w:r>
            <w:r>
              <w:rPr>
                <w:rFonts w:hint="eastAsia"/>
                <w:color w:val="auto"/>
                <w:sz w:val="21"/>
                <w:szCs w:val="21"/>
                <w:highlight w:val="none"/>
                <w:lang w:eastAsia="zh-CN"/>
              </w:rPr>
              <w:t>单位自行监</w:t>
            </w:r>
            <w:r>
              <w:rPr>
                <w:color w:val="auto"/>
                <w:sz w:val="21"/>
                <w:szCs w:val="21"/>
                <w:highlight w:val="none"/>
                <w:lang w:eastAsia="zh-CN"/>
              </w:rPr>
              <w:t>测技术指南</w:t>
            </w:r>
            <w:r>
              <w:rPr>
                <w:rFonts w:hint="eastAsia"/>
                <w:color w:val="auto"/>
                <w:sz w:val="21"/>
                <w:szCs w:val="21"/>
                <w:highlight w:val="none"/>
                <w:lang w:val="en-US" w:eastAsia="zh-CN"/>
              </w:rPr>
              <w:t>--总则</w:t>
            </w:r>
            <w:r>
              <w:rPr>
                <w:rFonts w:hint="eastAsia"/>
                <w:color w:val="auto"/>
                <w:sz w:val="21"/>
                <w:szCs w:val="21"/>
                <w:highlight w:val="none"/>
                <w:lang w:eastAsia="zh-CN"/>
              </w:rPr>
              <w:t>》（H</w:t>
            </w:r>
            <w:r>
              <w:rPr>
                <w:color w:val="auto"/>
                <w:sz w:val="21"/>
                <w:szCs w:val="21"/>
                <w:highlight w:val="none"/>
                <w:lang w:eastAsia="zh-CN"/>
              </w:rPr>
              <w:t>J</w:t>
            </w:r>
            <w:r>
              <w:rPr>
                <w:rFonts w:hint="eastAsia"/>
                <w:color w:val="auto"/>
                <w:sz w:val="21"/>
                <w:szCs w:val="21"/>
                <w:highlight w:val="none"/>
                <w:lang w:val="en-US" w:eastAsia="zh-CN"/>
              </w:rPr>
              <w:t>819-2017</w:t>
            </w:r>
            <w:r>
              <w:rPr>
                <w:rFonts w:hint="eastAsia"/>
                <w:color w:val="auto"/>
                <w:sz w:val="21"/>
                <w:szCs w:val="21"/>
                <w:highlight w:val="none"/>
                <w:lang w:eastAsia="zh-CN"/>
              </w:rPr>
              <w:t>）、《排污单位自行监测技术指南 电子工业》（HJ1253-2022）、《排污许可证申请与核发技术规范 工业炉窑》（HJ1121—2020）</w:t>
            </w:r>
            <w:r>
              <w:rPr>
                <w:color w:val="auto"/>
                <w:sz w:val="21"/>
                <w:szCs w:val="21"/>
                <w:highlight w:val="none"/>
              </w:rPr>
              <w:t>的要求，针对拟建项目所排污染物情况，设置监测计划</w:t>
            </w:r>
            <w:r>
              <w:rPr>
                <w:rFonts w:hint="eastAsia"/>
                <w:color w:val="auto"/>
                <w:sz w:val="21"/>
                <w:szCs w:val="21"/>
                <w:highlight w:val="none"/>
                <w:lang w:eastAsia="zh-CN"/>
              </w:rPr>
              <w:t>并定期进行监测</w:t>
            </w:r>
            <w:r>
              <w:rPr>
                <w:color w:val="auto"/>
                <w:sz w:val="21"/>
                <w:szCs w:val="21"/>
                <w:highlight w:val="none"/>
              </w:rPr>
              <w:t>。</w:t>
            </w:r>
          </w:p>
        </w:tc>
      </w:tr>
    </w:tbl>
    <w:p w14:paraId="3D0D2152">
      <w:pPr>
        <w:pStyle w:val="78"/>
        <w:spacing w:line="420" w:lineRule="exact"/>
        <w:jc w:val="center"/>
        <w:outlineLvl w:val="0"/>
        <w:rPr>
          <w:rFonts w:ascii="Times New Roman" w:hAnsi="Times New Roman" w:eastAsia="黑体"/>
          <w:snapToGrid w:val="0"/>
          <w:color w:val="auto"/>
          <w:sz w:val="30"/>
          <w:szCs w:val="30"/>
        </w:rPr>
      </w:pPr>
      <w:r>
        <w:rPr>
          <w:rFonts w:ascii="Times New Roman" w:hAnsi="Times New Roman"/>
          <w:snapToGrid w:val="0"/>
          <w:color w:val="auto"/>
        </w:rPr>
        <w:br w:type="page"/>
      </w:r>
      <w:r>
        <w:rPr>
          <w:rFonts w:ascii="Times New Roman" w:hAnsi="Times New Roman" w:eastAsia="黑体"/>
          <w:snapToGrid w:val="0"/>
          <w:color w:val="auto"/>
          <w:sz w:val="30"/>
          <w:szCs w:val="30"/>
        </w:rPr>
        <w:t>六、结论</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2C4C7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6530237F">
            <w:pPr>
              <w:adjustRightInd w:val="0"/>
              <w:snapToGrid w:val="0"/>
              <w:spacing w:line="420" w:lineRule="exact"/>
              <w:ind w:firstLine="420" w:firstLineChars="200"/>
              <w:rPr>
                <w:color w:val="auto"/>
              </w:rPr>
            </w:pPr>
            <w:r>
              <w:rPr>
                <w:color w:val="auto"/>
              </w:rPr>
              <w:t>本项目符合国家产业政策的要求。项目区内的污染物可达标排放；在认真落实各项污染防治措施下，对周围环境影响较小，从环保角度上讲，本项目的建设运营是可行的。</w:t>
            </w:r>
          </w:p>
        </w:tc>
      </w:tr>
    </w:tbl>
    <w:p w14:paraId="679E78D5">
      <w:pPr>
        <w:spacing w:line="420" w:lineRule="exact"/>
        <w:rPr>
          <w:color w:val="auto"/>
          <w:highlight w:val="none"/>
        </w:rPr>
        <w:sectPr>
          <w:pgSz w:w="11906" w:h="16838"/>
          <w:pgMar w:top="1701" w:right="1531" w:bottom="1701" w:left="1531" w:header="851" w:footer="851" w:gutter="0"/>
          <w:pgNumType w:fmt="decimal"/>
          <w:cols w:space="720" w:num="1"/>
          <w:docGrid w:linePitch="312" w:charSpace="0"/>
        </w:sectPr>
      </w:pPr>
    </w:p>
    <w:p w14:paraId="548F8977">
      <w:pPr>
        <w:pStyle w:val="78"/>
        <w:adjustRightInd w:val="0"/>
        <w:snapToGrid w:val="0"/>
        <w:spacing w:before="0" w:beforeAutospacing="0" w:after="0" w:afterAutospacing="0" w:line="420" w:lineRule="exact"/>
        <w:outlineLvl w:val="0"/>
        <w:rPr>
          <w:rFonts w:ascii="Times New Roman" w:hAnsi="Times New Roman" w:eastAsia="黑体"/>
          <w:snapToGrid w:val="0"/>
          <w:color w:val="auto"/>
          <w:sz w:val="32"/>
          <w:szCs w:val="32"/>
          <w:highlight w:val="none"/>
        </w:rPr>
      </w:pPr>
      <w:r>
        <w:rPr>
          <w:rFonts w:ascii="Times New Roman" w:hAnsi="Times New Roman" w:eastAsia="黑体"/>
          <w:snapToGrid w:val="0"/>
          <w:color w:val="auto"/>
          <w:sz w:val="32"/>
          <w:szCs w:val="32"/>
          <w:highlight w:val="none"/>
        </w:rPr>
        <w:t>附表</w:t>
      </w:r>
    </w:p>
    <w:p w14:paraId="79E2318C">
      <w:pPr>
        <w:pStyle w:val="78"/>
        <w:adjustRightInd w:val="0"/>
        <w:snapToGrid w:val="0"/>
        <w:spacing w:before="0" w:beforeAutospacing="0" w:after="0" w:afterAutospacing="0" w:line="420" w:lineRule="exact"/>
        <w:jc w:val="center"/>
        <w:outlineLvl w:val="0"/>
        <w:rPr>
          <w:rFonts w:hint="eastAsia" w:ascii="Times New Roman" w:hAnsi="Times New Roman" w:eastAsia="方正小标宋_GBK"/>
          <w:snapToGrid w:val="0"/>
          <w:color w:val="auto"/>
          <w:sz w:val="38"/>
          <w:szCs w:val="38"/>
          <w:highlight w:val="none"/>
          <w:lang w:eastAsia="zh-CN"/>
        </w:rPr>
      </w:pPr>
      <w:r>
        <w:rPr>
          <w:rFonts w:ascii="Times New Roman" w:hAnsi="Times New Roman" w:eastAsia="方正小标宋_GBK"/>
          <w:snapToGrid w:val="0"/>
          <w:color w:val="auto"/>
          <w:sz w:val="38"/>
          <w:szCs w:val="38"/>
          <w:highlight w:val="none"/>
        </w:rPr>
        <w:t>建设项目污染物排放量汇总表</w:t>
      </w:r>
      <w:r>
        <w:rPr>
          <w:rFonts w:hint="eastAsia" w:ascii="Times New Roman" w:hAnsi="Times New Roman" w:eastAsia="方正小标宋_GBK"/>
          <w:snapToGrid w:val="0"/>
          <w:color w:val="auto"/>
          <w:sz w:val="38"/>
          <w:szCs w:val="38"/>
          <w:highlight w:val="none"/>
          <w:lang w:eastAsia="zh-CN"/>
        </w:rPr>
        <w:t>（单位：</w:t>
      </w:r>
      <w:r>
        <w:rPr>
          <w:rFonts w:hint="eastAsia" w:ascii="Times New Roman" w:hAnsi="Times New Roman" w:eastAsia="方正小标宋_GBK"/>
          <w:snapToGrid w:val="0"/>
          <w:color w:val="auto"/>
          <w:sz w:val="38"/>
          <w:szCs w:val="38"/>
          <w:highlight w:val="none"/>
          <w:lang w:val="en-US" w:eastAsia="zh-CN"/>
        </w:rPr>
        <w:t>t/a</w:t>
      </w:r>
      <w:r>
        <w:rPr>
          <w:rFonts w:hint="eastAsia" w:ascii="Times New Roman" w:hAnsi="Times New Roman" w:eastAsia="方正小标宋_GBK"/>
          <w:snapToGrid w:val="0"/>
          <w:color w:val="auto"/>
          <w:sz w:val="38"/>
          <w:szCs w:val="38"/>
          <w:highlight w:val="none"/>
          <w:lang w:eastAsia="zh-CN"/>
        </w:rPr>
        <w:t>）</w:t>
      </w:r>
    </w:p>
    <w:tbl>
      <w:tblPr>
        <w:tblStyle w:val="83"/>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85"/>
        <w:gridCol w:w="1633"/>
        <w:gridCol w:w="1276"/>
        <w:gridCol w:w="1701"/>
        <w:gridCol w:w="1559"/>
        <w:gridCol w:w="1418"/>
        <w:gridCol w:w="1701"/>
        <w:gridCol w:w="1427"/>
      </w:tblGrid>
      <w:tr w14:paraId="433141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5BD475DD">
            <w:pPr>
              <w:pStyle w:val="200"/>
              <w:spacing w:beforeLines="0" w:afterLines="0" w:line="420" w:lineRule="exact"/>
              <w:jc w:val="righ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项目</w:t>
            </w:r>
          </w:p>
          <w:p w14:paraId="1C58683A">
            <w:pPr>
              <w:pStyle w:val="200"/>
              <w:spacing w:beforeLines="0" w:afterLines="0" w:line="420" w:lineRule="exact"/>
              <w:jc w:val="lef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分类</w:t>
            </w:r>
          </w:p>
        </w:tc>
        <w:tc>
          <w:tcPr>
            <w:tcW w:w="1485" w:type="dxa"/>
            <w:tcMar>
              <w:left w:w="28" w:type="dxa"/>
              <w:right w:w="28" w:type="dxa"/>
            </w:tcMar>
            <w:vAlign w:val="center"/>
          </w:tcPr>
          <w:p w14:paraId="0762C836">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污染物名称</w:t>
            </w:r>
          </w:p>
        </w:tc>
        <w:tc>
          <w:tcPr>
            <w:tcW w:w="1633" w:type="dxa"/>
            <w:tcMar>
              <w:left w:w="28" w:type="dxa"/>
              <w:right w:w="28" w:type="dxa"/>
            </w:tcMar>
            <w:vAlign w:val="center"/>
          </w:tcPr>
          <w:p w14:paraId="43CA5E97">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现有工程</w:t>
            </w:r>
          </w:p>
          <w:p w14:paraId="14F78FC7">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排放量（固体废物产生量）</w:t>
            </w:r>
            <w:r>
              <w:rPr>
                <w:rFonts w:ascii="Times New Roman" w:eastAsia="黑体"/>
                <w:snapToGrid w:val="0"/>
                <w:color w:val="auto"/>
                <w:spacing w:val="-6"/>
                <w:kern w:val="21"/>
                <w:sz w:val="21"/>
                <w:szCs w:val="21"/>
                <w:highlight w:val="none"/>
              </w:rPr>
              <w:fldChar w:fldCharType="begin"/>
            </w:r>
            <w:r>
              <w:rPr>
                <w:rFonts w:ascii="Times New Roman" w:eastAsia="黑体"/>
                <w:snapToGrid w:val="0"/>
                <w:color w:val="auto"/>
                <w:spacing w:val="-6"/>
                <w:kern w:val="21"/>
                <w:sz w:val="21"/>
                <w:szCs w:val="21"/>
                <w:highlight w:val="none"/>
              </w:rPr>
              <w:instrText xml:space="preserve"> = 1 \* GB3 \* MERGEFORMAT </w:instrText>
            </w:r>
            <w:r>
              <w:rPr>
                <w:rFonts w:ascii="Times New Roman" w:eastAsia="黑体"/>
                <w:snapToGrid w:val="0"/>
                <w:color w:val="auto"/>
                <w:spacing w:val="-6"/>
                <w:kern w:val="21"/>
                <w:sz w:val="21"/>
                <w:szCs w:val="21"/>
                <w:highlight w:val="none"/>
              </w:rPr>
              <w:fldChar w:fldCharType="separate"/>
            </w:r>
            <w:r>
              <w:rPr>
                <w:rFonts w:ascii="Times New Roman" w:eastAsia="黑体"/>
                <w:color w:val="auto"/>
                <w:kern w:val="2"/>
                <w:sz w:val="21"/>
                <w:szCs w:val="21"/>
                <w:highlight w:val="none"/>
              </w:rPr>
              <w:t>①</w:t>
            </w:r>
            <w:r>
              <w:rPr>
                <w:rFonts w:ascii="Times New Roman" w:eastAsia="黑体"/>
                <w:snapToGrid w:val="0"/>
                <w:color w:val="auto"/>
                <w:spacing w:val="-6"/>
                <w:kern w:val="21"/>
                <w:sz w:val="21"/>
                <w:szCs w:val="21"/>
                <w:highlight w:val="none"/>
              </w:rPr>
              <w:fldChar w:fldCharType="end"/>
            </w:r>
          </w:p>
        </w:tc>
        <w:tc>
          <w:tcPr>
            <w:tcW w:w="1276" w:type="dxa"/>
            <w:tcMar>
              <w:left w:w="28" w:type="dxa"/>
              <w:right w:w="28" w:type="dxa"/>
            </w:tcMar>
            <w:vAlign w:val="center"/>
          </w:tcPr>
          <w:p w14:paraId="3C9283C0">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现有工程</w:t>
            </w:r>
          </w:p>
          <w:p w14:paraId="5831288B">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许可排放量</w:t>
            </w:r>
          </w:p>
          <w:p w14:paraId="4A4F86D1">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fldChar w:fldCharType="begin"/>
            </w:r>
            <w:r>
              <w:rPr>
                <w:rFonts w:ascii="Times New Roman" w:eastAsia="黑体"/>
                <w:snapToGrid w:val="0"/>
                <w:color w:val="auto"/>
                <w:spacing w:val="-6"/>
                <w:kern w:val="21"/>
                <w:sz w:val="21"/>
                <w:szCs w:val="21"/>
                <w:highlight w:val="none"/>
              </w:rPr>
              <w:instrText xml:space="preserve"> = 2 \* GB3 \* MERGEFORMAT </w:instrText>
            </w:r>
            <w:r>
              <w:rPr>
                <w:rFonts w:ascii="Times New Roman" w:eastAsia="黑体"/>
                <w:snapToGrid w:val="0"/>
                <w:color w:val="auto"/>
                <w:spacing w:val="-6"/>
                <w:kern w:val="21"/>
                <w:sz w:val="21"/>
                <w:szCs w:val="21"/>
                <w:highlight w:val="none"/>
              </w:rPr>
              <w:fldChar w:fldCharType="separate"/>
            </w:r>
            <w:r>
              <w:rPr>
                <w:rFonts w:ascii="Times New Roman" w:eastAsia="黑体"/>
                <w:snapToGrid w:val="0"/>
                <w:color w:val="auto"/>
                <w:spacing w:val="-6"/>
                <w:kern w:val="21"/>
                <w:sz w:val="21"/>
                <w:szCs w:val="21"/>
                <w:highlight w:val="none"/>
              </w:rPr>
              <w:t>②</w:t>
            </w:r>
            <w:r>
              <w:rPr>
                <w:rFonts w:ascii="Times New Roman" w:eastAsia="黑体"/>
                <w:snapToGrid w:val="0"/>
                <w:color w:val="auto"/>
                <w:spacing w:val="-6"/>
                <w:kern w:val="21"/>
                <w:sz w:val="21"/>
                <w:szCs w:val="21"/>
                <w:highlight w:val="none"/>
              </w:rPr>
              <w:fldChar w:fldCharType="end"/>
            </w:r>
          </w:p>
        </w:tc>
        <w:tc>
          <w:tcPr>
            <w:tcW w:w="1701" w:type="dxa"/>
            <w:tcMar>
              <w:left w:w="28" w:type="dxa"/>
              <w:right w:w="28" w:type="dxa"/>
            </w:tcMar>
            <w:vAlign w:val="center"/>
          </w:tcPr>
          <w:p w14:paraId="75AE1214">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在建工程</w:t>
            </w:r>
          </w:p>
          <w:p w14:paraId="71F36C11">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排放量（固体废物产生量）</w:t>
            </w:r>
            <w:r>
              <w:rPr>
                <w:rFonts w:ascii="Times New Roman" w:eastAsia="黑体"/>
                <w:snapToGrid w:val="0"/>
                <w:color w:val="auto"/>
                <w:spacing w:val="-6"/>
                <w:kern w:val="21"/>
                <w:sz w:val="21"/>
                <w:szCs w:val="21"/>
                <w:highlight w:val="none"/>
              </w:rPr>
              <w:fldChar w:fldCharType="begin"/>
            </w:r>
            <w:r>
              <w:rPr>
                <w:rFonts w:ascii="Times New Roman" w:eastAsia="黑体"/>
                <w:snapToGrid w:val="0"/>
                <w:color w:val="auto"/>
                <w:spacing w:val="-6"/>
                <w:kern w:val="21"/>
                <w:sz w:val="21"/>
                <w:szCs w:val="21"/>
                <w:highlight w:val="none"/>
              </w:rPr>
              <w:instrText xml:space="preserve"> = 3 \* GB3 \* MERGEFORMAT </w:instrText>
            </w:r>
            <w:r>
              <w:rPr>
                <w:rFonts w:ascii="Times New Roman" w:eastAsia="黑体"/>
                <w:snapToGrid w:val="0"/>
                <w:color w:val="auto"/>
                <w:spacing w:val="-6"/>
                <w:kern w:val="21"/>
                <w:sz w:val="21"/>
                <w:szCs w:val="21"/>
                <w:highlight w:val="none"/>
              </w:rPr>
              <w:fldChar w:fldCharType="separate"/>
            </w:r>
            <w:r>
              <w:rPr>
                <w:rFonts w:ascii="Times New Roman" w:eastAsia="黑体"/>
                <w:color w:val="auto"/>
                <w:kern w:val="2"/>
                <w:sz w:val="21"/>
                <w:szCs w:val="21"/>
                <w:highlight w:val="none"/>
              </w:rPr>
              <w:t>③</w:t>
            </w:r>
            <w:r>
              <w:rPr>
                <w:rFonts w:ascii="Times New Roman" w:eastAsia="黑体"/>
                <w:snapToGrid w:val="0"/>
                <w:color w:val="auto"/>
                <w:spacing w:val="-6"/>
                <w:kern w:val="21"/>
                <w:sz w:val="21"/>
                <w:szCs w:val="21"/>
                <w:highlight w:val="none"/>
              </w:rPr>
              <w:fldChar w:fldCharType="end"/>
            </w:r>
          </w:p>
        </w:tc>
        <w:tc>
          <w:tcPr>
            <w:tcW w:w="1559" w:type="dxa"/>
            <w:tcMar>
              <w:left w:w="28" w:type="dxa"/>
              <w:right w:w="28" w:type="dxa"/>
            </w:tcMar>
            <w:vAlign w:val="center"/>
          </w:tcPr>
          <w:p w14:paraId="69B68E35">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本项目</w:t>
            </w:r>
          </w:p>
          <w:p w14:paraId="6D8041FA">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排放量（固体废物产生量）</w:t>
            </w:r>
            <w:r>
              <w:rPr>
                <w:rFonts w:ascii="Times New Roman" w:eastAsia="黑体"/>
                <w:snapToGrid w:val="0"/>
                <w:color w:val="auto"/>
                <w:spacing w:val="-6"/>
                <w:kern w:val="21"/>
                <w:sz w:val="21"/>
                <w:szCs w:val="21"/>
                <w:highlight w:val="none"/>
              </w:rPr>
              <w:fldChar w:fldCharType="begin"/>
            </w:r>
            <w:r>
              <w:rPr>
                <w:rFonts w:ascii="Times New Roman" w:eastAsia="黑体"/>
                <w:snapToGrid w:val="0"/>
                <w:color w:val="auto"/>
                <w:spacing w:val="-6"/>
                <w:kern w:val="21"/>
                <w:sz w:val="21"/>
                <w:szCs w:val="21"/>
                <w:highlight w:val="none"/>
              </w:rPr>
              <w:instrText xml:space="preserve"> = 4 \* GB3 \* MERGEFORMAT </w:instrText>
            </w:r>
            <w:r>
              <w:rPr>
                <w:rFonts w:ascii="Times New Roman" w:eastAsia="黑体"/>
                <w:snapToGrid w:val="0"/>
                <w:color w:val="auto"/>
                <w:spacing w:val="-6"/>
                <w:kern w:val="21"/>
                <w:sz w:val="21"/>
                <w:szCs w:val="21"/>
                <w:highlight w:val="none"/>
              </w:rPr>
              <w:fldChar w:fldCharType="separate"/>
            </w:r>
            <w:r>
              <w:rPr>
                <w:rFonts w:ascii="Times New Roman" w:eastAsia="黑体"/>
                <w:color w:val="auto"/>
                <w:kern w:val="2"/>
                <w:sz w:val="21"/>
                <w:szCs w:val="21"/>
                <w:highlight w:val="none"/>
              </w:rPr>
              <w:t>④</w:t>
            </w:r>
            <w:r>
              <w:rPr>
                <w:rFonts w:ascii="Times New Roman" w:eastAsia="黑体"/>
                <w:snapToGrid w:val="0"/>
                <w:color w:val="auto"/>
                <w:spacing w:val="-6"/>
                <w:kern w:val="21"/>
                <w:sz w:val="21"/>
                <w:szCs w:val="21"/>
                <w:highlight w:val="none"/>
              </w:rPr>
              <w:fldChar w:fldCharType="end"/>
            </w:r>
          </w:p>
        </w:tc>
        <w:tc>
          <w:tcPr>
            <w:tcW w:w="1418" w:type="dxa"/>
            <w:tcMar>
              <w:left w:w="28" w:type="dxa"/>
              <w:right w:w="28" w:type="dxa"/>
            </w:tcMar>
            <w:vAlign w:val="center"/>
          </w:tcPr>
          <w:p w14:paraId="7D5657AB">
            <w:pPr>
              <w:pStyle w:val="200"/>
              <w:spacing w:beforeLines="0" w:afterLines="0" w:line="420" w:lineRule="exact"/>
              <w:rPr>
                <w:rFonts w:ascii="Times New Roman" w:eastAsia="黑体"/>
                <w:snapToGrid w:val="0"/>
                <w:color w:val="auto"/>
                <w:spacing w:val="-16"/>
                <w:kern w:val="21"/>
                <w:sz w:val="21"/>
                <w:szCs w:val="21"/>
                <w:highlight w:val="none"/>
              </w:rPr>
            </w:pPr>
            <w:r>
              <w:rPr>
                <w:rFonts w:ascii="Times New Roman" w:eastAsia="黑体"/>
                <w:snapToGrid w:val="0"/>
                <w:color w:val="auto"/>
                <w:spacing w:val="-16"/>
                <w:kern w:val="21"/>
                <w:sz w:val="21"/>
                <w:szCs w:val="21"/>
                <w:highlight w:val="none"/>
              </w:rPr>
              <w:t>以新带老削减量</w:t>
            </w:r>
          </w:p>
          <w:p w14:paraId="5631B760">
            <w:pPr>
              <w:pStyle w:val="200"/>
              <w:spacing w:beforeLines="0" w:afterLines="0" w:line="420" w:lineRule="exact"/>
              <w:rPr>
                <w:rFonts w:ascii="Times New Roman" w:eastAsia="黑体"/>
                <w:snapToGrid w:val="0"/>
                <w:color w:val="auto"/>
                <w:spacing w:val="-16"/>
                <w:kern w:val="21"/>
                <w:sz w:val="21"/>
                <w:szCs w:val="21"/>
                <w:highlight w:val="none"/>
              </w:rPr>
            </w:pPr>
            <w:r>
              <w:rPr>
                <w:rFonts w:ascii="Times New Roman" w:eastAsia="黑体"/>
                <w:snapToGrid w:val="0"/>
                <w:color w:val="auto"/>
                <w:spacing w:val="-16"/>
                <w:kern w:val="21"/>
                <w:sz w:val="21"/>
                <w:szCs w:val="21"/>
                <w:highlight w:val="none"/>
              </w:rPr>
              <w:t>（新建项目不填）</w:t>
            </w:r>
            <w:r>
              <w:rPr>
                <w:rFonts w:ascii="Times New Roman" w:eastAsia="黑体"/>
                <w:snapToGrid w:val="0"/>
                <w:color w:val="auto"/>
                <w:spacing w:val="-16"/>
                <w:kern w:val="21"/>
                <w:sz w:val="21"/>
                <w:szCs w:val="21"/>
                <w:highlight w:val="none"/>
              </w:rPr>
              <w:fldChar w:fldCharType="begin"/>
            </w:r>
            <w:r>
              <w:rPr>
                <w:rFonts w:ascii="Times New Roman" w:eastAsia="黑体"/>
                <w:snapToGrid w:val="0"/>
                <w:color w:val="auto"/>
                <w:spacing w:val="-16"/>
                <w:kern w:val="21"/>
                <w:sz w:val="21"/>
                <w:szCs w:val="21"/>
                <w:highlight w:val="none"/>
              </w:rPr>
              <w:instrText xml:space="preserve"> = 5 \* GB3 \* MERGEFORMAT </w:instrText>
            </w:r>
            <w:r>
              <w:rPr>
                <w:rFonts w:ascii="Times New Roman" w:eastAsia="黑体"/>
                <w:snapToGrid w:val="0"/>
                <w:color w:val="auto"/>
                <w:spacing w:val="-16"/>
                <w:kern w:val="21"/>
                <w:sz w:val="21"/>
                <w:szCs w:val="21"/>
                <w:highlight w:val="none"/>
              </w:rPr>
              <w:fldChar w:fldCharType="separate"/>
            </w:r>
            <w:r>
              <w:rPr>
                <w:rFonts w:ascii="Times New Roman" w:eastAsia="黑体"/>
                <w:color w:val="auto"/>
                <w:kern w:val="2"/>
                <w:sz w:val="21"/>
                <w:szCs w:val="21"/>
                <w:highlight w:val="none"/>
              </w:rPr>
              <w:t>⑤</w:t>
            </w:r>
            <w:r>
              <w:rPr>
                <w:rFonts w:ascii="Times New Roman" w:eastAsia="黑体"/>
                <w:snapToGrid w:val="0"/>
                <w:color w:val="auto"/>
                <w:spacing w:val="-16"/>
                <w:kern w:val="21"/>
                <w:sz w:val="21"/>
                <w:szCs w:val="21"/>
                <w:highlight w:val="none"/>
              </w:rPr>
              <w:fldChar w:fldCharType="end"/>
            </w:r>
          </w:p>
        </w:tc>
        <w:tc>
          <w:tcPr>
            <w:tcW w:w="1701" w:type="dxa"/>
            <w:tcMar>
              <w:left w:w="28" w:type="dxa"/>
              <w:right w:w="28" w:type="dxa"/>
            </w:tcMar>
            <w:vAlign w:val="center"/>
          </w:tcPr>
          <w:p w14:paraId="738C5BFD">
            <w:pPr>
              <w:pStyle w:val="200"/>
              <w:spacing w:beforeLines="0" w:afterLines="0" w:line="420" w:lineRule="exact"/>
              <w:rPr>
                <w:rFonts w:ascii="Times New Roman" w:eastAsia="黑体"/>
                <w:snapToGrid w:val="0"/>
                <w:color w:val="auto"/>
                <w:spacing w:val="-16"/>
                <w:kern w:val="21"/>
                <w:sz w:val="21"/>
                <w:szCs w:val="21"/>
                <w:highlight w:val="none"/>
              </w:rPr>
            </w:pPr>
            <w:r>
              <w:rPr>
                <w:rFonts w:ascii="Times New Roman" w:eastAsia="黑体"/>
                <w:snapToGrid w:val="0"/>
                <w:color w:val="auto"/>
                <w:spacing w:val="-16"/>
                <w:kern w:val="21"/>
                <w:sz w:val="21"/>
                <w:szCs w:val="21"/>
                <w:highlight w:val="none"/>
              </w:rPr>
              <w:t>本项目建成后</w:t>
            </w:r>
          </w:p>
          <w:p w14:paraId="627C877A">
            <w:pPr>
              <w:pStyle w:val="200"/>
              <w:spacing w:beforeLines="0" w:afterLines="0" w:line="420" w:lineRule="exact"/>
              <w:rPr>
                <w:rFonts w:ascii="Times New Roman" w:eastAsia="黑体"/>
                <w:snapToGrid w:val="0"/>
                <w:color w:val="auto"/>
                <w:spacing w:val="-16"/>
                <w:kern w:val="21"/>
                <w:sz w:val="21"/>
                <w:szCs w:val="21"/>
                <w:highlight w:val="none"/>
              </w:rPr>
            </w:pPr>
            <w:r>
              <w:rPr>
                <w:rFonts w:ascii="Times New Roman" w:eastAsia="黑体"/>
                <w:snapToGrid w:val="0"/>
                <w:color w:val="auto"/>
                <w:spacing w:val="-16"/>
                <w:kern w:val="21"/>
                <w:sz w:val="21"/>
                <w:szCs w:val="21"/>
                <w:highlight w:val="none"/>
              </w:rPr>
              <w:t>全厂排放量（固体废物产生量）</w:t>
            </w:r>
            <w:r>
              <w:rPr>
                <w:rFonts w:ascii="Times New Roman" w:eastAsia="黑体"/>
                <w:snapToGrid w:val="0"/>
                <w:color w:val="auto"/>
                <w:spacing w:val="-16"/>
                <w:kern w:val="21"/>
                <w:sz w:val="21"/>
                <w:szCs w:val="21"/>
                <w:highlight w:val="none"/>
              </w:rPr>
              <w:fldChar w:fldCharType="begin"/>
            </w:r>
            <w:r>
              <w:rPr>
                <w:rFonts w:ascii="Times New Roman" w:eastAsia="黑体"/>
                <w:snapToGrid w:val="0"/>
                <w:color w:val="auto"/>
                <w:spacing w:val="-16"/>
                <w:kern w:val="21"/>
                <w:sz w:val="21"/>
                <w:szCs w:val="21"/>
                <w:highlight w:val="none"/>
              </w:rPr>
              <w:instrText xml:space="preserve"> = 6 \* GB3 \* MERGEFORMAT </w:instrText>
            </w:r>
            <w:r>
              <w:rPr>
                <w:rFonts w:ascii="Times New Roman" w:eastAsia="黑体"/>
                <w:snapToGrid w:val="0"/>
                <w:color w:val="auto"/>
                <w:spacing w:val="-16"/>
                <w:kern w:val="21"/>
                <w:sz w:val="21"/>
                <w:szCs w:val="21"/>
                <w:highlight w:val="none"/>
              </w:rPr>
              <w:fldChar w:fldCharType="separate"/>
            </w:r>
            <w:r>
              <w:rPr>
                <w:rFonts w:ascii="Times New Roman" w:eastAsia="黑体"/>
                <w:color w:val="auto"/>
                <w:kern w:val="2"/>
                <w:sz w:val="21"/>
                <w:szCs w:val="21"/>
                <w:highlight w:val="none"/>
              </w:rPr>
              <w:t>⑥</w:t>
            </w:r>
            <w:r>
              <w:rPr>
                <w:rFonts w:ascii="Times New Roman" w:eastAsia="黑体"/>
                <w:snapToGrid w:val="0"/>
                <w:color w:val="auto"/>
                <w:spacing w:val="-16"/>
                <w:kern w:val="21"/>
                <w:sz w:val="21"/>
                <w:szCs w:val="21"/>
                <w:highlight w:val="none"/>
              </w:rPr>
              <w:fldChar w:fldCharType="end"/>
            </w:r>
          </w:p>
        </w:tc>
        <w:tc>
          <w:tcPr>
            <w:tcW w:w="1427" w:type="dxa"/>
            <w:tcMar>
              <w:left w:w="28" w:type="dxa"/>
              <w:right w:w="28" w:type="dxa"/>
            </w:tcMar>
            <w:vAlign w:val="center"/>
          </w:tcPr>
          <w:p w14:paraId="59BA6DF5">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t>变化量</w:t>
            </w:r>
          </w:p>
          <w:p w14:paraId="0E1760F5">
            <w:pPr>
              <w:pStyle w:val="200"/>
              <w:spacing w:beforeLines="0" w:afterLines="0" w:line="420" w:lineRule="exact"/>
              <w:rPr>
                <w:rFonts w:ascii="Times New Roman" w:eastAsia="黑体"/>
                <w:snapToGrid w:val="0"/>
                <w:color w:val="auto"/>
                <w:spacing w:val="-6"/>
                <w:kern w:val="21"/>
                <w:sz w:val="21"/>
                <w:szCs w:val="21"/>
                <w:highlight w:val="none"/>
              </w:rPr>
            </w:pPr>
            <w:r>
              <w:rPr>
                <w:rFonts w:ascii="Times New Roman" w:eastAsia="黑体"/>
                <w:snapToGrid w:val="0"/>
                <w:color w:val="auto"/>
                <w:spacing w:val="-6"/>
                <w:kern w:val="21"/>
                <w:sz w:val="21"/>
                <w:szCs w:val="21"/>
                <w:highlight w:val="none"/>
              </w:rPr>
              <w:fldChar w:fldCharType="begin"/>
            </w:r>
            <w:r>
              <w:rPr>
                <w:rFonts w:ascii="Times New Roman" w:eastAsia="黑体"/>
                <w:snapToGrid w:val="0"/>
                <w:color w:val="auto"/>
                <w:spacing w:val="-6"/>
                <w:kern w:val="21"/>
                <w:sz w:val="21"/>
                <w:szCs w:val="21"/>
                <w:highlight w:val="none"/>
              </w:rPr>
              <w:instrText xml:space="preserve"> = 7 \* GB3 \* MERGEFORMAT </w:instrText>
            </w:r>
            <w:r>
              <w:rPr>
                <w:rFonts w:ascii="Times New Roman" w:eastAsia="黑体"/>
                <w:snapToGrid w:val="0"/>
                <w:color w:val="auto"/>
                <w:spacing w:val="-6"/>
                <w:kern w:val="21"/>
                <w:sz w:val="21"/>
                <w:szCs w:val="21"/>
                <w:highlight w:val="none"/>
              </w:rPr>
              <w:fldChar w:fldCharType="separate"/>
            </w:r>
            <w:r>
              <w:rPr>
                <w:rFonts w:ascii="Times New Roman" w:eastAsia="黑体"/>
                <w:color w:val="auto"/>
                <w:kern w:val="2"/>
                <w:sz w:val="21"/>
                <w:szCs w:val="21"/>
                <w:highlight w:val="none"/>
              </w:rPr>
              <w:t>⑦</w:t>
            </w:r>
            <w:r>
              <w:rPr>
                <w:rFonts w:ascii="Times New Roman" w:eastAsia="黑体"/>
                <w:snapToGrid w:val="0"/>
                <w:color w:val="auto"/>
                <w:spacing w:val="-6"/>
                <w:kern w:val="21"/>
                <w:sz w:val="21"/>
                <w:szCs w:val="21"/>
                <w:highlight w:val="none"/>
              </w:rPr>
              <w:fldChar w:fldCharType="end"/>
            </w:r>
          </w:p>
        </w:tc>
      </w:tr>
      <w:tr w14:paraId="4FB716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4C20ABB0">
            <w:pPr>
              <w:pStyle w:val="200"/>
              <w:spacing w:beforeLines="0" w:afterLines="0" w:line="420" w:lineRule="exact"/>
              <w:rPr>
                <w:rFonts w:ascii="Times New Roman"/>
                <w:snapToGrid w:val="0"/>
                <w:color w:val="auto"/>
                <w:kern w:val="21"/>
                <w:sz w:val="21"/>
                <w:szCs w:val="21"/>
                <w:highlight w:val="none"/>
              </w:rPr>
            </w:pPr>
            <w:r>
              <w:rPr>
                <w:rFonts w:ascii="Times New Roman"/>
                <w:snapToGrid w:val="0"/>
                <w:color w:val="auto"/>
                <w:kern w:val="21"/>
                <w:sz w:val="21"/>
                <w:szCs w:val="21"/>
                <w:highlight w:val="none"/>
              </w:rPr>
              <w:t>废气</w:t>
            </w:r>
          </w:p>
        </w:tc>
        <w:tc>
          <w:tcPr>
            <w:tcW w:w="1485" w:type="dxa"/>
            <w:vAlign w:val="center"/>
          </w:tcPr>
          <w:p w14:paraId="2316ADBC">
            <w:pPr>
              <w:pStyle w:val="200"/>
              <w:spacing w:beforeLines="0" w:afterLines="0" w:line="420" w:lineRule="exact"/>
              <w:rPr>
                <w:rFonts w:hint="eastAsia" w:ascii="Times New Roman" w:eastAsia="宋体"/>
                <w:snapToGrid w:val="0"/>
                <w:color w:val="auto"/>
                <w:kern w:val="21"/>
                <w:sz w:val="21"/>
                <w:szCs w:val="21"/>
                <w:highlight w:val="none"/>
                <w:lang w:eastAsia="zh-CN"/>
              </w:rPr>
            </w:pPr>
            <w:r>
              <w:rPr>
                <w:rFonts w:hint="eastAsia" w:ascii="Times New Roman"/>
                <w:snapToGrid w:val="0"/>
                <w:color w:val="auto"/>
                <w:kern w:val="21"/>
                <w:sz w:val="21"/>
                <w:szCs w:val="21"/>
                <w:highlight w:val="none"/>
                <w:lang w:eastAsia="zh-CN"/>
              </w:rPr>
              <w:t>颗粒物</w:t>
            </w:r>
          </w:p>
        </w:tc>
        <w:tc>
          <w:tcPr>
            <w:tcW w:w="1633" w:type="dxa"/>
            <w:shd w:val="clear" w:color="auto" w:fill="auto"/>
            <w:vAlign w:val="center"/>
          </w:tcPr>
          <w:p w14:paraId="7AE068CE">
            <w:pPr>
              <w:jc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snapToGrid w:val="0"/>
                <w:color w:val="auto"/>
                <w:kern w:val="21"/>
                <w:sz w:val="21"/>
                <w:szCs w:val="21"/>
                <w:highlight w:val="none"/>
                <w:lang w:val="en-US" w:eastAsia="zh-CN"/>
              </w:rPr>
              <w:t>0.12（有组织0.034）</w:t>
            </w:r>
          </w:p>
        </w:tc>
        <w:tc>
          <w:tcPr>
            <w:tcW w:w="1276" w:type="dxa"/>
            <w:vAlign w:val="center"/>
          </w:tcPr>
          <w:p w14:paraId="74DA5036">
            <w:pPr>
              <w:pStyle w:val="200"/>
              <w:spacing w:beforeLines="0" w:afterLines="0" w:line="420" w:lineRule="exact"/>
              <w:jc w:val="center"/>
              <w:rPr>
                <w:rFonts w:hint="default"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0.042（有组织）</w:t>
            </w:r>
          </w:p>
        </w:tc>
        <w:tc>
          <w:tcPr>
            <w:tcW w:w="1701" w:type="dxa"/>
            <w:vAlign w:val="center"/>
          </w:tcPr>
          <w:p w14:paraId="63DA0808">
            <w:pPr>
              <w:spacing w:beforeLines="0" w:afterLines="0" w:line="420" w:lineRule="exact"/>
              <w:jc w:val="center"/>
              <w:rPr>
                <w:rFonts w:ascii="Times New Roman"/>
                <w:snapToGrid w:val="0"/>
                <w:color w:val="auto"/>
                <w:kern w:val="21"/>
                <w:sz w:val="21"/>
                <w:szCs w:val="21"/>
                <w:highlight w:val="none"/>
              </w:rPr>
            </w:pPr>
            <w:r>
              <w:rPr>
                <w:rFonts w:hint="eastAsia" w:ascii="Times New Roman"/>
                <w:snapToGrid w:val="0"/>
                <w:color w:val="auto"/>
                <w:kern w:val="21"/>
                <w:sz w:val="21"/>
                <w:szCs w:val="21"/>
                <w:highlight w:val="none"/>
                <w:lang w:val="en-US" w:eastAsia="zh-CN"/>
              </w:rPr>
              <w:t>/</w:t>
            </w:r>
          </w:p>
        </w:tc>
        <w:tc>
          <w:tcPr>
            <w:tcW w:w="1559" w:type="dxa"/>
            <w:vAlign w:val="center"/>
          </w:tcPr>
          <w:p w14:paraId="69523D45">
            <w:pPr>
              <w:pStyle w:val="200"/>
              <w:spacing w:beforeLines="0" w:afterLines="0" w:line="420" w:lineRule="exact"/>
              <w:rPr>
                <w:rFonts w:hint="default"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0.247</w:t>
            </w:r>
          </w:p>
        </w:tc>
        <w:tc>
          <w:tcPr>
            <w:tcW w:w="1418" w:type="dxa"/>
            <w:shd w:val="clear" w:color="auto" w:fill="auto"/>
            <w:vAlign w:val="center"/>
          </w:tcPr>
          <w:p w14:paraId="61E53D0D">
            <w:pPr>
              <w:jc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snapToGrid w:val="0"/>
                <w:color w:val="auto"/>
                <w:kern w:val="21"/>
                <w:sz w:val="21"/>
                <w:szCs w:val="21"/>
                <w:highlight w:val="none"/>
                <w:lang w:val="en-US" w:eastAsia="zh-CN"/>
              </w:rPr>
              <w:t>0.12</w:t>
            </w:r>
          </w:p>
        </w:tc>
        <w:tc>
          <w:tcPr>
            <w:tcW w:w="1701" w:type="dxa"/>
            <w:shd w:val="clear" w:color="auto" w:fill="auto"/>
            <w:vAlign w:val="center"/>
          </w:tcPr>
          <w:p w14:paraId="4C2139C0">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0.247</w:t>
            </w:r>
          </w:p>
        </w:tc>
        <w:tc>
          <w:tcPr>
            <w:tcW w:w="1427" w:type="dxa"/>
            <w:shd w:val="clear" w:color="auto" w:fill="auto"/>
            <w:vAlign w:val="center"/>
          </w:tcPr>
          <w:p w14:paraId="4A1F6063">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+0.127</w:t>
            </w:r>
          </w:p>
        </w:tc>
      </w:tr>
      <w:tr w14:paraId="4A6E8C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0A37E37A">
            <w:pPr>
              <w:pStyle w:val="200"/>
              <w:spacing w:beforeLines="0" w:afterLines="0" w:line="420" w:lineRule="exact"/>
              <w:rPr>
                <w:rFonts w:ascii="Times New Roman"/>
                <w:snapToGrid w:val="0"/>
                <w:color w:val="auto"/>
                <w:kern w:val="21"/>
                <w:sz w:val="21"/>
                <w:szCs w:val="21"/>
                <w:highlight w:val="none"/>
              </w:rPr>
            </w:pPr>
          </w:p>
        </w:tc>
        <w:tc>
          <w:tcPr>
            <w:tcW w:w="1485" w:type="dxa"/>
            <w:vAlign w:val="center"/>
          </w:tcPr>
          <w:p w14:paraId="067FB627">
            <w:pPr>
              <w:keepNext w:val="0"/>
              <w:keepLines w:val="0"/>
              <w:widowControl/>
              <w:suppressLineNumbers w:val="0"/>
              <w:jc w:val="center"/>
              <w:textAlignment w:val="center"/>
              <w:rPr>
                <w:rFonts w:ascii="Times New Roman"/>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1633" w:type="dxa"/>
            <w:shd w:val="clear" w:color="auto" w:fill="auto"/>
            <w:vAlign w:val="center"/>
          </w:tcPr>
          <w:p w14:paraId="7DA9AA5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snapToGrid w:val="0"/>
                <w:color w:val="auto"/>
                <w:kern w:val="21"/>
                <w:sz w:val="21"/>
                <w:szCs w:val="21"/>
                <w:highlight w:val="none"/>
                <w:lang w:val="en-US" w:eastAsia="zh-CN"/>
              </w:rPr>
              <w:t>0.033</w:t>
            </w:r>
          </w:p>
        </w:tc>
        <w:tc>
          <w:tcPr>
            <w:tcW w:w="1276" w:type="dxa"/>
            <w:vAlign w:val="center"/>
          </w:tcPr>
          <w:p w14:paraId="58780F60">
            <w:pPr>
              <w:spacing w:beforeLines="0" w:afterLines="0" w:line="420" w:lineRule="exact"/>
              <w:jc w:val="center"/>
              <w:rPr>
                <w:rFonts w:hint="default" w:ascii="Times New Roman"/>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0.054</w:t>
            </w:r>
          </w:p>
        </w:tc>
        <w:tc>
          <w:tcPr>
            <w:tcW w:w="1701" w:type="dxa"/>
            <w:vAlign w:val="center"/>
          </w:tcPr>
          <w:p w14:paraId="3F2DABAB">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vAlign w:val="center"/>
          </w:tcPr>
          <w:p w14:paraId="3197B9F8">
            <w:pPr>
              <w:keepNext w:val="0"/>
              <w:keepLines w:val="0"/>
              <w:widowControl/>
              <w:suppressLineNumbers w:val="0"/>
              <w:jc w:val="center"/>
              <w:textAlignment w:val="center"/>
              <w:rPr>
                <w:rFonts w:hint="default" w:ascii="Times New Roman"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0.044</w:t>
            </w:r>
          </w:p>
        </w:tc>
        <w:tc>
          <w:tcPr>
            <w:tcW w:w="1418" w:type="dxa"/>
            <w:shd w:val="clear" w:color="auto" w:fill="auto"/>
            <w:vAlign w:val="center"/>
          </w:tcPr>
          <w:p w14:paraId="2E6AA987">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snapToGrid w:val="0"/>
                <w:color w:val="auto"/>
                <w:kern w:val="21"/>
                <w:sz w:val="21"/>
                <w:szCs w:val="21"/>
                <w:highlight w:val="none"/>
                <w:lang w:val="en-US" w:eastAsia="zh-CN"/>
              </w:rPr>
              <w:t>0.033</w:t>
            </w:r>
          </w:p>
        </w:tc>
        <w:tc>
          <w:tcPr>
            <w:tcW w:w="1701" w:type="dxa"/>
            <w:shd w:val="clear" w:color="auto" w:fill="auto"/>
            <w:vAlign w:val="center"/>
          </w:tcPr>
          <w:p w14:paraId="7A6F4B27">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0.044</w:t>
            </w:r>
          </w:p>
        </w:tc>
        <w:tc>
          <w:tcPr>
            <w:tcW w:w="1427" w:type="dxa"/>
            <w:shd w:val="clear" w:color="auto" w:fill="auto"/>
            <w:vAlign w:val="center"/>
          </w:tcPr>
          <w:p w14:paraId="0EE191EB">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w:t>
            </w:r>
            <w:r>
              <w:rPr>
                <w:rFonts w:hint="eastAsia"/>
                <w:snapToGrid w:val="0"/>
                <w:color w:val="auto"/>
                <w:kern w:val="21"/>
                <w:sz w:val="21"/>
                <w:szCs w:val="21"/>
                <w:highlight w:val="none"/>
                <w:lang w:val="en-US" w:eastAsia="zh-CN"/>
              </w:rPr>
              <w:t>0.011</w:t>
            </w:r>
          </w:p>
        </w:tc>
      </w:tr>
      <w:tr w14:paraId="7436B1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C6D57FF">
            <w:pPr>
              <w:pStyle w:val="200"/>
              <w:spacing w:beforeLines="0" w:afterLines="0" w:line="420" w:lineRule="exact"/>
              <w:rPr>
                <w:rFonts w:ascii="Times New Roman"/>
                <w:snapToGrid w:val="0"/>
                <w:color w:val="auto"/>
                <w:kern w:val="21"/>
                <w:sz w:val="21"/>
                <w:szCs w:val="21"/>
                <w:highlight w:val="none"/>
              </w:rPr>
            </w:pPr>
          </w:p>
        </w:tc>
        <w:tc>
          <w:tcPr>
            <w:tcW w:w="1485" w:type="dxa"/>
            <w:vAlign w:val="center"/>
          </w:tcPr>
          <w:p w14:paraId="2BB0BD8A">
            <w:pPr>
              <w:keepNext w:val="0"/>
              <w:keepLines w:val="0"/>
              <w:widowControl/>
              <w:suppressLineNumbers w:val="0"/>
              <w:jc w:val="center"/>
              <w:textAlignment w:val="center"/>
              <w:rPr>
                <w:rFonts w:ascii="Times New Roman"/>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X</w:t>
            </w:r>
          </w:p>
        </w:tc>
        <w:tc>
          <w:tcPr>
            <w:tcW w:w="1633" w:type="dxa"/>
            <w:shd w:val="clear" w:color="auto" w:fill="auto"/>
            <w:vAlign w:val="center"/>
          </w:tcPr>
          <w:p w14:paraId="4D79A73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snapToGrid w:val="0"/>
                <w:color w:val="auto"/>
                <w:kern w:val="21"/>
                <w:sz w:val="21"/>
                <w:szCs w:val="21"/>
                <w:highlight w:val="none"/>
                <w:lang w:val="en-US" w:eastAsia="zh-CN"/>
              </w:rPr>
              <w:t>0.245</w:t>
            </w:r>
          </w:p>
        </w:tc>
        <w:tc>
          <w:tcPr>
            <w:tcW w:w="1276" w:type="dxa"/>
            <w:vAlign w:val="center"/>
          </w:tcPr>
          <w:p w14:paraId="305DF9A4">
            <w:pPr>
              <w:spacing w:beforeLines="0" w:afterLines="0" w:line="420" w:lineRule="exact"/>
              <w:jc w:val="center"/>
              <w:rPr>
                <w:rFonts w:hint="default" w:ascii="Times New Roman"/>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0.528</w:t>
            </w:r>
          </w:p>
        </w:tc>
        <w:tc>
          <w:tcPr>
            <w:tcW w:w="1701" w:type="dxa"/>
            <w:vAlign w:val="center"/>
          </w:tcPr>
          <w:p w14:paraId="78870DB3">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vAlign w:val="center"/>
          </w:tcPr>
          <w:p w14:paraId="41ED8FDD">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0.33</w:t>
            </w:r>
          </w:p>
        </w:tc>
        <w:tc>
          <w:tcPr>
            <w:tcW w:w="1418" w:type="dxa"/>
            <w:shd w:val="clear" w:color="auto" w:fill="auto"/>
            <w:vAlign w:val="center"/>
          </w:tcPr>
          <w:p w14:paraId="52E1141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snapToGrid w:val="0"/>
                <w:color w:val="auto"/>
                <w:kern w:val="21"/>
                <w:sz w:val="21"/>
                <w:szCs w:val="21"/>
                <w:highlight w:val="none"/>
                <w:lang w:val="en-US" w:eastAsia="zh-CN"/>
              </w:rPr>
              <w:t>0.245</w:t>
            </w:r>
          </w:p>
        </w:tc>
        <w:tc>
          <w:tcPr>
            <w:tcW w:w="1701" w:type="dxa"/>
            <w:shd w:val="clear" w:color="auto" w:fill="auto"/>
            <w:vAlign w:val="center"/>
          </w:tcPr>
          <w:p w14:paraId="4924A007">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0.33</w:t>
            </w:r>
          </w:p>
        </w:tc>
        <w:tc>
          <w:tcPr>
            <w:tcW w:w="1427" w:type="dxa"/>
            <w:shd w:val="clear" w:color="auto" w:fill="auto"/>
            <w:vAlign w:val="center"/>
          </w:tcPr>
          <w:p w14:paraId="46CA56BE">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w:t>
            </w:r>
            <w:r>
              <w:rPr>
                <w:rFonts w:hint="eastAsia" w:cs="Times New Roman"/>
                <w:snapToGrid w:val="0"/>
                <w:color w:val="auto"/>
                <w:kern w:val="21"/>
                <w:sz w:val="21"/>
                <w:szCs w:val="21"/>
                <w:highlight w:val="none"/>
                <w:lang w:val="en-US" w:eastAsia="zh-CN"/>
              </w:rPr>
              <w:t>0.085</w:t>
            </w:r>
          </w:p>
        </w:tc>
      </w:tr>
      <w:tr w14:paraId="0A75EE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BEF0DB6">
            <w:pPr>
              <w:pStyle w:val="200"/>
              <w:spacing w:beforeLines="0" w:afterLines="0" w:line="420" w:lineRule="exact"/>
              <w:rPr>
                <w:rFonts w:ascii="Times New Roman"/>
                <w:snapToGrid w:val="0"/>
                <w:color w:val="auto"/>
                <w:kern w:val="21"/>
                <w:sz w:val="21"/>
                <w:szCs w:val="21"/>
                <w:highlight w:val="none"/>
              </w:rPr>
            </w:pPr>
          </w:p>
        </w:tc>
        <w:tc>
          <w:tcPr>
            <w:tcW w:w="1485" w:type="dxa"/>
            <w:vAlign w:val="center"/>
          </w:tcPr>
          <w:p w14:paraId="5B39F3DB">
            <w:pPr>
              <w:keepNext w:val="0"/>
              <w:keepLines w:val="0"/>
              <w:widowControl/>
              <w:suppressLineNumbers w:val="0"/>
              <w:jc w:val="center"/>
              <w:textAlignment w:val="center"/>
              <w:rPr>
                <w:rFonts w:hint="eastAsia" w:ascii="Times New Roman"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氨气</w:t>
            </w:r>
          </w:p>
        </w:tc>
        <w:tc>
          <w:tcPr>
            <w:tcW w:w="1633" w:type="dxa"/>
            <w:shd w:val="clear" w:color="auto" w:fill="auto"/>
            <w:vAlign w:val="center"/>
          </w:tcPr>
          <w:p w14:paraId="3AC299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snapToGrid w:val="0"/>
                <w:color w:val="auto"/>
                <w:kern w:val="21"/>
                <w:sz w:val="21"/>
                <w:szCs w:val="21"/>
                <w:highlight w:val="none"/>
                <w:lang w:val="en-US" w:eastAsia="zh-CN"/>
              </w:rPr>
              <w:t>0.115</w:t>
            </w:r>
          </w:p>
        </w:tc>
        <w:tc>
          <w:tcPr>
            <w:tcW w:w="1276" w:type="dxa"/>
            <w:vAlign w:val="center"/>
          </w:tcPr>
          <w:p w14:paraId="7C0C5422">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6DC430A2">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vAlign w:val="center"/>
          </w:tcPr>
          <w:p w14:paraId="6C1F804D">
            <w:pPr>
              <w:keepNext w:val="0"/>
              <w:keepLines w:val="0"/>
              <w:widowControl/>
              <w:suppressLineNumbers w:val="0"/>
              <w:jc w:val="center"/>
              <w:textAlignment w:val="center"/>
              <w:rPr>
                <w:rFonts w:hint="default" w:ascii="Times New Roman" w:eastAsia="宋体"/>
                <w:snapToGrid w:val="0"/>
                <w:color w:val="auto"/>
                <w:kern w:val="21"/>
                <w:sz w:val="21"/>
                <w:szCs w:val="21"/>
                <w:highlight w:val="none"/>
                <w:lang w:val="en-US" w:eastAsia="zh-CN"/>
              </w:rPr>
            </w:pPr>
            <w:r>
              <w:rPr>
                <w:rFonts w:hint="eastAsia"/>
                <w:color w:val="auto"/>
                <w:highlight w:val="none"/>
                <w:lang w:val="en-US" w:eastAsia="zh-CN"/>
              </w:rPr>
              <w:t>0.115</w:t>
            </w:r>
          </w:p>
        </w:tc>
        <w:tc>
          <w:tcPr>
            <w:tcW w:w="1418" w:type="dxa"/>
            <w:shd w:val="clear" w:color="auto" w:fill="auto"/>
            <w:vAlign w:val="center"/>
          </w:tcPr>
          <w:p w14:paraId="1DC23BA3">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snapToGrid w:val="0"/>
                <w:color w:val="auto"/>
                <w:kern w:val="21"/>
                <w:sz w:val="21"/>
                <w:szCs w:val="21"/>
                <w:highlight w:val="none"/>
                <w:lang w:val="en-US" w:eastAsia="zh-CN"/>
              </w:rPr>
              <w:t>0.115</w:t>
            </w:r>
          </w:p>
        </w:tc>
        <w:tc>
          <w:tcPr>
            <w:tcW w:w="1701" w:type="dxa"/>
            <w:shd w:val="clear" w:color="auto" w:fill="auto"/>
            <w:vAlign w:val="center"/>
          </w:tcPr>
          <w:p w14:paraId="3D2FC6F1">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olor w:val="auto"/>
                <w:highlight w:val="none"/>
                <w:lang w:val="en-US" w:eastAsia="zh-CN"/>
              </w:rPr>
              <w:t>0.115</w:t>
            </w:r>
          </w:p>
        </w:tc>
        <w:tc>
          <w:tcPr>
            <w:tcW w:w="1427" w:type="dxa"/>
            <w:shd w:val="clear" w:color="auto" w:fill="auto"/>
            <w:vAlign w:val="center"/>
          </w:tcPr>
          <w:p w14:paraId="639064BC">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0</w:t>
            </w:r>
          </w:p>
        </w:tc>
      </w:tr>
      <w:tr w14:paraId="1044C0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3D4F501">
            <w:pPr>
              <w:pStyle w:val="200"/>
              <w:spacing w:beforeLines="0" w:afterLines="0" w:line="420" w:lineRule="exact"/>
              <w:rPr>
                <w:rFonts w:ascii="Times New Roman"/>
                <w:snapToGrid w:val="0"/>
                <w:color w:val="auto"/>
                <w:kern w:val="21"/>
                <w:sz w:val="21"/>
                <w:szCs w:val="21"/>
                <w:highlight w:val="none"/>
              </w:rPr>
            </w:pPr>
          </w:p>
        </w:tc>
        <w:tc>
          <w:tcPr>
            <w:tcW w:w="1485" w:type="dxa"/>
            <w:vAlign w:val="center"/>
          </w:tcPr>
          <w:p w14:paraId="04E64445">
            <w:pPr>
              <w:keepNext w:val="0"/>
              <w:keepLines w:val="0"/>
              <w:widowControl/>
              <w:suppressLineNumbers w:val="0"/>
              <w:jc w:val="center"/>
              <w:textAlignment w:val="center"/>
              <w:rPr>
                <w:rFonts w:hint="default"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臭气浓度</w:t>
            </w:r>
          </w:p>
        </w:tc>
        <w:tc>
          <w:tcPr>
            <w:tcW w:w="1633" w:type="dxa"/>
            <w:vAlign w:val="center"/>
          </w:tcPr>
          <w:p w14:paraId="14E72AB1">
            <w:pPr>
              <w:spacing w:beforeLines="0" w:afterLines="0" w:line="420" w:lineRule="exact"/>
              <w:jc w:val="center"/>
              <w:rPr>
                <w:rFonts w:hint="default" w:ascii="Times New Roman"/>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微量</w:t>
            </w:r>
          </w:p>
        </w:tc>
        <w:tc>
          <w:tcPr>
            <w:tcW w:w="1276" w:type="dxa"/>
            <w:vAlign w:val="center"/>
          </w:tcPr>
          <w:p w14:paraId="0722EC46">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5464A65B">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vAlign w:val="center"/>
          </w:tcPr>
          <w:p w14:paraId="2270F570">
            <w:pPr>
              <w:spacing w:beforeLines="0" w:afterLines="0" w:line="420" w:lineRule="exact"/>
              <w:jc w:val="center"/>
              <w:rPr>
                <w:rFonts w:hint="default" w:ascii="Times New Roman"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微量</w:t>
            </w:r>
          </w:p>
        </w:tc>
        <w:tc>
          <w:tcPr>
            <w:tcW w:w="1418" w:type="dxa"/>
            <w:vAlign w:val="center"/>
          </w:tcPr>
          <w:p w14:paraId="1042D364">
            <w:pPr>
              <w:spacing w:beforeLines="0" w:afterLines="0" w:line="420" w:lineRule="exact"/>
              <w:jc w:val="center"/>
              <w:rPr>
                <w:rFonts w:hint="default"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587F93F4">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微量</w:t>
            </w:r>
          </w:p>
        </w:tc>
        <w:tc>
          <w:tcPr>
            <w:tcW w:w="1427" w:type="dxa"/>
            <w:shd w:val="clear" w:color="auto" w:fill="auto"/>
            <w:vAlign w:val="center"/>
          </w:tcPr>
          <w:p w14:paraId="7FE34F75">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w:t>
            </w:r>
          </w:p>
        </w:tc>
      </w:tr>
      <w:tr w14:paraId="1B1790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42A8ED0">
            <w:pPr>
              <w:pStyle w:val="200"/>
              <w:spacing w:beforeLines="0" w:afterLines="0" w:line="420" w:lineRule="exact"/>
              <w:rPr>
                <w:rFonts w:ascii="Times New Roman"/>
                <w:snapToGrid w:val="0"/>
                <w:color w:val="auto"/>
                <w:kern w:val="21"/>
                <w:sz w:val="21"/>
                <w:szCs w:val="21"/>
                <w:highlight w:val="none"/>
              </w:rPr>
            </w:pPr>
            <w:r>
              <w:rPr>
                <w:rFonts w:ascii="Times New Roman"/>
                <w:snapToGrid w:val="0"/>
                <w:color w:val="auto"/>
                <w:kern w:val="21"/>
                <w:sz w:val="21"/>
                <w:szCs w:val="21"/>
                <w:highlight w:val="none"/>
              </w:rPr>
              <w:t>废水</w:t>
            </w:r>
          </w:p>
        </w:tc>
        <w:tc>
          <w:tcPr>
            <w:tcW w:w="1485" w:type="dxa"/>
            <w:vAlign w:val="center"/>
          </w:tcPr>
          <w:p w14:paraId="329D093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COD</w:t>
            </w:r>
          </w:p>
        </w:tc>
        <w:tc>
          <w:tcPr>
            <w:tcW w:w="1633" w:type="dxa"/>
            <w:vAlign w:val="center"/>
          </w:tcPr>
          <w:p w14:paraId="38F890A5">
            <w:pPr>
              <w:spacing w:line="420" w:lineRule="exact"/>
              <w:jc w:val="center"/>
              <w:rPr>
                <w:rFonts w:hint="eastAsia"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276" w:type="dxa"/>
            <w:vAlign w:val="center"/>
          </w:tcPr>
          <w:p w14:paraId="7751F561">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701" w:type="dxa"/>
            <w:vAlign w:val="center"/>
          </w:tcPr>
          <w:p w14:paraId="1F14D07E">
            <w:pPr>
              <w:spacing w:line="420" w:lineRule="exact"/>
              <w:jc w:val="center"/>
              <w:rPr>
                <w:snapToGrid w:val="0"/>
                <w:color w:val="auto"/>
                <w:kern w:val="21"/>
                <w:sz w:val="21"/>
                <w:szCs w:val="21"/>
                <w:highlight w:val="none"/>
              </w:rPr>
            </w:pPr>
            <w:r>
              <w:rPr>
                <w:rFonts w:hint="eastAsia" w:ascii="Times New Roman"/>
                <w:snapToGrid w:val="0"/>
                <w:color w:val="auto"/>
                <w:kern w:val="21"/>
                <w:sz w:val="21"/>
                <w:szCs w:val="21"/>
                <w:highlight w:val="none"/>
                <w:lang w:val="en-US" w:eastAsia="zh-CN"/>
              </w:rPr>
              <w:t>/</w:t>
            </w:r>
          </w:p>
        </w:tc>
        <w:tc>
          <w:tcPr>
            <w:tcW w:w="1559" w:type="dxa"/>
            <w:vAlign w:val="center"/>
          </w:tcPr>
          <w:p w14:paraId="011B779E">
            <w:pPr>
              <w:spacing w:line="420" w:lineRule="exact"/>
              <w:jc w:val="center"/>
              <w:rPr>
                <w:rFonts w:hint="eastAsia"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418" w:type="dxa"/>
            <w:vAlign w:val="center"/>
          </w:tcPr>
          <w:p w14:paraId="555E2EA8">
            <w:pPr>
              <w:spacing w:line="420" w:lineRule="exact"/>
              <w:jc w:val="center"/>
              <w:rPr>
                <w:snapToGrid w:val="0"/>
                <w:color w:val="auto"/>
                <w:kern w:val="21"/>
                <w:sz w:val="21"/>
                <w:szCs w:val="21"/>
                <w:highlight w:val="none"/>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163F150A">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w:t>
            </w:r>
          </w:p>
        </w:tc>
        <w:tc>
          <w:tcPr>
            <w:tcW w:w="1427" w:type="dxa"/>
            <w:shd w:val="clear" w:color="auto" w:fill="auto"/>
            <w:vAlign w:val="center"/>
          </w:tcPr>
          <w:p w14:paraId="496AEB10">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w:t>
            </w:r>
          </w:p>
        </w:tc>
      </w:tr>
      <w:tr w14:paraId="574648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0F921EEB">
            <w:pPr>
              <w:pStyle w:val="200"/>
              <w:spacing w:beforeLines="0" w:afterLines="0" w:line="420" w:lineRule="exact"/>
              <w:rPr>
                <w:rFonts w:ascii="Times New Roman"/>
                <w:snapToGrid w:val="0"/>
                <w:color w:val="auto"/>
                <w:kern w:val="21"/>
                <w:sz w:val="21"/>
                <w:szCs w:val="21"/>
                <w:highlight w:val="none"/>
              </w:rPr>
            </w:pPr>
          </w:p>
        </w:tc>
        <w:tc>
          <w:tcPr>
            <w:tcW w:w="1485" w:type="dxa"/>
            <w:vAlign w:val="center"/>
          </w:tcPr>
          <w:p w14:paraId="46A9DA65">
            <w:pPr>
              <w:pStyle w:val="200"/>
              <w:spacing w:beforeLines="0" w:afterLines="0" w:line="420" w:lineRule="exact"/>
              <w:rPr>
                <w:rFonts w:ascii="Times New Roman"/>
                <w:snapToGrid w:val="0"/>
                <w:color w:val="auto"/>
                <w:kern w:val="21"/>
                <w:sz w:val="21"/>
                <w:szCs w:val="21"/>
                <w:highlight w:val="none"/>
              </w:rPr>
            </w:pPr>
            <w:r>
              <w:rPr>
                <w:rFonts w:ascii="Times New Roman"/>
                <w:snapToGrid w:val="0"/>
                <w:color w:val="auto"/>
                <w:kern w:val="21"/>
                <w:sz w:val="21"/>
                <w:szCs w:val="21"/>
                <w:highlight w:val="none"/>
              </w:rPr>
              <w:t>氨氮</w:t>
            </w:r>
          </w:p>
        </w:tc>
        <w:tc>
          <w:tcPr>
            <w:tcW w:w="1633" w:type="dxa"/>
            <w:vAlign w:val="center"/>
          </w:tcPr>
          <w:p w14:paraId="42259608">
            <w:pPr>
              <w:spacing w:line="420" w:lineRule="exact"/>
              <w:jc w:val="center"/>
              <w:rPr>
                <w:rFonts w:hint="eastAsia"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276" w:type="dxa"/>
            <w:vAlign w:val="center"/>
          </w:tcPr>
          <w:p w14:paraId="420FFE2D">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701" w:type="dxa"/>
            <w:vAlign w:val="center"/>
          </w:tcPr>
          <w:p w14:paraId="4DAED4CB">
            <w:pPr>
              <w:spacing w:line="420" w:lineRule="exact"/>
              <w:jc w:val="center"/>
              <w:rPr>
                <w:snapToGrid w:val="0"/>
                <w:color w:val="auto"/>
                <w:kern w:val="21"/>
                <w:sz w:val="21"/>
                <w:szCs w:val="21"/>
                <w:highlight w:val="none"/>
              </w:rPr>
            </w:pPr>
            <w:r>
              <w:rPr>
                <w:rFonts w:hint="eastAsia" w:ascii="Times New Roman"/>
                <w:snapToGrid w:val="0"/>
                <w:color w:val="auto"/>
                <w:kern w:val="21"/>
                <w:sz w:val="21"/>
                <w:szCs w:val="21"/>
                <w:highlight w:val="none"/>
                <w:lang w:val="en-US" w:eastAsia="zh-CN"/>
              </w:rPr>
              <w:t>/</w:t>
            </w:r>
          </w:p>
        </w:tc>
        <w:tc>
          <w:tcPr>
            <w:tcW w:w="1559" w:type="dxa"/>
            <w:vAlign w:val="center"/>
          </w:tcPr>
          <w:p w14:paraId="2F40344C">
            <w:pPr>
              <w:spacing w:line="420" w:lineRule="exact"/>
              <w:jc w:val="center"/>
              <w:rPr>
                <w:rFonts w:hint="eastAsia"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418" w:type="dxa"/>
            <w:vAlign w:val="center"/>
          </w:tcPr>
          <w:p w14:paraId="2F9090FC">
            <w:pPr>
              <w:spacing w:line="420" w:lineRule="exact"/>
              <w:jc w:val="center"/>
              <w:rPr>
                <w:snapToGrid w:val="0"/>
                <w:color w:val="auto"/>
                <w:kern w:val="21"/>
                <w:sz w:val="21"/>
                <w:szCs w:val="21"/>
                <w:highlight w:val="none"/>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67D37290">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w:t>
            </w:r>
          </w:p>
        </w:tc>
        <w:tc>
          <w:tcPr>
            <w:tcW w:w="1427" w:type="dxa"/>
            <w:shd w:val="clear" w:color="auto" w:fill="auto"/>
            <w:vAlign w:val="center"/>
          </w:tcPr>
          <w:p w14:paraId="26671767">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w:t>
            </w:r>
          </w:p>
        </w:tc>
      </w:tr>
      <w:tr w14:paraId="4CD981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588" w:type="dxa"/>
            <w:vMerge w:val="restart"/>
            <w:vAlign w:val="center"/>
          </w:tcPr>
          <w:p w14:paraId="5B21E6A2">
            <w:pPr>
              <w:pStyle w:val="200"/>
              <w:spacing w:beforeLines="0" w:afterLines="0" w:line="420" w:lineRule="exact"/>
              <w:rPr>
                <w:rFonts w:ascii="Times New Roman"/>
                <w:snapToGrid w:val="0"/>
                <w:color w:val="auto"/>
                <w:kern w:val="21"/>
                <w:sz w:val="21"/>
                <w:szCs w:val="21"/>
                <w:highlight w:val="none"/>
              </w:rPr>
            </w:pPr>
            <w:r>
              <w:rPr>
                <w:rFonts w:ascii="Times New Roman"/>
                <w:snapToGrid w:val="0"/>
                <w:color w:val="auto"/>
                <w:kern w:val="21"/>
                <w:sz w:val="21"/>
                <w:szCs w:val="21"/>
                <w:highlight w:val="none"/>
              </w:rPr>
              <w:t>一般工业</w:t>
            </w:r>
          </w:p>
          <w:p w14:paraId="42159DD0">
            <w:pPr>
              <w:pStyle w:val="200"/>
              <w:spacing w:beforeLines="0" w:afterLines="0" w:line="420" w:lineRule="exact"/>
              <w:rPr>
                <w:rFonts w:ascii="Times New Roman"/>
                <w:snapToGrid w:val="0"/>
                <w:color w:val="auto"/>
                <w:kern w:val="21"/>
                <w:sz w:val="21"/>
                <w:szCs w:val="21"/>
                <w:highlight w:val="none"/>
              </w:rPr>
            </w:pPr>
            <w:r>
              <w:rPr>
                <w:rFonts w:ascii="Times New Roman"/>
                <w:snapToGrid w:val="0"/>
                <w:color w:val="auto"/>
                <w:kern w:val="21"/>
                <w:sz w:val="21"/>
                <w:szCs w:val="21"/>
                <w:highlight w:val="none"/>
              </w:rPr>
              <w:t>固体废物</w:t>
            </w:r>
          </w:p>
        </w:tc>
        <w:tc>
          <w:tcPr>
            <w:tcW w:w="1485" w:type="dxa"/>
            <w:shd w:val="clear" w:color="auto" w:fill="auto"/>
            <w:vAlign w:val="center"/>
          </w:tcPr>
          <w:p w14:paraId="6184618D">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废</w:t>
            </w:r>
            <w:r>
              <w:rPr>
                <w:color w:val="auto"/>
                <w:sz w:val="21"/>
                <w:szCs w:val="21"/>
                <w:highlight w:val="none"/>
              </w:rPr>
              <w:t>包装袋</w:t>
            </w:r>
          </w:p>
        </w:tc>
        <w:tc>
          <w:tcPr>
            <w:tcW w:w="1633" w:type="dxa"/>
            <w:shd w:val="clear" w:color="auto" w:fill="auto"/>
            <w:vAlign w:val="center"/>
          </w:tcPr>
          <w:p w14:paraId="444F9531">
            <w:pPr>
              <w:spacing w:beforeLines="0" w:afterLines="0" w:line="420" w:lineRule="exact"/>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3</w:t>
            </w:r>
          </w:p>
        </w:tc>
        <w:tc>
          <w:tcPr>
            <w:tcW w:w="1276" w:type="dxa"/>
            <w:shd w:val="clear" w:color="auto" w:fill="auto"/>
            <w:vAlign w:val="center"/>
          </w:tcPr>
          <w:p w14:paraId="6F8E2A4F">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2A6C2F99">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w:t>
            </w:r>
          </w:p>
        </w:tc>
        <w:tc>
          <w:tcPr>
            <w:tcW w:w="1559" w:type="dxa"/>
            <w:shd w:val="clear" w:color="auto" w:fill="auto"/>
            <w:vAlign w:val="center"/>
          </w:tcPr>
          <w:p w14:paraId="3A5C7BEE">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1.028</w:t>
            </w:r>
          </w:p>
        </w:tc>
        <w:tc>
          <w:tcPr>
            <w:tcW w:w="1418" w:type="dxa"/>
            <w:shd w:val="clear" w:color="auto" w:fill="auto"/>
            <w:vAlign w:val="center"/>
          </w:tcPr>
          <w:p w14:paraId="2CD5B728">
            <w:pPr>
              <w:spacing w:beforeLines="0" w:afterLines="0" w:line="420" w:lineRule="exact"/>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3</w:t>
            </w:r>
          </w:p>
        </w:tc>
        <w:tc>
          <w:tcPr>
            <w:tcW w:w="1701" w:type="dxa"/>
            <w:shd w:val="clear" w:color="auto" w:fill="auto"/>
            <w:vAlign w:val="center"/>
          </w:tcPr>
          <w:p w14:paraId="4D9076AD">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1.028</w:t>
            </w:r>
          </w:p>
        </w:tc>
        <w:tc>
          <w:tcPr>
            <w:tcW w:w="1427" w:type="dxa"/>
            <w:shd w:val="clear" w:color="auto" w:fill="auto"/>
            <w:vAlign w:val="center"/>
          </w:tcPr>
          <w:p w14:paraId="59BED561">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-1.972</w:t>
            </w:r>
          </w:p>
        </w:tc>
      </w:tr>
      <w:tr w14:paraId="34B90F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EBE83F9">
            <w:pPr>
              <w:pStyle w:val="200"/>
              <w:spacing w:beforeLines="0" w:afterLines="0" w:line="420" w:lineRule="exact"/>
              <w:rPr>
                <w:rFonts w:ascii="Times New Roman"/>
                <w:snapToGrid w:val="0"/>
                <w:color w:val="auto"/>
                <w:kern w:val="21"/>
                <w:sz w:val="21"/>
                <w:szCs w:val="21"/>
                <w:highlight w:val="none"/>
              </w:rPr>
            </w:pPr>
          </w:p>
        </w:tc>
        <w:tc>
          <w:tcPr>
            <w:tcW w:w="1485" w:type="dxa"/>
            <w:shd w:val="clear" w:color="auto" w:fill="auto"/>
            <w:vAlign w:val="center"/>
          </w:tcPr>
          <w:p w14:paraId="09E7A75F">
            <w:pPr>
              <w:jc w:val="center"/>
              <w:rPr>
                <w:rFonts w:hint="eastAsia"/>
                <w:bCs/>
                <w:color w:val="auto"/>
                <w:sz w:val="21"/>
                <w:szCs w:val="21"/>
                <w:highlight w:val="none"/>
                <w:lang w:val="en-US" w:eastAsia="zh-CN"/>
              </w:rPr>
            </w:pPr>
            <w:r>
              <w:rPr>
                <w:rFonts w:hint="eastAsia" w:ascii="Times New Roman" w:hAnsi="Times New Roman" w:cs="Times New Roman"/>
                <w:color w:val="auto"/>
                <w:kern w:val="2"/>
                <w:sz w:val="18"/>
                <w:szCs w:val="18"/>
                <w:highlight w:val="none"/>
                <w:lang w:val="en-US" w:eastAsia="zh-CN" w:bidi="ar-SA"/>
              </w:rPr>
              <w:t>废旧石膏模具</w:t>
            </w:r>
          </w:p>
        </w:tc>
        <w:tc>
          <w:tcPr>
            <w:tcW w:w="1633" w:type="dxa"/>
            <w:vAlign w:val="center"/>
          </w:tcPr>
          <w:p w14:paraId="7A8BA869">
            <w:pPr>
              <w:spacing w:beforeLines="0" w:afterLines="0" w:line="420" w:lineRule="exact"/>
              <w:jc w:val="center"/>
              <w:rPr>
                <w:rFonts w:hint="default"/>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400</w:t>
            </w:r>
          </w:p>
        </w:tc>
        <w:tc>
          <w:tcPr>
            <w:tcW w:w="1276" w:type="dxa"/>
            <w:vAlign w:val="center"/>
          </w:tcPr>
          <w:p w14:paraId="6B63B7DB">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18C3ADD2">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shd w:val="clear" w:color="auto" w:fill="auto"/>
            <w:vAlign w:val="center"/>
          </w:tcPr>
          <w:p w14:paraId="40FEA12B">
            <w:pPr>
              <w:adjustRightInd w:val="0"/>
              <w:snapToGrid w:val="0"/>
              <w:jc w:val="center"/>
              <w:rPr>
                <w:rFonts w:hint="eastAsia"/>
                <w:color w:val="auto"/>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418" w:type="dxa"/>
            <w:shd w:val="clear" w:color="auto" w:fill="auto"/>
            <w:vAlign w:val="center"/>
          </w:tcPr>
          <w:p w14:paraId="6F7EB032">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400</w:t>
            </w:r>
          </w:p>
        </w:tc>
        <w:tc>
          <w:tcPr>
            <w:tcW w:w="1701" w:type="dxa"/>
            <w:shd w:val="clear" w:color="auto" w:fill="auto"/>
            <w:vAlign w:val="center"/>
          </w:tcPr>
          <w:p w14:paraId="6DDFEB7E">
            <w:pPr>
              <w:adjustRightInd w:val="0"/>
              <w:snapToGrid w:val="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427" w:type="dxa"/>
            <w:shd w:val="clear" w:color="auto" w:fill="auto"/>
            <w:vAlign w:val="center"/>
          </w:tcPr>
          <w:p w14:paraId="4BBEE495">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-400</w:t>
            </w:r>
          </w:p>
        </w:tc>
      </w:tr>
      <w:tr w14:paraId="00C643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9A1BC8A">
            <w:pPr>
              <w:pStyle w:val="200"/>
              <w:spacing w:beforeLines="0" w:afterLines="0" w:line="420" w:lineRule="exact"/>
              <w:rPr>
                <w:rFonts w:ascii="Times New Roman"/>
                <w:snapToGrid w:val="0"/>
                <w:color w:val="auto"/>
                <w:kern w:val="21"/>
                <w:sz w:val="21"/>
                <w:szCs w:val="21"/>
                <w:highlight w:val="none"/>
              </w:rPr>
            </w:pPr>
          </w:p>
        </w:tc>
        <w:tc>
          <w:tcPr>
            <w:tcW w:w="1485" w:type="dxa"/>
            <w:shd w:val="clear" w:color="auto" w:fill="auto"/>
            <w:vAlign w:val="center"/>
          </w:tcPr>
          <w:p w14:paraId="496A44EE">
            <w:pPr>
              <w:keepNext w:val="0"/>
              <w:keepLines w:val="0"/>
              <w:pageBreakBefore w:val="0"/>
              <w:kinsoku/>
              <w:wordWrap/>
              <w:overflowPunct/>
              <w:topLinePunct w:val="0"/>
              <w:autoSpaceDN/>
              <w:bidi w:val="0"/>
              <w:spacing w:line="360" w:lineRule="exact"/>
              <w:jc w:val="center"/>
              <w:outlineLvl w:val="9"/>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沉淀池泥浆</w:t>
            </w:r>
          </w:p>
        </w:tc>
        <w:tc>
          <w:tcPr>
            <w:tcW w:w="1633" w:type="dxa"/>
            <w:vAlign w:val="center"/>
          </w:tcPr>
          <w:p w14:paraId="193CCEC3">
            <w:pPr>
              <w:spacing w:beforeLines="0" w:afterLines="0" w:line="420" w:lineRule="exact"/>
              <w:jc w:val="center"/>
              <w:rPr>
                <w:rFonts w:hint="default"/>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600</w:t>
            </w:r>
          </w:p>
        </w:tc>
        <w:tc>
          <w:tcPr>
            <w:tcW w:w="1276" w:type="dxa"/>
            <w:vAlign w:val="center"/>
          </w:tcPr>
          <w:p w14:paraId="50C6CC99">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6F0F8108">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shd w:val="clear" w:color="auto" w:fill="auto"/>
            <w:vAlign w:val="center"/>
          </w:tcPr>
          <w:p w14:paraId="3D5B39A9">
            <w:pPr>
              <w:adjustRightInd w:val="0"/>
              <w:snapToGrid w:val="0"/>
              <w:jc w:val="center"/>
              <w:rPr>
                <w:rFonts w:hint="eastAsia"/>
                <w:color w:val="auto"/>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418" w:type="dxa"/>
            <w:shd w:val="clear" w:color="auto" w:fill="auto"/>
            <w:vAlign w:val="center"/>
          </w:tcPr>
          <w:p w14:paraId="654DE60B">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600</w:t>
            </w:r>
          </w:p>
        </w:tc>
        <w:tc>
          <w:tcPr>
            <w:tcW w:w="1701" w:type="dxa"/>
            <w:shd w:val="clear" w:color="auto" w:fill="auto"/>
            <w:vAlign w:val="center"/>
          </w:tcPr>
          <w:p w14:paraId="70354322">
            <w:pPr>
              <w:adjustRightInd w:val="0"/>
              <w:snapToGrid w:val="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427" w:type="dxa"/>
            <w:shd w:val="clear" w:color="auto" w:fill="auto"/>
            <w:vAlign w:val="center"/>
          </w:tcPr>
          <w:p w14:paraId="4D40EE91">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-600</w:t>
            </w:r>
          </w:p>
        </w:tc>
      </w:tr>
      <w:tr w14:paraId="37B2AA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0B886564">
            <w:pPr>
              <w:pStyle w:val="200"/>
              <w:spacing w:beforeLines="0" w:afterLines="0" w:line="420" w:lineRule="exact"/>
              <w:rPr>
                <w:rFonts w:ascii="Times New Roman"/>
                <w:snapToGrid w:val="0"/>
                <w:color w:val="auto"/>
                <w:kern w:val="21"/>
                <w:sz w:val="21"/>
                <w:szCs w:val="21"/>
                <w:highlight w:val="none"/>
              </w:rPr>
            </w:pPr>
          </w:p>
        </w:tc>
        <w:tc>
          <w:tcPr>
            <w:tcW w:w="1485" w:type="dxa"/>
            <w:shd w:val="clear" w:color="auto" w:fill="auto"/>
            <w:vAlign w:val="center"/>
          </w:tcPr>
          <w:p w14:paraId="516067F4">
            <w:pPr>
              <w:keepNext w:val="0"/>
              <w:keepLines w:val="0"/>
              <w:pageBreakBefore w:val="0"/>
              <w:kinsoku/>
              <w:wordWrap/>
              <w:overflowPunct/>
              <w:topLinePunct w:val="0"/>
              <w:autoSpaceDN/>
              <w:bidi w:val="0"/>
              <w:spacing w:line="240" w:lineRule="auto"/>
              <w:jc w:val="center"/>
              <w:outlineLvl w:val="9"/>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不合格产品</w:t>
            </w:r>
          </w:p>
        </w:tc>
        <w:tc>
          <w:tcPr>
            <w:tcW w:w="1633" w:type="dxa"/>
            <w:vAlign w:val="center"/>
          </w:tcPr>
          <w:p w14:paraId="0A8C18DF">
            <w:pPr>
              <w:spacing w:beforeLines="0" w:afterLines="0" w:line="420" w:lineRule="exact"/>
              <w:jc w:val="center"/>
              <w:rPr>
                <w:rFonts w:hint="default"/>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75</w:t>
            </w:r>
          </w:p>
        </w:tc>
        <w:tc>
          <w:tcPr>
            <w:tcW w:w="1276" w:type="dxa"/>
            <w:vAlign w:val="center"/>
          </w:tcPr>
          <w:p w14:paraId="7FFA0061">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450CA6B6">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shd w:val="clear" w:color="auto" w:fill="auto"/>
            <w:vAlign w:val="center"/>
          </w:tcPr>
          <w:p w14:paraId="232BF068">
            <w:pPr>
              <w:adjustRightInd w:val="0"/>
              <w:snapToGrid w:val="0"/>
              <w:jc w:val="center"/>
              <w:rPr>
                <w:rFonts w:hint="eastAsia"/>
                <w:color w:val="auto"/>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418" w:type="dxa"/>
            <w:shd w:val="clear" w:color="auto" w:fill="auto"/>
            <w:vAlign w:val="center"/>
          </w:tcPr>
          <w:p w14:paraId="26411127">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75</w:t>
            </w:r>
          </w:p>
        </w:tc>
        <w:tc>
          <w:tcPr>
            <w:tcW w:w="1701" w:type="dxa"/>
            <w:shd w:val="clear" w:color="auto" w:fill="auto"/>
            <w:vAlign w:val="center"/>
          </w:tcPr>
          <w:p w14:paraId="39E6645C">
            <w:pPr>
              <w:adjustRightInd w:val="0"/>
              <w:snapToGrid w:val="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427" w:type="dxa"/>
            <w:shd w:val="clear" w:color="auto" w:fill="auto"/>
            <w:vAlign w:val="center"/>
          </w:tcPr>
          <w:p w14:paraId="68D693B1">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-75</w:t>
            </w:r>
          </w:p>
        </w:tc>
      </w:tr>
      <w:tr w14:paraId="3BA03E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8F14AEB">
            <w:pPr>
              <w:pStyle w:val="200"/>
              <w:spacing w:beforeLines="0" w:afterLines="0" w:line="420" w:lineRule="exact"/>
              <w:rPr>
                <w:rFonts w:ascii="Times New Roman"/>
                <w:snapToGrid w:val="0"/>
                <w:color w:val="auto"/>
                <w:kern w:val="21"/>
                <w:sz w:val="21"/>
                <w:szCs w:val="21"/>
                <w:highlight w:val="none"/>
              </w:rPr>
            </w:pPr>
          </w:p>
        </w:tc>
        <w:tc>
          <w:tcPr>
            <w:tcW w:w="1485" w:type="dxa"/>
            <w:shd w:val="clear" w:color="auto" w:fill="auto"/>
            <w:vAlign w:val="center"/>
          </w:tcPr>
          <w:p w14:paraId="77F353B9">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 w:val="21"/>
                <w:szCs w:val="21"/>
                <w:highlight w:val="none"/>
                <w:lang w:val="en-US" w:eastAsia="zh-CN"/>
              </w:rPr>
              <w:t>筛分废料</w:t>
            </w:r>
          </w:p>
        </w:tc>
        <w:tc>
          <w:tcPr>
            <w:tcW w:w="1633" w:type="dxa"/>
            <w:vAlign w:val="center"/>
          </w:tcPr>
          <w:p w14:paraId="5B072740">
            <w:pPr>
              <w:spacing w:beforeLines="0" w:afterLines="0" w:line="420" w:lineRule="exact"/>
              <w:jc w:val="center"/>
              <w:rPr>
                <w:rFonts w:hint="default" w:ascii="Times New Roman"/>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15</w:t>
            </w:r>
          </w:p>
        </w:tc>
        <w:tc>
          <w:tcPr>
            <w:tcW w:w="1276" w:type="dxa"/>
            <w:vAlign w:val="center"/>
          </w:tcPr>
          <w:p w14:paraId="43E24AB7">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6AF91389">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shd w:val="clear" w:color="auto" w:fill="auto"/>
            <w:vAlign w:val="center"/>
          </w:tcPr>
          <w:p w14:paraId="79A7B0FD">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120</w:t>
            </w:r>
          </w:p>
        </w:tc>
        <w:tc>
          <w:tcPr>
            <w:tcW w:w="1418" w:type="dxa"/>
            <w:shd w:val="clear" w:color="auto" w:fill="auto"/>
            <w:vAlign w:val="center"/>
          </w:tcPr>
          <w:p w14:paraId="72E960CC">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15</w:t>
            </w:r>
          </w:p>
        </w:tc>
        <w:tc>
          <w:tcPr>
            <w:tcW w:w="1701" w:type="dxa"/>
            <w:shd w:val="clear" w:color="auto" w:fill="auto"/>
            <w:vAlign w:val="center"/>
          </w:tcPr>
          <w:p w14:paraId="3699B469">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120</w:t>
            </w:r>
          </w:p>
        </w:tc>
        <w:tc>
          <w:tcPr>
            <w:tcW w:w="1427" w:type="dxa"/>
            <w:shd w:val="clear" w:color="auto" w:fill="auto"/>
            <w:vAlign w:val="center"/>
          </w:tcPr>
          <w:p w14:paraId="432666E6">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snapToGrid w:val="0"/>
                <w:color w:val="auto"/>
                <w:kern w:val="21"/>
                <w:sz w:val="21"/>
                <w:szCs w:val="21"/>
                <w:highlight w:val="none"/>
                <w:lang w:val="en-US" w:eastAsia="zh-CN"/>
              </w:rPr>
              <w:t>+</w:t>
            </w:r>
            <w:r>
              <w:rPr>
                <w:rFonts w:hint="eastAsia"/>
                <w:color w:val="auto"/>
                <w:sz w:val="21"/>
                <w:szCs w:val="21"/>
                <w:highlight w:val="none"/>
                <w:lang w:val="en-US" w:eastAsia="zh-CN"/>
              </w:rPr>
              <w:t>105</w:t>
            </w:r>
          </w:p>
        </w:tc>
      </w:tr>
      <w:tr w14:paraId="4750B8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BA1D9FE">
            <w:pPr>
              <w:pStyle w:val="200"/>
              <w:spacing w:beforeLines="0" w:afterLines="0" w:line="420" w:lineRule="exact"/>
              <w:rPr>
                <w:rFonts w:ascii="Times New Roman"/>
                <w:snapToGrid w:val="0"/>
                <w:color w:val="auto"/>
                <w:kern w:val="21"/>
                <w:sz w:val="21"/>
                <w:szCs w:val="21"/>
                <w:highlight w:val="none"/>
              </w:rPr>
            </w:pPr>
          </w:p>
        </w:tc>
        <w:tc>
          <w:tcPr>
            <w:tcW w:w="1485" w:type="dxa"/>
            <w:shd w:val="clear" w:color="auto" w:fill="auto"/>
            <w:vAlign w:val="center"/>
          </w:tcPr>
          <w:p w14:paraId="2863EF3A">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 w:val="21"/>
                <w:szCs w:val="21"/>
                <w:highlight w:val="none"/>
              </w:rPr>
              <w:t>废布袋</w:t>
            </w:r>
          </w:p>
        </w:tc>
        <w:tc>
          <w:tcPr>
            <w:tcW w:w="1633" w:type="dxa"/>
            <w:vAlign w:val="center"/>
          </w:tcPr>
          <w:p w14:paraId="64FF622C">
            <w:pPr>
              <w:spacing w:beforeLines="0" w:afterLines="0" w:line="420" w:lineRule="exact"/>
              <w:jc w:val="center"/>
              <w:rPr>
                <w:rFonts w:hint="default" w:ascii="Times New Roman"/>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0.2</w:t>
            </w:r>
          </w:p>
        </w:tc>
        <w:tc>
          <w:tcPr>
            <w:tcW w:w="1276" w:type="dxa"/>
            <w:vAlign w:val="center"/>
          </w:tcPr>
          <w:p w14:paraId="6DC3D02A">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463E0345">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shd w:val="clear" w:color="auto" w:fill="auto"/>
            <w:vAlign w:val="center"/>
          </w:tcPr>
          <w:p w14:paraId="606AE010">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0.</w:t>
            </w:r>
            <w:r>
              <w:rPr>
                <w:rFonts w:hint="eastAsia"/>
                <w:color w:val="auto"/>
                <w:sz w:val="21"/>
                <w:szCs w:val="21"/>
                <w:highlight w:val="none"/>
                <w:lang w:val="en-US" w:eastAsia="zh-CN"/>
              </w:rPr>
              <w:t>2</w:t>
            </w:r>
          </w:p>
        </w:tc>
        <w:tc>
          <w:tcPr>
            <w:tcW w:w="1418" w:type="dxa"/>
            <w:shd w:val="clear" w:color="auto" w:fill="auto"/>
            <w:vAlign w:val="center"/>
          </w:tcPr>
          <w:p w14:paraId="1169C13D">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0.2</w:t>
            </w:r>
          </w:p>
        </w:tc>
        <w:tc>
          <w:tcPr>
            <w:tcW w:w="1701" w:type="dxa"/>
            <w:shd w:val="clear" w:color="auto" w:fill="auto"/>
            <w:vAlign w:val="center"/>
          </w:tcPr>
          <w:p w14:paraId="132DEB2F">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0.</w:t>
            </w:r>
            <w:r>
              <w:rPr>
                <w:rFonts w:hint="eastAsia"/>
                <w:color w:val="auto"/>
                <w:sz w:val="21"/>
                <w:szCs w:val="21"/>
                <w:highlight w:val="none"/>
                <w:lang w:val="en-US" w:eastAsia="zh-CN"/>
              </w:rPr>
              <w:t>2</w:t>
            </w:r>
          </w:p>
        </w:tc>
        <w:tc>
          <w:tcPr>
            <w:tcW w:w="1427" w:type="dxa"/>
            <w:shd w:val="clear" w:color="auto" w:fill="auto"/>
            <w:vAlign w:val="center"/>
          </w:tcPr>
          <w:p w14:paraId="4E489782">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w:t>
            </w:r>
          </w:p>
        </w:tc>
      </w:tr>
      <w:tr w14:paraId="326137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1084BB7">
            <w:pPr>
              <w:pStyle w:val="200"/>
              <w:spacing w:beforeLines="0" w:afterLines="0" w:line="420" w:lineRule="exact"/>
              <w:rPr>
                <w:rFonts w:ascii="Times New Roman"/>
                <w:snapToGrid w:val="0"/>
                <w:color w:val="auto"/>
                <w:kern w:val="21"/>
                <w:sz w:val="21"/>
                <w:szCs w:val="21"/>
                <w:highlight w:val="none"/>
              </w:rPr>
            </w:pPr>
          </w:p>
        </w:tc>
        <w:tc>
          <w:tcPr>
            <w:tcW w:w="1485" w:type="dxa"/>
            <w:vAlign w:val="center"/>
          </w:tcPr>
          <w:p w14:paraId="72AEB62C">
            <w:pPr>
              <w:autoSpaceDE w:val="0"/>
              <w:autoSpaceDN w:val="0"/>
              <w:adjustRightInd w:val="0"/>
              <w:spacing w:line="240" w:lineRule="exact"/>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布袋除尘器收集的烟粉尘</w:t>
            </w:r>
          </w:p>
        </w:tc>
        <w:tc>
          <w:tcPr>
            <w:tcW w:w="1633" w:type="dxa"/>
            <w:shd w:val="clear" w:color="auto" w:fill="auto"/>
            <w:vAlign w:val="center"/>
          </w:tcPr>
          <w:p w14:paraId="5F82F430">
            <w:pPr>
              <w:spacing w:beforeLines="0" w:afterLines="0" w:line="420" w:lineRule="exact"/>
              <w:jc w:val="center"/>
              <w:rPr>
                <w:rFonts w:hint="default" w:ascii="Times New Roman"/>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1.638</w:t>
            </w:r>
          </w:p>
        </w:tc>
        <w:tc>
          <w:tcPr>
            <w:tcW w:w="1276" w:type="dxa"/>
            <w:shd w:val="clear" w:color="auto" w:fill="auto"/>
            <w:vAlign w:val="center"/>
          </w:tcPr>
          <w:p w14:paraId="70020965">
            <w:pPr>
              <w:pStyle w:val="200"/>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p>
        </w:tc>
        <w:tc>
          <w:tcPr>
            <w:tcW w:w="1701" w:type="dxa"/>
            <w:shd w:val="clear" w:color="auto" w:fill="auto"/>
            <w:vAlign w:val="center"/>
          </w:tcPr>
          <w:p w14:paraId="132DD04D">
            <w:pPr>
              <w:spacing w:beforeLines="0" w:afterLines="0" w:line="420" w:lineRule="exact"/>
              <w:jc w:val="center"/>
              <w:rPr>
                <w:rFonts w:hint="eastAsia" w:ascii="Times New Roman"/>
                <w:snapToGrid w:val="0"/>
                <w:color w:val="auto"/>
                <w:kern w:val="21"/>
                <w:sz w:val="21"/>
                <w:szCs w:val="21"/>
                <w:highlight w:val="none"/>
                <w:lang w:val="en-US" w:eastAsia="zh-CN"/>
              </w:rPr>
            </w:pPr>
          </w:p>
        </w:tc>
        <w:tc>
          <w:tcPr>
            <w:tcW w:w="1559" w:type="dxa"/>
            <w:shd w:val="clear" w:color="auto" w:fill="auto"/>
            <w:vAlign w:val="center"/>
          </w:tcPr>
          <w:p w14:paraId="5562D00F">
            <w:pPr>
              <w:adjustRightInd w:val="0"/>
              <w:snapToGrid w:val="0"/>
              <w:jc w:val="center"/>
              <w:rPr>
                <w:rFonts w:hint="default"/>
                <w:color w:val="auto"/>
                <w:sz w:val="21"/>
                <w:szCs w:val="21"/>
                <w:highlight w:val="none"/>
                <w:lang w:val="en-US" w:eastAsia="zh-CN"/>
              </w:rPr>
            </w:pPr>
            <w:r>
              <w:rPr>
                <w:rFonts w:hint="eastAsia"/>
                <w:color w:val="auto"/>
                <w:sz w:val="21"/>
                <w:szCs w:val="21"/>
                <w:highlight w:val="none"/>
                <w:lang w:val="en-US" w:eastAsia="zh-CN"/>
              </w:rPr>
              <w:t>0.749</w:t>
            </w:r>
          </w:p>
        </w:tc>
        <w:tc>
          <w:tcPr>
            <w:tcW w:w="1418" w:type="dxa"/>
            <w:shd w:val="clear" w:color="auto" w:fill="auto"/>
            <w:vAlign w:val="center"/>
          </w:tcPr>
          <w:p w14:paraId="0B954524">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1.638</w:t>
            </w:r>
          </w:p>
        </w:tc>
        <w:tc>
          <w:tcPr>
            <w:tcW w:w="1701" w:type="dxa"/>
            <w:shd w:val="clear" w:color="auto" w:fill="auto"/>
            <w:vAlign w:val="center"/>
          </w:tcPr>
          <w:p w14:paraId="32EB36E9">
            <w:pPr>
              <w:adjustRightInd w:val="0"/>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0.749</w:t>
            </w:r>
          </w:p>
        </w:tc>
        <w:tc>
          <w:tcPr>
            <w:tcW w:w="1427" w:type="dxa"/>
            <w:shd w:val="clear" w:color="auto" w:fill="auto"/>
            <w:vAlign w:val="center"/>
          </w:tcPr>
          <w:p w14:paraId="0F56EBF5">
            <w:pPr>
              <w:adjustRightInd w:val="0"/>
              <w:snapToGrid w:val="0"/>
              <w:jc w:val="center"/>
              <w:rPr>
                <w:rFonts w:hint="default"/>
                <w:color w:val="auto"/>
                <w:sz w:val="21"/>
                <w:szCs w:val="21"/>
                <w:highlight w:val="none"/>
                <w:lang w:val="en-US" w:eastAsia="zh-CN"/>
              </w:rPr>
            </w:pPr>
            <w:r>
              <w:rPr>
                <w:rFonts w:hint="eastAsia"/>
                <w:color w:val="auto"/>
                <w:sz w:val="21"/>
                <w:szCs w:val="21"/>
                <w:highlight w:val="none"/>
                <w:lang w:val="en-US" w:eastAsia="zh-CN"/>
              </w:rPr>
              <w:t>-0.889</w:t>
            </w:r>
          </w:p>
        </w:tc>
      </w:tr>
      <w:tr w14:paraId="6DD48F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14:paraId="4CA1DD19">
            <w:pPr>
              <w:pStyle w:val="200"/>
              <w:spacing w:beforeLines="0" w:afterLines="0" w:line="420" w:lineRule="exact"/>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危险废物</w:t>
            </w:r>
          </w:p>
        </w:tc>
        <w:tc>
          <w:tcPr>
            <w:tcW w:w="1485" w:type="dxa"/>
            <w:vAlign w:val="center"/>
          </w:tcPr>
          <w:p w14:paraId="09F15EA5">
            <w:pPr>
              <w:autoSpaceDE w:val="0"/>
              <w:autoSpaceDN w:val="0"/>
              <w:adjustRightInd w:val="0"/>
              <w:spacing w:line="240" w:lineRule="exact"/>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废润滑油及废油桶</w:t>
            </w:r>
          </w:p>
        </w:tc>
        <w:tc>
          <w:tcPr>
            <w:tcW w:w="1633" w:type="dxa"/>
            <w:shd w:val="clear" w:color="auto" w:fill="auto"/>
            <w:vAlign w:val="center"/>
          </w:tcPr>
          <w:p w14:paraId="2F28E7AE">
            <w:pPr>
              <w:spacing w:beforeLines="0" w:afterLines="0" w:line="420" w:lineRule="exact"/>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1.64</w:t>
            </w:r>
          </w:p>
        </w:tc>
        <w:tc>
          <w:tcPr>
            <w:tcW w:w="1276" w:type="dxa"/>
            <w:shd w:val="clear" w:color="auto" w:fill="auto"/>
            <w:vAlign w:val="center"/>
          </w:tcPr>
          <w:p w14:paraId="750CD937">
            <w:pPr>
              <w:pStyle w:val="200"/>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p>
        </w:tc>
        <w:tc>
          <w:tcPr>
            <w:tcW w:w="1701" w:type="dxa"/>
            <w:shd w:val="clear" w:color="auto" w:fill="auto"/>
            <w:vAlign w:val="center"/>
          </w:tcPr>
          <w:p w14:paraId="13BB12DD">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w:t>
            </w:r>
          </w:p>
        </w:tc>
        <w:tc>
          <w:tcPr>
            <w:tcW w:w="1559" w:type="dxa"/>
            <w:shd w:val="clear" w:color="auto" w:fill="auto"/>
            <w:vAlign w:val="center"/>
          </w:tcPr>
          <w:p w14:paraId="4F10B838">
            <w:pPr>
              <w:adjustRightInd w:val="0"/>
              <w:snapToGrid w:val="0"/>
              <w:jc w:val="center"/>
              <w:rPr>
                <w:rFonts w:hint="default"/>
                <w:color w:val="auto"/>
                <w:sz w:val="21"/>
                <w:szCs w:val="21"/>
                <w:highlight w:val="none"/>
                <w:lang w:val="en-US" w:eastAsia="zh-CN"/>
              </w:rPr>
            </w:pPr>
            <w:r>
              <w:rPr>
                <w:rFonts w:hint="eastAsia"/>
                <w:color w:val="auto"/>
                <w:sz w:val="21"/>
                <w:szCs w:val="21"/>
                <w:highlight w:val="none"/>
                <w:lang w:val="en-US" w:eastAsia="zh-CN"/>
              </w:rPr>
              <w:t>0.27</w:t>
            </w:r>
          </w:p>
        </w:tc>
        <w:tc>
          <w:tcPr>
            <w:tcW w:w="1418" w:type="dxa"/>
            <w:shd w:val="clear" w:color="auto" w:fill="auto"/>
            <w:vAlign w:val="center"/>
          </w:tcPr>
          <w:p w14:paraId="448EFC35">
            <w:pPr>
              <w:spacing w:beforeLines="0" w:afterLines="0" w:line="420" w:lineRule="exact"/>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1.64</w:t>
            </w:r>
          </w:p>
        </w:tc>
        <w:tc>
          <w:tcPr>
            <w:tcW w:w="1701" w:type="dxa"/>
            <w:shd w:val="clear" w:color="auto" w:fill="auto"/>
            <w:vAlign w:val="center"/>
          </w:tcPr>
          <w:p w14:paraId="525C8C8E">
            <w:pPr>
              <w:adjustRightInd w:val="0"/>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0.27</w:t>
            </w:r>
          </w:p>
        </w:tc>
        <w:tc>
          <w:tcPr>
            <w:tcW w:w="1427" w:type="dxa"/>
            <w:shd w:val="clear" w:color="auto" w:fill="auto"/>
            <w:vAlign w:val="center"/>
          </w:tcPr>
          <w:p w14:paraId="577BEAD0">
            <w:pPr>
              <w:adjustRightInd w:val="0"/>
              <w:snapToGrid w:val="0"/>
              <w:jc w:val="center"/>
              <w:rPr>
                <w:rFonts w:hint="default"/>
                <w:color w:val="auto"/>
                <w:sz w:val="21"/>
                <w:szCs w:val="21"/>
                <w:highlight w:val="none"/>
                <w:lang w:val="en-US" w:eastAsia="zh-CN"/>
              </w:rPr>
            </w:pPr>
            <w:r>
              <w:rPr>
                <w:rFonts w:hint="eastAsia"/>
                <w:color w:val="auto"/>
                <w:sz w:val="21"/>
                <w:szCs w:val="21"/>
                <w:highlight w:val="none"/>
                <w:lang w:val="en-US" w:eastAsia="zh-CN"/>
              </w:rPr>
              <w:t>-1.37</w:t>
            </w:r>
          </w:p>
        </w:tc>
      </w:tr>
      <w:tr w14:paraId="2874DC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14:paraId="3AEED900">
            <w:pPr>
              <w:pStyle w:val="200"/>
              <w:spacing w:beforeLines="0" w:afterLines="0" w:line="420" w:lineRule="exact"/>
              <w:rPr>
                <w:rFonts w:hint="default"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485" w:type="dxa"/>
            <w:vAlign w:val="center"/>
          </w:tcPr>
          <w:p w14:paraId="2DD029F2">
            <w:pPr>
              <w:autoSpaceDE w:val="0"/>
              <w:autoSpaceDN w:val="0"/>
              <w:adjustRightInd w:val="0"/>
              <w:spacing w:line="240" w:lineRule="exact"/>
              <w:jc w:val="center"/>
              <w:rPr>
                <w:rFonts w:hint="eastAsia" w:eastAsia="宋体"/>
                <w:color w:val="auto"/>
                <w:sz w:val="21"/>
                <w:szCs w:val="21"/>
                <w:highlight w:val="none"/>
                <w:lang w:eastAsia="zh-CN"/>
              </w:rPr>
            </w:pPr>
            <w:r>
              <w:rPr>
                <w:rFonts w:hint="default" w:ascii="Times New Roman" w:hAnsi="Times New Roman" w:cs="Times New Roman"/>
                <w:color w:val="auto"/>
                <w:sz w:val="21"/>
                <w:szCs w:val="21"/>
                <w:highlight w:val="none"/>
              </w:rPr>
              <w:t>生活垃圾</w:t>
            </w:r>
          </w:p>
        </w:tc>
        <w:tc>
          <w:tcPr>
            <w:tcW w:w="1633" w:type="dxa"/>
            <w:vAlign w:val="center"/>
          </w:tcPr>
          <w:p w14:paraId="2EF569F1">
            <w:pPr>
              <w:spacing w:beforeLines="0" w:afterLines="0" w:line="420" w:lineRule="exact"/>
              <w:jc w:val="center"/>
              <w:rPr>
                <w:rFonts w:hint="default" w:ascii="Times New Roman"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7.5</w:t>
            </w:r>
          </w:p>
        </w:tc>
        <w:tc>
          <w:tcPr>
            <w:tcW w:w="1276" w:type="dxa"/>
            <w:vAlign w:val="center"/>
          </w:tcPr>
          <w:p w14:paraId="482DA1BD">
            <w:pPr>
              <w:pStyle w:val="200"/>
              <w:spacing w:beforeLines="0" w:afterLines="0" w:line="420" w:lineRule="exact"/>
              <w:jc w:val="center"/>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41DCFCAF">
            <w:pPr>
              <w:spacing w:beforeLines="0" w:afterLines="0" w:line="420" w:lineRule="exact"/>
              <w:jc w:val="center"/>
              <w:rPr>
                <w:rFonts w:ascii="Times New Roman"/>
                <w:snapToGrid w:val="0"/>
                <w:color w:val="auto"/>
                <w:kern w:val="21"/>
                <w:sz w:val="21"/>
                <w:szCs w:val="21"/>
                <w:highlight w:val="none"/>
              </w:rPr>
            </w:pPr>
            <w:r>
              <w:rPr>
                <w:rFonts w:hint="eastAsia" w:ascii="Times New Roman"/>
                <w:snapToGrid w:val="0"/>
                <w:color w:val="auto"/>
                <w:kern w:val="21"/>
                <w:sz w:val="21"/>
                <w:szCs w:val="21"/>
                <w:highlight w:val="none"/>
                <w:lang w:val="en-US" w:eastAsia="zh-CN"/>
              </w:rPr>
              <w:t>/</w:t>
            </w:r>
          </w:p>
        </w:tc>
        <w:tc>
          <w:tcPr>
            <w:tcW w:w="1559" w:type="dxa"/>
            <w:shd w:val="clear" w:color="auto" w:fill="auto"/>
            <w:vAlign w:val="center"/>
          </w:tcPr>
          <w:p w14:paraId="3362FFF4">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2.25</w:t>
            </w:r>
          </w:p>
        </w:tc>
        <w:tc>
          <w:tcPr>
            <w:tcW w:w="1418" w:type="dxa"/>
            <w:shd w:val="clear" w:color="auto" w:fill="auto"/>
            <w:vAlign w:val="center"/>
          </w:tcPr>
          <w:p w14:paraId="2B959859">
            <w:pPr>
              <w:spacing w:beforeLines="0" w:afterLines="0" w:line="420" w:lineRule="exact"/>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7.5</w:t>
            </w:r>
          </w:p>
        </w:tc>
        <w:tc>
          <w:tcPr>
            <w:tcW w:w="1701" w:type="dxa"/>
            <w:shd w:val="clear" w:color="auto" w:fill="auto"/>
            <w:vAlign w:val="center"/>
          </w:tcPr>
          <w:p w14:paraId="3D211574">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2.25</w:t>
            </w:r>
          </w:p>
        </w:tc>
        <w:tc>
          <w:tcPr>
            <w:tcW w:w="1427" w:type="dxa"/>
            <w:shd w:val="clear" w:color="auto" w:fill="auto"/>
            <w:vAlign w:val="center"/>
          </w:tcPr>
          <w:p w14:paraId="132F1A55">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-5.25</w:t>
            </w:r>
          </w:p>
        </w:tc>
      </w:tr>
    </w:tbl>
    <w:p w14:paraId="0978E317">
      <w:pPr>
        <w:pStyle w:val="200"/>
        <w:spacing w:before="192" w:beforeLines="80" w:after="24" w:line="420" w:lineRule="exact"/>
        <w:jc w:val="left"/>
        <w:rPr>
          <w:rFonts w:ascii="Times New Roman"/>
          <w:snapToGrid w:val="0"/>
          <w:color w:val="auto"/>
          <w:spacing w:val="-6"/>
          <w:kern w:val="21"/>
          <w:szCs w:val="21"/>
          <w:highlight w:val="none"/>
        </w:rPr>
        <w:sectPr>
          <w:footerReference r:id="rId6" w:type="default"/>
          <w:pgSz w:w="16838" w:h="11906" w:orient="landscape"/>
          <w:pgMar w:top="1531" w:right="1701" w:bottom="1531" w:left="1701" w:header="851" w:footer="851" w:gutter="0"/>
          <w:pgNumType w:fmt="decimal"/>
          <w:cols w:space="720" w:num="1"/>
          <w:docGrid w:linePitch="312" w:charSpace="0"/>
        </w:sectPr>
      </w:pPr>
      <w:r>
        <w:rPr>
          <w:rFonts w:ascii="Times New Roman"/>
          <w:snapToGrid w:val="0"/>
          <w:color w:val="auto"/>
          <w:kern w:val="21"/>
          <w:szCs w:val="21"/>
          <w:highlight w:val="none"/>
        </w:rPr>
        <w:t>注：</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3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③</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4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④</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5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⑤</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7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⑦</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p>
    <w:p w14:paraId="68A5F853">
      <w:pPr>
        <w:spacing w:line="360" w:lineRule="auto"/>
        <w:ind w:firstLine="0" w:firstLineChars="0"/>
        <w:jc w:val="left"/>
        <w:rPr>
          <w:rFonts w:hint="default" w:eastAsia="宋体"/>
          <w:b/>
          <w:bCs/>
          <w:color w:val="auto"/>
          <w:sz w:val="28"/>
          <w:szCs w:val="24"/>
          <w:lang w:val="en-US" w:eastAsia="zh-CN"/>
        </w:rPr>
      </w:pPr>
      <w:r>
        <w:rPr>
          <w:rFonts w:hint="eastAsia"/>
          <w:b/>
          <w:bCs/>
          <w:color w:val="auto"/>
          <w:sz w:val="28"/>
          <w:szCs w:val="24"/>
        </w:rPr>
        <w:t>附件</w:t>
      </w:r>
      <w:r>
        <w:rPr>
          <w:rFonts w:hint="eastAsia"/>
          <w:b/>
          <w:bCs/>
          <w:color w:val="auto"/>
          <w:sz w:val="28"/>
          <w:szCs w:val="24"/>
          <w:lang w:eastAsia="zh-CN"/>
        </w:rPr>
        <w:t>、</w:t>
      </w:r>
      <w:r>
        <w:rPr>
          <w:rFonts w:hint="eastAsia"/>
          <w:b/>
          <w:bCs/>
          <w:color w:val="auto"/>
          <w:sz w:val="28"/>
          <w:szCs w:val="24"/>
          <w:lang w:val="en-US" w:eastAsia="zh-CN"/>
        </w:rPr>
        <w:t>附图</w:t>
      </w:r>
    </w:p>
    <w:p w14:paraId="413A981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bCs/>
          <w:color w:val="auto"/>
          <w:lang w:val="en-US"/>
        </w:rPr>
      </w:pPr>
      <w:r>
        <w:rPr>
          <w:rFonts w:hint="eastAsia"/>
          <w:bCs/>
          <w:color w:val="auto"/>
          <w:lang w:val="en-US"/>
        </w:rPr>
        <w:t>附件</w:t>
      </w:r>
      <w:r>
        <w:rPr>
          <w:rFonts w:hint="eastAsia"/>
          <w:bCs/>
          <w:color w:val="auto"/>
          <w:lang w:val="en-US" w:eastAsia="zh-CN"/>
        </w:rPr>
        <w:t>1</w:t>
      </w:r>
      <w:r>
        <w:rPr>
          <w:rFonts w:hint="eastAsia" w:ascii="Times New Roman" w:hAnsi="Times New Roman" w:eastAsia="宋体" w:cs="Times New Roman"/>
          <w:bCs/>
          <w:color w:val="auto"/>
          <w:lang w:val="en-US"/>
        </w:rPr>
        <w:t>：</w:t>
      </w:r>
      <w:r>
        <w:rPr>
          <w:rFonts w:hint="eastAsia"/>
          <w:bCs/>
          <w:color w:val="auto"/>
          <w:lang w:val="en-US" w:eastAsia="zh-CN"/>
        </w:rPr>
        <w:t>环评</w:t>
      </w:r>
      <w:r>
        <w:rPr>
          <w:rFonts w:hint="eastAsia"/>
          <w:bCs/>
          <w:color w:val="auto"/>
          <w:lang w:val="en-US"/>
        </w:rPr>
        <w:t>委托书</w:t>
      </w:r>
    </w:p>
    <w:p w14:paraId="16BCB2F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bCs/>
          <w:color w:val="auto"/>
          <w:lang w:val="en-US"/>
        </w:rPr>
      </w:pPr>
      <w:r>
        <w:rPr>
          <w:rFonts w:hint="eastAsia"/>
          <w:bCs/>
          <w:color w:val="auto"/>
          <w:lang w:val="en-US"/>
        </w:rPr>
        <w:t>附件</w:t>
      </w:r>
      <w:r>
        <w:rPr>
          <w:rFonts w:hint="eastAsia"/>
          <w:bCs/>
          <w:color w:val="auto"/>
          <w:lang w:val="en-US" w:eastAsia="zh-CN"/>
        </w:rPr>
        <w:t>2</w:t>
      </w:r>
      <w:r>
        <w:rPr>
          <w:rFonts w:hint="eastAsia" w:ascii="Times New Roman" w:hAnsi="Times New Roman" w:eastAsia="宋体" w:cs="Times New Roman"/>
          <w:bCs/>
          <w:color w:val="auto"/>
          <w:lang w:val="en-US"/>
        </w:rPr>
        <w:t>：</w:t>
      </w:r>
      <w:r>
        <w:rPr>
          <w:rFonts w:hint="eastAsia"/>
          <w:bCs/>
          <w:color w:val="auto"/>
          <w:lang w:val="en-US"/>
        </w:rPr>
        <w:t>资料真实性承诺书</w:t>
      </w:r>
    </w:p>
    <w:p w14:paraId="0452870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r>
        <w:rPr>
          <w:rFonts w:hint="eastAsia"/>
          <w:bCs/>
          <w:color w:val="auto"/>
          <w:lang w:val="en-US"/>
        </w:rPr>
        <w:t>附件</w:t>
      </w:r>
      <w:r>
        <w:rPr>
          <w:rFonts w:hint="eastAsia"/>
          <w:bCs/>
          <w:color w:val="auto"/>
          <w:lang w:val="en-US" w:eastAsia="zh-CN"/>
        </w:rPr>
        <w:t>3</w:t>
      </w:r>
      <w:r>
        <w:rPr>
          <w:rFonts w:hint="eastAsia" w:ascii="Times New Roman" w:hAnsi="Times New Roman" w:eastAsia="宋体" w:cs="Times New Roman"/>
          <w:bCs/>
          <w:color w:val="auto"/>
          <w:lang w:val="en-US"/>
        </w:rPr>
        <w:t>：</w:t>
      </w:r>
      <w:r>
        <w:rPr>
          <w:rFonts w:hint="eastAsia"/>
          <w:bCs/>
          <w:color w:val="auto"/>
          <w:lang w:val="en-US"/>
        </w:rPr>
        <w:t>备</w:t>
      </w:r>
      <w:r>
        <w:rPr>
          <w:rFonts w:hint="eastAsia" w:ascii="Times New Roman" w:hAnsi="Times New Roman" w:eastAsia="宋体" w:cs="Times New Roman"/>
          <w:bCs/>
          <w:color w:val="auto"/>
          <w:lang w:val="en-US"/>
        </w:rPr>
        <w:t>案证明</w:t>
      </w:r>
    </w:p>
    <w:p w14:paraId="637B139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rPr>
        <w:t>附件4：</w:t>
      </w:r>
      <w:r>
        <w:rPr>
          <w:rFonts w:hint="eastAsia" w:ascii="Times New Roman" w:hAnsi="Times New Roman" w:eastAsia="宋体" w:cs="Times New Roman"/>
          <w:bCs/>
          <w:color w:val="auto"/>
          <w:lang w:val="en-US" w:eastAsia="zh-CN"/>
        </w:rPr>
        <w:t>土地合同</w:t>
      </w:r>
    </w:p>
    <w:p w14:paraId="123BC60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r>
        <w:rPr>
          <w:rFonts w:hint="eastAsia" w:ascii="Times New Roman" w:hAnsi="Times New Roman" w:eastAsia="宋体" w:cs="Times New Roman"/>
          <w:bCs/>
          <w:color w:val="auto"/>
          <w:lang w:val="en-US"/>
        </w:rPr>
        <w:t>附件</w:t>
      </w:r>
      <w:r>
        <w:rPr>
          <w:rFonts w:hint="eastAsia" w:ascii="Times New Roman" w:hAnsi="Times New Roman" w:eastAsia="宋体" w:cs="Times New Roman"/>
          <w:bCs/>
          <w:color w:val="auto"/>
          <w:lang w:val="en-US" w:eastAsia="zh-CN"/>
        </w:rPr>
        <w:t>5：</w:t>
      </w:r>
      <w:r>
        <w:rPr>
          <w:rFonts w:hint="eastAsia" w:ascii="Times New Roman" w:hAnsi="Times New Roman" w:eastAsia="宋体" w:cs="Times New Roman"/>
          <w:bCs/>
          <w:color w:val="auto"/>
          <w:lang w:val="en-US"/>
        </w:rPr>
        <w:t>营业执照</w:t>
      </w:r>
    </w:p>
    <w:p w14:paraId="356D838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rPr>
        <w:t>附件</w:t>
      </w:r>
      <w:r>
        <w:rPr>
          <w:rFonts w:hint="eastAsia" w:ascii="Times New Roman" w:hAnsi="Times New Roman" w:eastAsia="宋体" w:cs="Times New Roman"/>
          <w:bCs/>
          <w:color w:val="auto"/>
          <w:lang w:val="en-US" w:eastAsia="zh-CN"/>
        </w:rPr>
        <w:t>6：现有项目环评批复、验收、总量确认书等</w:t>
      </w:r>
    </w:p>
    <w:p w14:paraId="1F1E7B6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rPr>
        <w:t>附件</w:t>
      </w:r>
      <w:r>
        <w:rPr>
          <w:rFonts w:hint="eastAsia" w:ascii="Times New Roman" w:hAnsi="Times New Roman" w:eastAsia="宋体" w:cs="Times New Roman"/>
          <w:bCs/>
          <w:color w:val="auto"/>
          <w:lang w:val="en-US" w:eastAsia="zh-CN"/>
        </w:rPr>
        <w:t>7：排污登记回执</w:t>
      </w:r>
    </w:p>
    <w:p w14:paraId="02EB422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r>
        <w:rPr>
          <w:rFonts w:hint="eastAsia" w:ascii="Times New Roman" w:hAnsi="Times New Roman" w:eastAsia="宋体" w:cs="Times New Roman"/>
          <w:bCs/>
          <w:color w:val="auto"/>
          <w:lang w:val="en-US"/>
        </w:rPr>
        <w:t>附件</w:t>
      </w:r>
      <w:r>
        <w:rPr>
          <w:rFonts w:hint="eastAsia" w:ascii="Times New Roman" w:hAnsi="Times New Roman" w:eastAsia="宋体" w:cs="Times New Roman"/>
          <w:bCs/>
          <w:color w:val="auto"/>
          <w:lang w:val="en-US" w:eastAsia="zh-CN"/>
        </w:rPr>
        <w:t>8：园区审查意见</w:t>
      </w:r>
    </w:p>
    <w:p w14:paraId="37E4C9A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r>
        <w:rPr>
          <w:rFonts w:hint="eastAsia" w:ascii="Times New Roman" w:hAnsi="Times New Roman" w:eastAsia="宋体" w:cs="Times New Roman"/>
          <w:bCs/>
          <w:color w:val="auto"/>
          <w:lang w:val="en-US"/>
        </w:rPr>
        <w:t>附件9：傅家镇初审意见</w:t>
      </w:r>
    </w:p>
    <w:p w14:paraId="26035AE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r>
        <w:rPr>
          <w:rFonts w:hint="eastAsia" w:ascii="Times New Roman" w:hAnsi="Times New Roman" w:eastAsia="宋体" w:cs="Times New Roman"/>
          <w:bCs/>
          <w:color w:val="auto"/>
          <w:lang w:val="en-US"/>
        </w:rPr>
        <w:t>附件</w:t>
      </w:r>
      <w:r>
        <w:rPr>
          <w:rFonts w:hint="eastAsia" w:cs="Times New Roman"/>
          <w:bCs/>
          <w:color w:val="auto"/>
          <w:lang w:val="en-US" w:eastAsia="zh-CN"/>
        </w:rPr>
        <w:t>10</w:t>
      </w:r>
      <w:r>
        <w:rPr>
          <w:rFonts w:hint="eastAsia" w:ascii="Times New Roman" w:hAnsi="Times New Roman" w:eastAsia="宋体" w:cs="Times New Roman"/>
          <w:bCs/>
          <w:color w:val="auto"/>
          <w:lang w:val="en-US" w:eastAsia="zh-CN"/>
        </w:rPr>
        <w:t>：工程师现场照片和厂区四周相邻照片</w:t>
      </w:r>
    </w:p>
    <w:p w14:paraId="3DCEF75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r>
        <w:rPr>
          <w:rFonts w:hint="eastAsia" w:ascii="Times New Roman" w:hAnsi="Times New Roman" w:eastAsia="宋体" w:cs="Times New Roman"/>
          <w:bCs/>
          <w:color w:val="auto"/>
          <w:lang w:val="en-US"/>
        </w:rPr>
        <w:t>附图1： 地理位置图</w:t>
      </w:r>
    </w:p>
    <w:p w14:paraId="0277BCF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r>
        <w:rPr>
          <w:rFonts w:hint="eastAsia" w:ascii="Times New Roman" w:hAnsi="Times New Roman" w:eastAsia="宋体" w:cs="Times New Roman"/>
          <w:bCs/>
          <w:color w:val="auto"/>
          <w:lang w:val="en-US"/>
        </w:rPr>
        <w:t>附图2a： 项目周边关系图</w:t>
      </w:r>
    </w:p>
    <w:p w14:paraId="2634A80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r>
        <w:rPr>
          <w:rFonts w:hint="eastAsia" w:ascii="Times New Roman" w:hAnsi="Times New Roman" w:eastAsia="宋体" w:cs="Times New Roman"/>
          <w:bCs/>
          <w:color w:val="auto"/>
          <w:lang w:val="en-US"/>
        </w:rPr>
        <w:t>附图2b ：项目敏感目标分布图</w:t>
      </w:r>
    </w:p>
    <w:p w14:paraId="3F04638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r>
        <w:rPr>
          <w:rFonts w:hint="eastAsia" w:ascii="Times New Roman" w:hAnsi="Times New Roman" w:eastAsia="宋体" w:cs="Times New Roman"/>
          <w:bCs/>
          <w:color w:val="auto"/>
          <w:lang w:val="en-US"/>
        </w:rPr>
        <w:t>附图3： 项目平面布置图</w:t>
      </w:r>
    </w:p>
    <w:p w14:paraId="75108A5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r>
        <w:rPr>
          <w:rFonts w:hint="eastAsia" w:ascii="Times New Roman" w:hAnsi="Times New Roman" w:eastAsia="宋体" w:cs="Times New Roman"/>
          <w:bCs/>
          <w:color w:val="auto"/>
          <w:lang w:val="en-US"/>
        </w:rPr>
        <w:t>附图4： 淄博市环境管控单元图</w:t>
      </w:r>
    </w:p>
    <w:p w14:paraId="70474BA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Cs/>
          <w:color w:val="auto"/>
          <w:lang w:val="en-US" w:eastAsia="zh-CN"/>
        </w:rPr>
      </w:pPr>
      <w:r>
        <w:rPr>
          <w:rFonts w:hint="default" w:ascii="Times New Roman" w:hAnsi="Times New Roman" w:eastAsia="宋体" w:cs="Times New Roman"/>
          <w:bCs/>
          <w:color w:val="auto"/>
          <w:lang w:val="en-US" w:eastAsia="zh-CN"/>
        </w:rPr>
        <w:t>附图</w:t>
      </w:r>
      <w:r>
        <w:rPr>
          <w:rFonts w:hint="eastAsia" w:ascii="Times New Roman" w:hAnsi="Times New Roman" w:eastAsia="宋体" w:cs="Times New Roman"/>
          <w:bCs/>
          <w:color w:val="auto"/>
          <w:lang w:val="en-US" w:eastAsia="zh-CN"/>
        </w:rPr>
        <w:t>5</w:t>
      </w:r>
      <w:r>
        <w:rPr>
          <w:rFonts w:hint="eastAsia" w:ascii="Times New Roman" w:hAnsi="Times New Roman" w:eastAsia="宋体" w:cs="Times New Roman"/>
          <w:bCs/>
          <w:color w:val="auto"/>
          <w:lang w:val="en-US"/>
        </w:rPr>
        <w:t>：</w:t>
      </w:r>
      <w:r>
        <w:rPr>
          <w:rFonts w:hint="default" w:ascii="Times New Roman" w:hAnsi="Times New Roman" w:eastAsia="宋体" w:cs="Times New Roman"/>
          <w:bCs/>
          <w:color w:val="auto"/>
          <w:lang w:val="en-US" w:eastAsia="zh-CN"/>
        </w:rPr>
        <w:t>淄博市国土空间总体规划(2021-2035年)</w:t>
      </w:r>
    </w:p>
    <w:p w14:paraId="51CBC8F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Cs/>
          <w:color w:val="auto"/>
          <w:lang w:val="en-US" w:eastAsia="zh-CN"/>
        </w:rPr>
      </w:pPr>
      <w:r>
        <w:rPr>
          <w:rFonts w:hint="default" w:ascii="Times New Roman" w:hAnsi="Times New Roman" w:eastAsia="宋体" w:cs="Times New Roman"/>
          <w:bCs/>
          <w:color w:val="auto"/>
          <w:lang w:val="en-US" w:eastAsia="zh-CN"/>
        </w:rPr>
        <w:t xml:space="preserve">附图 </w:t>
      </w:r>
      <w:r>
        <w:rPr>
          <w:rFonts w:hint="eastAsia" w:ascii="Times New Roman" w:hAnsi="Times New Roman" w:eastAsia="宋体" w:cs="Times New Roman"/>
          <w:bCs/>
          <w:color w:val="auto"/>
          <w:lang w:val="en-US" w:eastAsia="zh-CN"/>
        </w:rPr>
        <w:t>6</w:t>
      </w:r>
      <w:r>
        <w:rPr>
          <w:rFonts w:hint="eastAsia" w:ascii="Times New Roman" w:hAnsi="Times New Roman" w:eastAsia="宋体" w:cs="Times New Roman"/>
          <w:bCs/>
          <w:color w:val="auto"/>
          <w:lang w:val="en-US"/>
        </w:rPr>
        <w:t>：</w:t>
      </w:r>
      <w:r>
        <w:rPr>
          <w:rFonts w:hint="default" w:ascii="Times New Roman" w:hAnsi="Times New Roman" w:eastAsia="宋体" w:cs="Times New Roman"/>
          <w:bCs/>
          <w:color w:val="auto"/>
          <w:lang w:val="en-US" w:eastAsia="zh-CN"/>
        </w:rPr>
        <w:t xml:space="preserve"> 淄博市国土空间总体规划（2021-2035年）-中心城区土地使用规划图</w:t>
      </w:r>
    </w:p>
    <w:p w14:paraId="5E896E8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lang w:val="en-US" w:eastAsia="zh-CN"/>
        </w:rPr>
        <w:t>附图7</w:t>
      </w:r>
      <w:r>
        <w:rPr>
          <w:rFonts w:hint="eastAsia" w:ascii="Times New Roman" w:hAnsi="Times New Roman" w:eastAsia="宋体" w:cs="Times New Roman"/>
          <w:bCs/>
          <w:color w:val="auto"/>
          <w:lang w:val="en-US"/>
        </w:rPr>
        <w:t>：</w:t>
      </w:r>
      <w:r>
        <w:rPr>
          <w:rFonts w:hint="eastAsia" w:ascii="Times New Roman" w:hAnsi="Times New Roman" w:eastAsia="宋体" w:cs="Times New Roman"/>
          <w:bCs/>
          <w:color w:val="auto"/>
          <w:lang w:val="en-US" w:eastAsia="zh-CN"/>
        </w:rPr>
        <w:t>项目所在区域声功能区划图</w:t>
      </w:r>
    </w:p>
    <w:p w14:paraId="268036B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r>
        <w:rPr>
          <w:rFonts w:hint="eastAsia" w:ascii="Times New Roman" w:hAnsi="Times New Roman" w:eastAsia="宋体" w:cs="Times New Roman"/>
          <w:bCs/>
          <w:color w:val="auto"/>
          <w:lang w:val="en-US" w:eastAsia="zh-CN"/>
        </w:rPr>
        <w:t>附图8</w:t>
      </w:r>
      <w:r>
        <w:rPr>
          <w:rFonts w:hint="eastAsia" w:ascii="Times New Roman" w:hAnsi="Times New Roman" w:eastAsia="宋体" w:cs="Times New Roman"/>
          <w:bCs/>
          <w:color w:val="auto"/>
          <w:lang w:val="en-US"/>
        </w:rPr>
        <w:t>：园区空间管制图</w:t>
      </w:r>
    </w:p>
    <w:p w14:paraId="27439F4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Cs/>
          <w:color w:val="auto"/>
          <w:lang w:val="en-US" w:eastAsia="zh-CN"/>
        </w:rPr>
      </w:pPr>
      <w:r>
        <w:rPr>
          <w:rFonts w:hint="default" w:ascii="Times New Roman" w:hAnsi="Times New Roman" w:eastAsia="宋体" w:cs="Times New Roman"/>
          <w:bCs/>
          <w:color w:val="auto"/>
          <w:lang w:val="en-US" w:eastAsia="zh-CN"/>
        </w:rPr>
        <w:t>附图</w:t>
      </w:r>
      <w:r>
        <w:rPr>
          <w:rFonts w:hint="eastAsia" w:ascii="Times New Roman" w:hAnsi="Times New Roman" w:eastAsia="宋体" w:cs="Times New Roman"/>
          <w:bCs/>
          <w:color w:val="auto"/>
          <w:lang w:val="en-US" w:eastAsia="zh-CN"/>
        </w:rPr>
        <w:t xml:space="preserve">9 </w:t>
      </w:r>
      <w:r>
        <w:rPr>
          <w:rFonts w:hint="eastAsia" w:ascii="Times New Roman" w:hAnsi="Times New Roman" w:eastAsia="宋体" w:cs="Times New Roman"/>
          <w:bCs/>
          <w:color w:val="auto"/>
          <w:lang w:val="en-US"/>
        </w:rPr>
        <w:t>：</w:t>
      </w:r>
      <w:r>
        <w:rPr>
          <w:rFonts w:hint="default" w:ascii="Times New Roman" w:hAnsi="Times New Roman" w:eastAsia="宋体" w:cs="Times New Roman"/>
          <w:bCs/>
          <w:color w:val="auto"/>
          <w:lang w:val="en-US" w:eastAsia="zh-CN"/>
        </w:rPr>
        <w:t>园区土地利用规划图</w:t>
      </w:r>
    </w:p>
    <w:p w14:paraId="2B7F7C2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eastAsia="zh-CN"/>
        </w:rPr>
      </w:pPr>
    </w:p>
    <w:p w14:paraId="2A2C2B14">
      <w:pPr>
        <w:pStyle w:val="2"/>
        <w:rPr>
          <w:rFonts w:hint="default"/>
          <w:color w:val="auto"/>
          <w:lang w:val="en-US" w:eastAsia="zh-CN"/>
        </w:rPr>
      </w:pPr>
    </w:p>
    <w:p w14:paraId="4422620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p>
    <w:p w14:paraId="3D33DBE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eastAsia="zh-CN"/>
        </w:rPr>
      </w:pPr>
    </w:p>
    <w:p w14:paraId="438F423A">
      <w:pPr>
        <w:pStyle w:val="2"/>
        <w:rPr>
          <w:rFonts w:hint="default"/>
          <w:color w:val="auto"/>
          <w:lang w:val="en-US" w:eastAsia="zh-CN"/>
        </w:rPr>
      </w:pPr>
    </w:p>
    <w:p w14:paraId="348CD0F2">
      <w:pPr>
        <w:rPr>
          <w:rFonts w:hint="default"/>
          <w:color w:val="auto"/>
          <w:lang w:val="en-US" w:eastAsia="zh-CN"/>
        </w:rPr>
      </w:pPr>
    </w:p>
    <w:p w14:paraId="5ECA5302">
      <w:pPr>
        <w:rPr>
          <w:rFonts w:hint="default"/>
          <w:color w:val="auto"/>
          <w:lang w:val="en-US" w:eastAsia="zh-CN"/>
        </w:rPr>
      </w:pPr>
    </w:p>
    <w:p w14:paraId="55B70543">
      <w:pPr>
        <w:rPr>
          <w:rFonts w:hint="default"/>
          <w:color w:val="auto"/>
          <w:lang w:val="en-US" w:eastAsia="zh-CN"/>
        </w:rPr>
      </w:pPr>
    </w:p>
    <w:p w14:paraId="635B1C9D">
      <w:pPr>
        <w:rPr>
          <w:rFonts w:hint="default"/>
          <w:color w:val="auto"/>
          <w:lang w:val="en-US" w:eastAsia="zh-CN"/>
        </w:rPr>
      </w:pPr>
    </w:p>
    <w:p w14:paraId="54C440FC">
      <w:pPr>
        <w:rPr>
          <w:rFonts w:hint="default"/>
          <w:color w:val="auto"/>
          <w:lang w:val="en-US" w:eastAsia="zh-CN"/>
        </w:rPr>
      </w:pPr>
    </w:p>
    <w:p w14:paraId="54CC633B">
      <w:pPr>
        <w:shd w:val="clear" w:color="auto" w:fill="auto"/>
        <w:adjustRightInd w:val="0"/>
        <w:spacing w:line="360" w:lineRule="auto"/>
        <w:rPr>
          <w:rFonts w:hint="default" w:ascii="宋体" w:hAnsi="宋体" w:eastAsia="宋体" w:cs="Calibri"/>
          <w:b/>
          <w:bCs/>
          <w:color w:val="auto"/>
          <w:sz w:val="28"/>
          <w:szCs w:val="28"/>
          <w:lang w:val="en-US" w:eastAsia="zh-CN"/>
        </w:rPr>
      </w:pPr>
      <w:r>
        <w:rPr>
          <w:rFonts w:hint="eastAsia" w:ascii="宋体" w:hAnsi="宋体" w:eastAsia="宋体" w:cs="Calibri"/>
          <w:b/>
          <w:bCs/>
          <w:color w:val="auto"/>
          <w:sz w:val="28"/>
          <w:szCs w:val="28"/>
          <w:lang w:eastAsia="zh-CN"/>
        </w:rPr>
        <w:t>附件</w:t>
      </w:r>
      <w:r>
        <w:rPr>
          <w:rFonts w:hint="eastAsia" w:ascii="宋体" w:hAnsi="宋体" w:eastAsia="宋体" w:cs="Calibri"/>
          <w:b/>
          <w:bCs/>
          <w:color w:val="auto"/>
          <w:sz w:val="28"/>
          <w:szCs w:val="28"/>
          <w:lang w:val="en-US" w:eastAsia="zh-CN"/>
        </w:rPr>
        <w:t>1：环评委托书</w:t>
      </w:r>
    </w:p>
    <w:p w14:paraId="60FD1609">
      <w:pPr>
        <w:shd w:val="clear" w:color="auto" w:fill="auto"/>
        <w:jc w:val="center"/>
        <w:rPr>
          <w:rFonts w:ascii="宋体" w:hAnsi="宋体"/>
          <w:b/>
          <w:color w:val="auto"/>
          <w:sz w:val="44"/>
          <w:szCs w:val="28"/>
        </w:rPr>
      </w:pPr>
      <w:r>
        <w:rPr>
          <w:rFonts w:hint="eastAsia" w:ascii="宋体" w:hAnsi="宋体"/>
          <w:b/>
          <w:color w:val="auto"/>
          <w:sz w:val="44"/>
          <w:szCs w:val="28"/>
        </w:rPr>
        <w:t>环评委托书</w:t>
      </w:r>
    </w:p>
    <w:p w14:paraId="4E62CC69">
      <w:pPr>
        <w:shd w:val="clear" w:color="auto" w:fill="auto"/>
        <w:jc w:val="center"/>
        <w:rPr>
          <w:rFonts w:ascii="宋体" w:hAnsi="宋体"/>
          <w:b/>
          <w:color w:val="auto"/>
          <w:sz w:val="44"/>
          <w:szCs w:val="28"/>
        </w:rPr>
      </w:pPr>
    </w:p>
    <w:p w14:paraId="568E4962">
      <w:pPr>
        <w:shd w:val="clear" w:color="auto" w:fill="auto"/>
        <w:adjustRightInd w:val="0"/>
        <w:spacing w:line="360" w:lineRule="auto"/>
        <w:ind w:firstLine="560" w:firstLineChars="200"/>
        <w:rPr>
          <w:rFonts w:hAnsi="宋体"/>
          <w:color w:val="auto"/>
          <w:sz w:val="28"/>
          <w:szCs w:val="28"/>
        </w:rPr>
      </w:pPr>
      <w:r>
        <w:rPr>
          <w:rFonts w:hint="eastAsia"/>
          <w:color w:val="auto"/>
          <w:sz w:val="28"/>
          <w:szCs w:val="28"/>
          <w:u w:val="single"/>
          <w:lang w:eastAsia="zh-CN"/>
        </w:rPr>
        <w:t>淄博奢瓷装饰材料技术有限公司</w:t>
      </w:r>
      <w:r>
        <w:rPr>
          <w:rFonts w:hAnsi="宋体"/>
          <w:color w:val="auto"/>
          <w:sz w:val="28"/>
          <w:szCs w:val="28"/>
        </w:rPr>
        <w:t>（委托方）于</w:t>
      </w:r>
      <w:r>
        <w:rPr>
          <w:rFonts w:hAnsi="宋体"/>
          <w:color w:val="auto"/>
          <w:sz w:val="28"/>
          <w:szCs w:val="28"/>
          <w:u w:val="single"/>
        </w:rPr>
        <w:t xml:space="preserve"> 20</w:t>
      </w:r>
      <w:r>
        <w:rPr>
          <w:rFonts w:hint="eastAsia" w:hAnsi="宋体"/>
          <w:color w:val="auto"/>
          <w:sz w:val="28"/>
          <w:szCs w:val="28"/>
          <w:u w:val="single"/>
        </w:rPr>
        <w:t>2</w:t>
      </w:r>
      <w:r>
        <w:rPr>
          <w:rFonts w:hint="eastAsia" w:hAnsi="宋体"/>
          <w:color w:val="auto"/>
          <w:sz w:val="28"/>
          <w:szCs w:val="28"/>
          <w:u w:val="single"/>
          <w:lang w:val="en-US" w:eastAsia="zh-CN"/>
        </w:rPr>
        <w:t>6</w:t>
      </w:r>
      <w:r>
        <w:rPr>
          <w:rFonts w:hAnsi="宋体"/>
          <w:color w:val="auto"/>
          <w:sz w:val="28"/>
          <w:szCs w:val="28"/>
          <w:u w:val="single"/>
        </w:rPr>
        <w:t xml:space="preserve"> </w:t>
      </w:r>
      <w:r>
        <w:rPr>
          <w:rFonts w:hAnsi="宋体"/>
          <w:color w:val="auto"/>
          <w:sz w:val="28"/>
          <w:szCs w:val="28"/>
        </w:rPr>
        <w:t>年</w:t>
      </w:r>
      <w:r>
        <w:rPr>
          <w:rFonts w:hAnsi="宋体"/>
          <w:color w:val="auto"/>
          <w:sz w:val="28"/>
          <w:szCs w:val="28"/>
          <w:u w:val="single"/>
        </w:rPr>
        <w:t xml:space="preserve"> </w:t>
      </w:r>
      <w:r>
        <w:rPr>
          <w:rFonts w:hint="eastAsia" w:hAnsi="宋体"/>
          <w:color w:val="auto"/>
          <w:sz w:val="28"/>
          <w:szCs w:val="28"/>
          <w:u w:val="single"/>
          <w:lang w:val="en-US" w:eastAsia="zh-CN"/>
        </w:rPr>
        <w:t>1</w:t>
      </w:r>
      <w:r>
        <w:rPr>
          <w:rFonts w:hAnsi="宋体"/>
          <w:color w:val="auto"/>
          <w:sz w:val="28"/>
          <w:szCs w:val="28"/>
          <w:u w:val="single"/>
        </w:rPr>
        <w:t xml:space="preserve"> </w:t>
      </w:r>
      <w:r>
        <w:rPr>
          <w:rFonts w:hint="eastAsia" w:hAnsi="宋体"/>
          <w:color w:val="auto"/>
          <w:sz w:val="28"/>
          <w:szCs w:val="28"/>
        </w:rPr>
        <w:t>月</w:t>
      </w:r>
      <w:r>
        <w:rPr>
          <w:rFonts w:hAnsi="宋体"/>
          <w:color w:val="auto"/>
          <w:sz w:val="28"/>
          <w:szCs w:val="28"/>
          <w:u w:val="single"/>
        </w:rPr>
        <w:t xml:space="preserve"> </w:t>
      </w:r>
      <w:r>
        <w:rPr>
          <w:rFonts w:hint="eastAsia" w:hAnsi="宋体"/>
          <w:color w:val="auto"/>
          <w:sz w:val="28"/>
          <w:szCs w:val="28"/>
          <w:u w:val="single"/>
          <w:lang w:val="en-US" w:eastAsia="zh-CN"/>
        </w:rPr>
        <w:t>4</w:t>
      </w:r>
      <w:r>
        <w:rPr>
          <w:rFonts w:hAnsi="宋体"/>
          <w:color w:val="auto"/>
          <w:sz w:val="28"/>
          <w:szCs w:val="28"/>
        </w:rPr>
        <w:t>日委托</w:t>
      </w:r>
      <w:r>
        <w:rPr>
          <w:rFonts w:hint="eastAsia" w:ascii="宋体" w:hAnsi="宋体"/>
          <w:color w:val="auto"/>
          <w:sz w:val="28"/>
          <w:szCs w:val="28"/>
          <w:lang w:eastAsia="zh-CN"/>
        </w:rPr>
        <w:t>山东鲁蒙环境</w:t>
      </w:r>
      <w:r>
        <w:rPr>
          <w:rFonts w:hint="eastAsia" w:ascii="宋体" w:hAnsi="宋体"/>
          <w:color w:val="auto"/>
          <w:sz w:val="28"/>
          <w:szCs w:val="28"/>
        </w:rPr>
        <w:t>服务有限公司</w:t>
      </w:r>
      <w:r>
        <w:rPr>
          <w:rFonts w:hAnsi="宋体"/>
          <w:color w:val="auto"/>
          <w:sz w:val="28"/>
          <w:szCs w:val="28"/>
        </w:rPr>
        <w:t>（受托方）开展</w:t>
      </w:r>
      <w:r>
        <w:rPr>
          <w:rFonts w:hint="eastAsia" w:ascii="Calibri" w:hAnsi="宋体" w:eastAsia="宋体" w:cs="Calibri"/>
          <w:color w:val="auto"/>
          <w:sz w:val="28"/>
          <w:szCs w:val="28"/>
          <w:u w:val="single"/>
          <w:lang w:eastAsia="zh-CN"/>
        </w:rPr>
        <w:t>高性能抛光粉体项目</w:t>
      </w:r>
      <w:r>
        <w:rPr>
          <w:rFonts w:ascii="Calibri" w:hAnsi="宋体" w:eastAsia="宋体" w:cs="Calibri"/>
          <w:color w:val="auto"/>
          <w:sz w:val="28"/>
          <w:szCs w:val="28"/>
        </w:rPr>
        <w:t>的</w:t>
      </w:r>
      <w:r>
        <w:rPr>
          <w:rFonts w:hAnsi="宋体"/>
          <w:color w:val="auto"/>
          <w:sz w:val="28"/>
          <w:szCs w:val="28"/>
        </w:rPr>
        <w:t>环境影响评价工作，</w:t>
      </w:r>
      <w:r>
        <w:rPr>
          <w:rFonts w:hint="eastAsia" w:ascii="宋体" w:hAnsi="宋体"/>
          <w:color w:val="auto"/>
          <w:sz w:val="28"/>
          <w:szCs w:val="28"/>
          <w:lang w:eastAsia="zh-CN"/>
        </w:rPr>
        <w:t>山东鲁蒙环境</w:t>
      </w:r>
      <w:r>
        <w:rPr>
          <w:rFonts w:hint="eastAsia" w:ascii="宋体" w:hAnsi="宋体"/>
          <w:color w:val="auto"/>
          <w:sz w:val="28"/>
          <w:szCs w:val="28"/>
        </w:rPr>
        <w:t>服务有限公司</w:t>
      </w:r>
      <w:r>
        <w:rPr>
          <w:rFonts w:hAnsi="宋体"/>
          <w:color w:val="auto"/>
          <w:sz w:val="28"/>
          <w:szCs w:val="28"/>
        </w:rPr>
        <w:t>以此作为开展环境影响评价工作的依据。</w:t>
      </w:r>
    </w:p>
    <w:p w14:paraId="4029FA85">
      <w:pPr>
        <w:shd w:val="clear" w:color="auto" w:fill="auto"/>
        <w:snapToGrid w:val="0"/>
        <w:spacing w:line="360" w:lineRule="auto"/>
        <w:ind w:firstLine="560" w:firstLineChars="200"/>
        <w:rPr>
          <w:color w:val="auto"/>
          <w:sz w:val="28"/>
          <w:szCs w:val="28"/>
        </w:rPr>
      </w:pPr>
    </w:p>
    <w:p w14:paraId="47C88D18">
      <w:pPr>
        <w:shd w:val="clear" w:color="auto" w:fill="auto"/>
        <w:snapToGrid w:val="0"/>
        <w:spacing w:line="360" w:lineRule="auto"/>
        <w:ind w:firstLine="560" w:firstLineChars="200"/>
        <w:rPr>
          <w:color w:val="auto"/>
          <w:sz w:val="28"/>
          <w:szCs w:val="28"/>
        </w:rPr>
      </w:pPr>
    </w:p>
    <w:p w14:paraId="25EC59B9">
      <w:pPr>
        <w:shd w:val="clear" w:color="auto" w:fill="auto"/>
        <w:snapToGrid w:val="0"/>
        <w:spacing w:line="360" w:lineRule="auto"/>
        <w:ind w:firstLine="560" w:firstLineChars="200"/>
        <w:rPr>
          <w:color w:val="auto"/>
          <w:sz w:val="28"/>
          <w:szCs w:val="28"/>
        </w:rPr>
      </w:pPr>
      <w:r>
        <w:rPr>
          <w:rFonts w:hAnsi="宋体"/>
          <w:color w:val="auto"/>
          <w:sz w:val="28"/>
          <w:szCs w:val="28"/>
        </w:rPr>
        <w:t>本委托书自委托之日起生效。</w:t>
      </w:r>
    </w:p>
    <w:p w14:paraId="65466288">
      <w:pPr>
        <w:shd w:val="clear" w:color="auto" w:fill="auto"/>
        <w:snapToGrid w:val="0"/>
        <w:spacing w:line="360" w:lineRule="auto"/>
        <w:ind w:right="600"/>
        <w:jc w:val="center"/>
        <w:rPr>
          <w:color w:val="auto"/>
          <w:sz w:val="28"/>
          <w:szCs w:val="28"/>
        </w:rPr>
      </w:pPr>
    </w:p>
    <w:p w14:paraId="08A6EBFF">
      <w:pPr>
        <w:shd w:val="clear" w:color="auto" w:fill="auto"/>
        <w:snapToGrid w:val="0"/>
        <w:spacing w:line="360" w:lineRule="auto"/>
        <w:ind w:right="600"/>
        <w:jc w:val="center"/>
        <w:rPr>
          <w:color w:val="auto"/>
          <w:sz w:val="28"/>
          <w:szCs w:val="28"/>
        </w:rPr>
      </w:pPr>
    </w:p>
    <w:p w14:paraId="73CA7BEF">
      <w:pPr>
        <w:shd w:val="clear" w:color="auto" w:fill="auto"/>
        <w:snapToGrid w:val="0"/>
        <w:spacing w:line="360" w:lineRule="auto"/>
        <w:ind w:right="600"/>
        <w:jc w:val="center"/>
        <w:rPr>
          <w:color w:val="auto"/>
          <w:sz w:val="28"/>
          <w:szCs w:val="28"/>
        </w:rPr>
      </w:pPr>
    </w:p>
    <w:p w14:paraId="513F32A4">
      <w:pPr>
        <w:shd w:val="clear" w:color="auto" w:fill="auto"/>
        <w:snapToGrid w:val="0"/>
        <w:spacing w:line="360" w:lineRule="auto"/>
        <w:ind w:right="600"/>
        <w:jc w:val="center"/>
        <w:rPr>
          <w:color w:val="auto"/>
          <w:sz w:val="28"/>
          <w:szCs w:val="28"/>
        </w:rPr>
      </w:pPr>
    </w:p>
    <w:p w14:paraId="526B7C52">
      <w:pPr>
        <w:shd w:val="clear" w:color="auto" w:fill="auto"/>
        <w:snapToGrid w:val="0"/>
        <w:spacing w:line="360" w:lineRule="auto"/>
        <w:ind w:right="600"/>
        <w:jc w:val="center"/>
        <w:rPr>
          <w:color w:val="auto"/>
          <w:sz w:val="28"/>
          <w:szCs w:val="28"/>
        </w:rPr>
      </w:pPr>
    </w:p>
    <w:p w14:paraId="7BA84BF0">
      <w:pPr>
        <w:shd w:val="clear" w:color="auto" w:fill="auto"/>
        <w:snapToGrid w:val="0"/>
        <w:spacing w:line="360" w:lineRule="auto"/>
        <w:ind w:right="600"/>
        <w:jc w:val="center"/>
        <w:rPr>
          <w:color w:val="auto"/>
          <w:sz w:val="28"/>
          <w:szCs w:val="28"/>
        </w:rPr>
      </w:pPr>
    </w:p>
    <w:p w14:paraId="0BDB9048">
      <w:pPr>
        <w:shd w:val="clear" w:color="auto" w:fill="auto"/>
        <w:snapToGrid w:val="0"/>
        <w:spacing w:line="360" w:lineRule="auto"/>
        <w:ind w:right="600"/>
        <w:jc w:val="center"/>
        <w:rPr>
          <w:color w:val="auto"/>
          <w:sz w:val="28"/>
          <w:szCs w:val="28"/>
        </w:rPr>
      </w:pPr>
    </w:p>
    <w:p w14:paraId="692B2B5F">
      <w:pPr>
        <w:shd w:val="clear" w:color="auto" w:fill="auto"/>
        <w:snapToGrid w:val="0"/>
        <w:spacing w:line="360" w:lineRule="auto"/>
        <w:ind w:right="600"/>
        <w:jc w:val="right"/>
        <w:rPr>
          <w:color w:val="auto"/>
          <w:sz w:val="28"/>
          <w:szCs w:val="28"/>
          <w:u w:val="none"/>
        </w:rPr>
      </w:pPr>
      <w:r>
        <w:rPr>
          <w:rFonts w:hint="eastAsia"/>
          <w:color w:val="auto"/>
          <w:sz w:val="28"/>
          <w:szCs w:val="28"/>
        </w:rPr>
        <w:t xml:space="preserve">          </w:t>
      </w:r>
      <w:r>
        <w:rPr>
          <w:rFonts w:hint="eastAsia"/>
          <w:color w:val="auto"/>
          <w:sz w:val="28"/>
          <w:szCs w:val="28"/>
          <w:lang w:val="en-US" w:eastAsia="zh-CN"/>
        </w:rPr>
        <w:t xml:space="preserve">   </w:t>
      </w:r>
      <w:r>
        <w:rPr>
          <w:rFonts w:hint="eastAsia"/>
          <w:color w:val="auto"/>
          <w:sz w:val="28"/>
          <w:szCs w:val="28"/>
        </w:rPr>
        <w:t xml:space="preserve"> </w:t>
      </w:r>
      <w:r>
        <w:rPr>
          <w:rFonts w:hint="eastAsia"/>
          <w:color w:val="auto"/>
          <w:sz w:val="28"/>
          <w:szCs w:val="28"/>
          <w:lang w:val="en-US" w:eastAsia="zh-CN"/>
        </w:rPr>
        <w:t xml:space="preserve">             </w:t>
      </w:r>
      <w:r>
        <w:rPr>
          <w:rFonts w:hint="eastAsia"/>
          <w:color w:val="auto"/>
          <w:sz w:val="28"/>
          <w:szCs w:val="28"/>
          <w:u w:val="none"/>
          <w:lang w:eastAsia="zh-CN"/>
        </w:rPr>
        <w:t>淄博奢瓷装饰材料技术有限公司</w:t>
      </w:r>
    </w:p>
    <w:p w14:paraId="70965677">
      <w:pPr>
        <w:shd w:val="clear" w:color="auto" w:fill="auto"/>
        <w:jc w:val="center"/>
        <w:rPr>
          <w:rFonts w:hAnsi="宋体"/>
          <w:color w:val="auto"/>
          <w:sz w:val="28"/>
          <w:szCs w:val="28"/>
          <w:u w:val="none"/>
        </w:rPr>
      </w:pPr>
      <w:r>
        <w:rPr>
          <w:rFonts w:hint="eastAsia" w:hAnsi="宋体"/>
          <w:color w:val="auto"/>
          <w:sz w:val="28"/>
          <w:szCs w:val="28"/>
          <w:u w:val="none"/>
          <w:lang w:val="en-US" w:eastAsia="zh-CN"/>
        </w:rPr>
        <w:t xml:space="preserve">                         </w:t>
      </w:r>
      <w:r>
        <w:rPr>
          <w:rFonts w:hAnsi="宋体"/>
          <w:color w:val="auto"/>
          <w:sz w:val="28"/>
          <w:szCs w:val="28"/>
          <w:u w:val="none"/>
        </w:rPr>
        <w:t xml:space="preserve"> </w:t>
      </w:r>
      <w:r>
        <w:rPr>
          <w:rFonts w:hint="eastAsia" w:hAnsi="宋体"/>
          <w:color w:val="auto"/>
          <w:sz w:val="28"/>
          <w:szCs w:val="28"/>
          <w:u w:val="none"/>
          <w:lang w:val="en-US" w:eastAsia="zh-CN"/>
        </w:rPr>
        <w:t xml:space="preserve">    </w:t>
      </w:r>
      <w:r>
        <w:rPr>
          <w:rFonts w:hAnsi="宋体"/>
          <w:color w:val="auto"/>
          <w:sz w:val="28"/>
          <w:szCs w:val="28"/>
          <w:u w:val="none"/>
        </w:rPr>
        <w:t>20</w:t>
      </w:r>
      <w:r>
        <w:rPr>
          <w:rFonts w:hint="eastAsia" w:hAnsi="宋体"/>
          <w:color w:val="auto"/>
          <w:sz w:val="28"/>
          <w:szCs w:val="28"/>
          <w:u w:val="none"/>
        </w:rPr>
        <w:t>2</w:t>
      </w:r>
      <w:r>
        <w:rPr>
          <w:rFonts w:hint="eastAsia" w:hAnsi="宋体"/>
          <w:color w:val="auto"/>
          <w:sz w:val="28"/>
          <w:szCs w:val="28"/>
          <w:u w:val="none"/>
          <w:lang w:val="en-US" w:eastAsia="zh-CN"/>
        </w:rPr>
        <w:t>6</w:t>
      </w:r>
      <w:r>
        <w:rPr>
          <w:rFonts w:hAnsi="宋体"/>
          <w:color w:val="auto"/>
          <w:sz w:val="28"/>
          <w:szCs w:val="28"/>
          <w:u w:val="none"/>
        </w:rPr>
        <w:t xml:space="preserve"> 年</w:t>
      </w:r>
      <w:r>
        <w:rPr>
          <w:rFonts w:hint="eastAsia" w:hAnsi="宋体"/>
          <w:color w:val="auto"/>
          <w:sz w:val="28"/>
          <w:szCs w:val="28"/>
          <w:u w:val="none"/>
        </w:rPr>
        <w:t xml:space="preserve"> </w:t>
      </w:r>
      <w:r>
        <w:rPr>
          <w:rFonts w:hint="eastAsia" w:hAnsi="宋体"/>
          <w:color w:val="auto"/>
          <w:sz w:val="28"/>
          <w:szCs w:val="28"/>
          <w:u w:val="none"/>
          <w:lang w:val="en-US" w:eastAsia="zh-CN"/>
        </w:rPr>
        <w:t>1</w:t>
      </w:r>
      <w:r>
        <w:rPr>
          <w:rFonts w:hint="eastAsia" w:hAnsi="宋体"/>
          <w:color w:val="auto"/>
          <w:sz w:val="28"/>
          <w:szCs w:val="28"/>
          <w:u w:val="none"/>
        </w:rPr>
        <w:t xml:space="preserve">月 </w:t>
      </w:r>
      <w:r>
        <w:rPr>
          <w:rFonts w:hint="eastAsia" w:hAnsi="宋体"/>
          <w:color w:val="auto"/>
          <w:sz w:val="28"/>
          <w:szCs w:val="28"/>
          <w:u w:val="none"/>
          <w:lang w:val="en-US" w:eastAsia="zh-CN"/>
        </w:rPr>
        <w:t>4</w:t>
      </w:r>
      <w:r>
        <w:rPr>
          <w:rFonts w:hAnsi="宋体"/>
          <w:color w:val="auto"/>
          <w:sz w:val="28"/>
          <w:szCs w:val="28"/>
          <w:u w:val="none"/>
        </w:rPr>
        <w:t>日</w:t>
      </w:r>
      <w:r>
        <w:rPr>
          <w:color w:val="auto"/>
          <w:sz w:val="28"/>
          <w:szCs w:val="28"/>
          <w:u w:val="none"/>
        </w:rPr>
        <w:t xml:space="preserve"> </w:t>
      </w:r>
    </w:p>
    <w:p w14:paraId="27F5F630">
      <w:pPr>
        <w:shd w:val="clear" w:color="auto" w:fill="auto"/>
        <w:jc w:val="center"/>
        <w:rPr>
          <w:rFonts w:hint="eastAsia"/>
          <w:color w:val="auto"/>
        </w:rPr>
      </w:pPr>
    </w:p>
    <w:p w14:paraId="1BD79C51">
      <w:pPr>
        <w:shd w:val="clear" w:color="auto" w:fill="auto"/>
        <w:rPr>
          <w:color w:val="auto"/>
        </w:rPr>
      </w:pPr>
    </w:p>
    <w:p w14:paraId="76412161">
      <w:pPr>
        <w:shd w:val="clear" w:color="auto" w:fill="auto"/>
        <w:rPr>
          <w:color w:val="auto"/>
        </w:rPr>
      </w:pPr>
    </w:p>
    <w:p w14:paraId="7C769AAE">
      <w:pPr>
        <w:shd w:val="clear" w:color="auto" w:fill="auto"/>
        <w:rPr>
          <w:color w:val="auto"/>
        </w:rPr>
      </w:pPr>
    </w:p>
    <w:p w14:paraId="43ACC83A">
      <w:pPr>
        <w:shd w:val="clear" w:color="auto" w:fill="auto"/>
        <w:rPr>
          <w:color w:val="auto"/>
        </w:rPr>
      </w:pPr>
    </w:p>
    <w:p w14:paraId="0818D47C">
      <w:pPr>
        <w:shd w:val="clear" w:color="auto" w:fill="auto"/>
        <w:rPr>
          <w:color w:val="auto"/>
        </w:rPr>
      </w:pPr>
    </w:p>
    <w:p w14:paraId="27FA83CD">
      <w:pPr>
        <w:shd w:val="clear" w:color="auto" w:fill="auto"/>
        <w:rPr>
          <w:color w:val="auto"/>
        </w:rPr>
      </w:pPr>
    </w:p>
    <w:p w14:paraId="431472A4">
      <w:pPr>
        <w:shd w:val="clear" w:color="auto" w:fill="auto"/>
        <w:rPr>
          <w:color w:val="auto"/>
        </w:rPr>
      </w:pPr>
    </w:p>
    <w:p w14:paraId="424ADFE9">
      <w:pPr>
        <w:shd w:val="clear" w:color="auto" w:fill="auto"/>
        <w:rPr>
          <w:color w:val="auto"/>
        </w:rPr>
      </w:pPr>
    </w:p>
    <w:p w14:paraId="339DA253">
      <w:pPr>
        <w:shd w:val="clear" w:color="auto" w:fill="auto"/>
        <w:rPr>
          <w:color w:val="auto"/>
        </w:rPr>
      </w:pPr>
    </w:p>
    <w:p w14:paraId="53DB6E86">
      <w:pPr>
        <w:keepNext w:val="0"/>
        <w:keepLines w:val="0"/>
        <w:widowControl w:val="0"/>
        <w:suppressLineNumbers w:val="0"/>
        <w:shd w:val="clear" w:color="auto" w:fill="auto"/>
        <w:spacing w:before="0" w:beforeAutospacing="0" w:after="0" w:afterAutospacing="0" w:line="480" w:lineRule="auto"/>
        <w:ind w:right="0"/>
        <w:jc w:val="both"/>
        <w:rPr>
          <w:rFonts w:hint="default" w:ascii="Times New Roman" w:hAnsi="Times New Roman" w:eastAsia="宋体" w:cs="宋体"/>
          <w:b/>
          <w:bCs/>
          <w:color w:val="auto"/>
          <w:kern w:val="24"/>
          <w:sz w:val="28"/>
          <w:szCs w:val="28"/>
          <w:lang w:val="en-US" w:eastAsia="zh-CN" w:bidi="ar"/>
        </w:rPr>
      </w:pPr>
      <w:r>
        <w:rPr>
          <w:rFonts w:hint="eastAsia" w:ascii="Times New Roman" w:hAnsi="Times New Roman" w:eastAsia="宋体" w:cs="宋体"/>
          <w:b/>
          <w:bCs/>
          <w:color w:val="auto"/>
          <w:kern w:val="24"/>
          <w:sz w:val="28"/>
          <w:szCs w:val="28"/>
          <w:lang w:val="en-US" w:eastAsia="zh-CN" w:bidi="ar"/>
        </w:rPr>
        <w:t>附件2：资料真实性承诺书</w:t>
      </w:r>
    </w:p>
    <w:p w14:paraId="0EE4E8BE">
      <w:pPr>
        <w:shd w:val="clear" w:color="auto" w:fill="auto"/>
        <w:rPr>
          <w:color w:val="auto"/>
        </w:rPr>
      </w:pPr>
    </w:p>
    <w:p w14:paraId="7867E8AE">
      <w:pPr>
        <w:keepNext w:val="0"/>
        <w:keepLines w:val="0"/>
        <w:widowControl w:val="0"/>
        <w:suppressLineNumbers w:val="0"/>
        <w:shd w:val="clear" w:color="auto" w:fill="auto"/>
        <w:spacing w:before="0" w:beforeAutospacing="0" w:after="0" w:afterAutospacing="0"/>
        <w:ind w:left="0" w:right="0"/>
        <w:jc w:val="center"/>
        <w:rPr>
          <w:b/>
          <w:color w:val="auto"/>
          <w:sz w:val="48"/>
          <w:szCs w:val="48"/>
          <w:lang w:val="en-US"/>
        </w:rPr>
      </w:pPr>
      <w:r>
        <w:rPr>
          <w:rFonts w:hint="eastAsia" w:ascii="Times New Roman" w:hAnsi="Times New Roman" w:eastAsia="宋体" w:cs="宋体"/>
          <w:b/>
          <w:color w:val="auto"/>
          <w:kern w:val="2"/>
          <w:sz w:val="48"/>
          <w:szCs w:val="48"/>
          <w:lang w:val="en-US" w:eastAsia="zh-CN" w:bidi="ar"/>
        </w:rPr>
        <w:t>资料真实性承诺书</w:t>
      </w:r>
    </w:p>
    <w:p w14:paraId="248438F1">
      <w:pPr>
        <w:keepNext w:val="0"/>
        <w:keepLines w:val="0"/>
        <w:widowControl w:val="0"/>
        <w:suppressLineNumbers w:val="0"/>
        <w:shd w:val="clear" w:color="auto" w:fill="auto"/>
        <w:spacing w:before="0" w:beforeAutospacing="0" w:after="0" w:afterAutospacing="0"/>
        <w:ind w:left="0" w:right="0"/>
        <w:jc w:val="center"/>
        <w:rPr>
          <w:b/>
          <w:color w:val="auto"/>
          <w:sz w:val="48"/>
          <w:szCs w:val="48"/>
          <w:lang w:val="en-US"/>
        </w:rPr>
      </w:pPr>
    </w:p>
    <w:p w14:paraId="498A935F">
      <w:pPr>
        <w:keepNext w:val="0"/>
        <w:keepLines w:val="0"/>
        <w:widowControl w:val="0"/>
        <w:suppressLineNumbers w:val="0"/>
        <w:shd w:val="clear" w:color="auto" w:fill="auto"/>
        <w:spacing w:before="0" w:beforeAutospacing="0" w:after="0" w:afterAutospacing="0"/>
        <w:ind w:left="0" w:right="0"/>
        <w:jc w:val="center"/>
        <w:rPr>
          <w:b/>
          <w:color w:val="auto"/>
          <w:sz w:val="48"/>
          <w:szCs w:val="48"/>
          <w:lang w:val="en-US"/>
        </w:rPr>
      </w:pPr>
    </w:p>
    <w:p w14:paraId="4CAB851E">
      <w:pPr>
        <w:keepNext w:val="0"/>
        <w:keepLines w:val="0"/>
        <w:widowControl w:val="0"/>
        <w:suppressLineNumbers w:val="0"/>
        <w:shd w:val="clear" w:color="auto" w:fill="auto"/>
        <w:spacing w:before="0" w:beforeAutospacing="0" w:after="0" w:afterAutospacing="0" w:line="480" w:lineRule="auto"/>
        <w:ind w:left="0" w:right="0" w:firstLine="560" w:firstLineChars="200"/>
        <w:jc w:val="both"/>
        <w:rPr>
          <w:color w:val="auto"/>
          <w:kern w:val="24"/>
          <w:sz w:val="28"/>
          <w:szCs w:val="28"/>
          <w:lang w:val="en-US"/>
        </w:rPr>
      </w:pPr>
      <w:r>
        <w:rPr>
          <w:rFonts w:hint="eastAsia" w:ascii="Times New Roman" w:hAnsi="Times New Roman" w:eastAsia="宋体" w:cs="宋体"/>
          <w:color w:val="auto"/>
          <w:kern w:val="24"/>
          <w:sz w:val="28"/>
          <w:szCs w:val="28"/>
          <w:lang w:val="en-US" w:eastAsia="zh-CN" w:bidi="ar"/>
        </w:rPr>
        <w:t>高性能抛光粉体项目环境影响评价报告表已经我单位确认，报告中所述内容与我单位建设项目一致；我单位对所提供的资料准确性和真实性完全负责，如存在隐瞒和假报等情况及由此引发的一切后果，我单位负全部法律责任。</w:t>
      </w:r>
    </w:p>
    <w:p w14:paraId="2086F6AA">
      <w:pPr>
        <w:keepNext w:val="0"/>
        <w:keepLines w:val="0"/>
        <w:widowControl w:val="0"/>
        <w:suppressLineNumbers w:val="0"/>
        <w:shd w:val="clear" w:color="auto" w:fill="auto"/>
        <w:spacing w:before="0" w:beforeAutospacing="0" w:after="0" w:afterAutospacing="0"/>
        <w:ind w:left="0" w:right="0"/>
        <w:jc w:val="center"/>
        <w:rPr>
          <w:color w:val="auto"/>
          <w:kern w:val="24"/>
          <w:sz w:val="28"/>
          <w:szCs w:val="28"/>
          <w:lang w:val="en-US"/>
        </w:rPr>
      </w:pPr>
    </w:p>
    <w:p w14:paraId="7EE17779">
      <w:pPr>
        <w:keepNext w:val="0"/>
        <w:keepLines w:val="0"/>
        <w:widowControl w:val="0"/>
        <w:suppressLineNumbers w:val="0"/>
        <w:shd w:val="clear" w:color="auto" w:fill="auto"/>
        <w:spacing w:before="0" w:beforeAutospacing="0" w:after="0" w:afterAutospacing="0"/>
        <w:ind w:left="0" w:right="0"/>
        <w:jc w:val="center"/>
        <w:rPr>
          <w:color w:val="auto"/>
          <w:kern w:val="24"/>
          <w:sz w:val="28"/>
          <w:szCs w:val="28"/>
          <w:lang w:val="en-US"/>
        </w:rPr>
      </w:pPr>
    </w:p>
    <w:p w14:paraId="346609C3">
      <w:pPr>
        <w:keepNext w:val="0"/>
        <w:keepLines w:val="0"/>
        <w:widowControl w:val="0"/>
        <w:suppressLineNumbers w:val="0"/>
        <w:shd w:val="clear" w:color="auto" w:fill="auto"/>
        <w:spacing w:before="0" w:beforeAutospacing="0" w:after="0" w:afterAutospacing="0"/>
        <w:ind w:left="0" w:right="0"/>
        <w:jc w:val="right"/>
        <w:rPr>
          <w:color w:val="auto"/>
          <w:kern w:val="24"/>
          <w:sz w:val="28"/>
          <w:szCs w:val="28"/>
          <w:lang w:val="en-US"/>
        </w:rPr>
      </w:pPr>
    </w:p>
    <w:p w14:paraId="060D1904">
      <w:pPr>
        <w:keepNext w:val="0"/>
        <w:keepLines w:val="0"/>
        <w:widowControl w:val="0"/>
        <w:suppressLineNumbers w:val="0"/>
        <w:shd w:val="clear" w:color="auto" w:fill="auto"/>
        <w:spacing w:before="0" w:beforeAutospacing="0" w:after="0" w:afterAutospacing="0"/>
        <w:ind w:left="0" w:right="0"/>
        <w:jc w:val="right"/>
        <w:rPr>
          <w:color w:val="auto"/>
          <w:kern w:val="24"/>
          <w:sz w:val="28"/>
          <w:szCs w:val="28"/>
          <w:lang w:val="en-US"/>
        </w:rPr>
      </w:pPr>
    </w:p>
    <w:p w14:paraId="04E848A2">
      <w:pPr>
        <w:keepNext w:val="0"/>
        <w:keepLines w:val="0"/>
        <w:widowControl w:val="0"/>
        <w:suppressLineNumbers w:val="0"/>
        <w:shd w:val="clear" w:color="auto" w:fill="auto"/>
        <w:spacing w:before="0" w:beforeAutospacing="0" w:after="0" w:afterAutospacing="0"/>
        <w:ind w:left="0" w:right="0"/>
        <w:jc w:val="right"/>
        <w:rPr>
          <w:color w:val="auto"/>
          <w:kern w:val="24"/>
          <w:sz w:val="28"/>
          <w:szCs w:val="28"/>
          <w:lang w:val="en-US"/>
        </w:rPr>
      </w:pPr>
    </w:p>
    <w:p w14:paraId="60605E05">
      <w:pPr>
        <w:keepNext w:val="0"/>
        <w:keepLines w:val="0"/>
        <w:widowControl w:val="0"/>
        <w:suppressLineNumbers w:val="0"/>
        <w:shd w:val="clear" w:color="auto" w:fill="auto"/>
        <w:spacing w:before="0" w:beforeAutospacing="0" w:after="0" w:afterAutospacing="0"/>
        <w:ind w:left="0" w:right="0"/>
        <w:jc w:val="right"/>
        <w:rPr>
          <w:color w:val="auto"/>
          <w:kern w:val="24"/>
          <w:sz w:val="28"/>
          <w:szCs w:val="28"/>
          <w:lang w:val="en-US"/>
        </w:rPr>
      </w:pPr>
    </w:p>
    <w:p w14:paraId="0A4FC78E">
      <w:pPr>
        <w:keepNext w:val="0"/>
        <w:keepLines w:val="0"/>
        <w:widowControl w:val="0"/>
        <w:suppressLineNumbers w:val="0"/>
        <w:shd w:val="clear" w:color="auto" w:fill="auto"/>
        <w:spacing w:before="0" w:beforeAutospacing="0" w:after="0" w:afterAutospacing="0"/>
        <w:ind w:left="0" w:right="0"/>
        <w:jc w:val="right"/>
        <w:rPr>
          <w:color w:val="auto"/>
          <w:kern w:val="24"/>
          <w:sz w:val="28"/>
          <w:szCs w:val="28"/>
          <w:lang w:val="en-US"/>
        </w:rPr>
      </w:pPr>
    </w:p>
    <w:p w14:paraId="458E1670">
      <w:pPr>
        <w:keepNext w:val="0"/>
        <w:keepLines w:val="0"/>
        <w:widowControl w:val="0"/>
        <w:suppressLineNumbers w:val="0"/>
        <w:shd w:val="clear" w:color="auto" w:fill="auto"/>
        <w:spacing w:before="0" w:beforeAutospacing="0" w:after="0" w:afterAutospacing="0"/>
        <w:ind w:left="0" w:right="0"/>
        <w:jc w:val="right"/>
        <w:rPr>
          <w:color w:val="auto"/>
          <w:kern w:val="24"/>
          <w:sz w:val="28"/>
          <w:szCs w:val="28"/>
          <w:lang w:val="en-US"/>
        </w:rPr>
      </w:pPr>
    </w:p>
    <w:p w14:paraId="508D6E12">
      <w:pPr>
        <w:keepNext w:val="0"/>
        <w:keepLines w:val="0"/>
        <w:widowControl w:val="0"/>
        <w:suppressLineNumbers w:val="0"/>
        <w:shd w:val="clear" w:color="auto" w:fill="auto"/>
        <w:spacing w:before="0" w:beforeAutospacing="0" w:after="0" w:afterAutospacing="0"/>
        <w:ind w:left="0" w:right="0"/>
        <w:jc w:val="right"/>
        <w:rPr>
          <w:color w:val="auto"/>
          <w:kern w:val="24"/>
          <w:sz w:val="28"/>
          <w:szCs w:val="28"/>
          <w:lang w:val="en-US"/>
        </w:rPr>
      </w:pPr>
    </w:p>
    <w:p w14:paraId="69E494B7">
      <w:pPr>
        <w:keepNext w:val="0"/>
        <w:keepLines w:val="0"/>
        <w:widowControl w:val="0"/>
        <w:suppressLineNumbers w:val="0"/>
        <w:shd w:val="clear" w:color="auto" w:fill="auto"/>
        <w:spacing w:before="0" w:beforeAutospacing="0" w:after="0" w:afterAutospacing="0"/>
        <w:ind w:left="0" w:right="0"/>
        <w:jc w:val="right"/>
        <w:rPr>
          <w:color w:val="auto"/>
          <w:sz w:val="28"/>
          <w:szCs w:val="28"/>
          <w:lang w:val="en-US"/>
        </w:rPr>
      </w:pPr>
      <w:r>
        <w:rPr>
          <w:rFonts w:hint="eastAsia" w:ascii="Times New Roman" w:hAnsi="Times New Roman" w:eastAsia="宋体" w:cs="宋体"/>
          <w:color w:val="auto"/>
          <w:kern w:val="24"/>
          <w:sz w:val="28"/>
          <w:szCs w:val="28"/>
          <w:lang w:val="en-US" w:eastAsia="zh-CN" w:bidi="ar"/>
        </w:rPr>
        <w:t>企业名称：</w:t>
      </w:r>
      <w:r>
        <w:rPr>
          <w:rFonts w:hint="eastAsia" w:ascii="Times New Roman" w:hAnsi="Times New Roman" w:eastAsia="宋体" w:cs="宋体"/>
          <w:color w:val="auto"/>
          <w:kern w:val="2"/>
          <w:sz w:val="28"/>
          <w:szCs w:val="28"/>
          <w:lang w:val="en-US" w:eastAsia="zh-CN" w:bidi="ar"/>
        </w:rPr>
        <w:t>淄博奢瓷装饰材料技术有限公司</w:t>
      </w:r>
    </w:p>
    <w:p w14:paraId="2AD6BCC1">
      <w:pPr>
        <w:keepNext w:val="0"/>
        <w:keepLines w:val="0"/>
        <w:widowControl w:val="0"/>
        <w:suppressLineNumbers w:val="0"/>
        <w:shd w:val="clear" w:color="auto" w:fill="auto"/>
        <w:spacing w:before="0" w:beforeAutospacing="0" w:after="0" w:afterAutospacing="0"/>
        <w:ind w:left="0" w:right="560"/>
        <w:jc w:val="right"/>
        <w:rPr>
          <w:rFonts w:hint="eastAsia" w:ascii="Times New Roman" w:hAnsi="Times New Roman" w:eastAsia="宋体" w:cs="宋体"/>
          <w:color w:val="auto"/>
          <w:kern w:val="2"/>
          <w:sz w:val="28"/>
          <w:szCs w:val="28"/>
          <w:highlight w:val="none"/>
          <w:lang w:val="en-US" w:eastAsia="zh-CN" w:bidi="ar"/>
        </w:rPr>
        <w:sectPr>
          <w:footerReference r:id="rId7" w:type="default"/>
          <w:footerReference r:id="rId8" w:type="even"/>
          <w:pgSz w:w="11906" w:h="16838"/>
          <w:pgMar w:top="1440" w:right="1800" w:bottom="1440" w:left="1800" w:header="851" w:footer="992" w:gutter="0"/>
          <w:cols w:space="720" w:num="1"/>
          <w:docGrid w:type="lines" w:linePitch="312" w:charSpace="0"/>
        </w:sectPr>
      </w:pPr>
      <w:r>
        <w:rPr>
          <w:rFonts w:hint="default" w:ascii="Times New Roman" w:hAnsi="Times New Roman" w:eastAsia="宋体" w:cs="Times New Roman"/>
          <w:color w:val="auto"/>
          <w:kern w:val="2"/>
          <w:sz w:val="28"/>
          <w:szCs w:val="28"/>
          <w:highlight w:val="none"/>
          <w:lang w:val="en-US" w:eastAsia="zh-CN" w:bidi="ar"/>
        </w:rPr>
        <w:t>20</w:t>
      </w:r>
      <w:r>
        <w:rPr>
          <w:rFonts w:hint="eastAsia" w:ascii="Times New Roman" w:hAnsi="Times New Roman" w:eastAsia="宋体" w:cs="Times New Roman"/>
          <w:color w:val="auto"/>
          <w:kern w:val="2"/>
          <w:sz w:val="28"/>
          <w:szCs w:val="28"/>
          <w:highlight w:val="none"/>
          <w:lang w:val="en-US" w:eastAsia="zh-CN" w:bidi="ar"/>
        </w:rPr>
        <w:t>26</w:t>
      </w:r>
      <w:r>
        <w:rPr>
          <w:rFonts w:hint="eastAsia" w:ascii="Times New Roman" w:hAnsi="Times New Roman" w:eastAsia="宋体" w:cs="宋体"/>
          <w:color w:val="auto"/>
          <w:kern w:val="2"/>
          <w:sz w:val="28"/>
          <w:szCs w:val="28"/>
          <w:highlight w:val="none"/>
          <w:lang w:val="en-US" w:eastAsia="zh-CN" w:bidi="ar"/>
        </w:rPr>
        <w:t>年1月2</w:t>
      </w:r>
      <w:r>
        <w:rPr>
          <w:rFonts w:hint="eastAsia" w:cs="宋体"/>
          <w:color w:val="auto"/>
          <w:kern w:val="2"/>
          <w:sz w:val="28"/>
          <w:szCs w:val="28"/>
          <w:highlight w:val="none"/>
          <w:lang w:val="en-US" w:eastAsia="zh-CN" w:bidi="ar"/>
        </w:rPr>
        <w:t>7</w:t>
      </w:r>
      <w:r>
        <w:rPr>
          <w:rFonts w:hint="eastAsia" w:ascii="Times New Roman" w:hAnsi="Times New Roman" w:eastAsia="宋体" w:cs="宋体"/>
          <w:color w:val="auto"/>
          <w:kern w:val="2"/>
          <w:sz w:val="28"/>
          <w:szCs w:val="28"/>
          <w:highlight w:val="none"/>
          <w:lang w:val="en-US" w:eastAsia="zh-CN" w:bidi="ar"/>
        </w:rPr>
        <w:t>日</w:t>
      </w:r>
    </w:p>
    <w:p w14:paraId="2108D565">
      <w:pPr>
        <w:keepNext w:val="0"/>
        <w:keepLines w:val="0"/>
        <w:widowControl w:val="0"/>
        <w:suppressLineNumbers w:val="0"/>
        <w:shd w:val="clear" w:color="auto" w:fill="auto"/>
        <w:spacing w:before="0" w:beforeAutospacing="0" w:after="0" w:afterAutospacing="0"/>
        <w:ind w:left="0" w:right="560"/>
        <w:jc w:val="left"/>
        <w:rPr>
          <w:rFonts w:hint="eastAsia" w:ascii="Times New Roman" w:hAnsi="Times New Roman" w:eastAsia="宋体" w:cs="宋体"/>
          <w:b/>
          <w:bCs/>
          <w:color w:val="auto"/>
          <w:kern w:val="2"/>
          <w:sz w:val="28"/>
          <w:szCs w:val="28"/>
          <w:highlight w:val="none"/>
          <w:lang w:val="en-US" w:eastAsia="zh-CN" w:bidi="ar"/>
        </w:rPr>
      </w:pPr>
      <w:r>
        <w:rPr>
          <w:rFonts w:hint="eastAsia" w:ascii="Times New Roman" w:hAnsi="Times New Roman" w:eastAsia="宋体" w:cs="宋体"/>
          <w:b/>
          <w:bCs/>
          <w:color w:val="auto"/>
          <w:kern w:val="2"/>
          <w:sz w:val="28"/>
          <w:szCs w:val="28"/>
          <w:highlight w:val="none"/>
          <w:lang w:val="en-US" w:eastAsia="zh-CN" w:bidi="ar"/>
        </w:rPr>
        <w:t>附件3：备案证明</w:t>
      </w:r>
    </w:p>
    <w:p w14:paraId="3EA9A7F3">
      <w:pPr>
        <w:keepNext w:val="0"/>
        <w:keepLines w:val="0"/>
        <w:widowControl w:val="0"/>
        <w:suppressLineNumbers w:val="0"/>
        <w:shd w:val="clear" w:color="auto" w:fill="auto"/>
        <w:spacing w:before="0" w:beforeAutospacing="0" w:after="0" w:afterAutospacing="0"/>
        <w:ind w:left="0" w:right="560"/>
        <w:jc w:val="left"/>
        <w:rPr>
          <w:rFonts w:hint="eastAsia" w:ascii="Times New Roman" w:hAnsi="Times New Roman" w:eastAsia="宋体" w:cs="宋体"/>
          <w:b/>
          <w:bCs/>
          <w:color w:val="auto"/>
          <w:kern w:val="2"/>
          <w:sz w:val="28"/>
          <w:szCs w:val="28"/>
          <w:highlight w:val="none"/>
          <w:lang w:val="en-US" w:eastAsia="zh-CN" w:bidi="ar"/>
        </w:rPr>
      </w:pPr>
      <w:r>
        <w:rPr>
          <w:rFonts w:hint="eastAsia" w:ascii="Times New Roman" w:hAnsi="Times New Roman" w:eastAsia="宋体" w:cs="宋体"/>
          <w:b/>
          <w:bCs/>
          <w:color w:val="auto"/>
          <w:kern w:val="2"/>
          <w:sz w:val="28"/>
          <w:szCs w:val="28"/>
          <w:highlight w:val="none"/>
          <w:lang w:val="en-US" w:eastAsia="zh-CN" w:bidi="ar"/>
        </w:rPr>
        <w:drawing>
          <wp:inline distT="0" distB="0" distL="114300" distR="114300">
            <wp:extent cx="5274310" cy="7464425"/>
            <wp:effectExtent l="0" t="0" r="2540" b="3175"/>
            <wp:docPr id="115" name="图片 5" descr="项目备案证明_2511-370393-89-02-32369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 descr="项目备案证明_2511-370393-89-02-323699_01"/>
                    <pic:cNvPicPr>
                      <a:picLocks noChangeAspect="1"/>
                    </pic:cNvPicPr>
                  </pic:nvPicPr>
                  <pic:blipFill>
                    <a:blip r:embed="rId23"/>
                    <a:stretch>
                      <a:fillRect/>
                    </a:stretch>
                  </pic:blipFill>
                  <pic:spPr>
                    <a:xfrm>
                      <a:off x="0" y="0"/>
                      <a:ext cx="5274310" cy="7464425"/>
                    </a:xfrm>
                    <a:prstGeom prst="rect">
                      <a:avLst/>
                    </a:prstGeom>
                    <a:noFill/>
                    <a:ln>
                      <a:noFill/>
                    </a:ln>
                  </pic:spPr>
                </pic:pic>
              </a:graphicData>
            </a:graphic>
          </wp:inline>
        </w:drawing>
      </w:r>
    </w:p>
    <w:p w14:paraId="4122EA2F">
      <w:pPr>
        <w:keepNext w:val="0"/>
        <w:keepLines w:val="0"/>
        <w:widowControl w:val="0"/>
        <w:suppressLineNumbers w:val="0"/>
        <w:shd w:val="clear" w:color="auto" w:fill="auto"/>
        <w:spacing w:before="0" w:beforeAutospacing="0" w:after="0" w:afterAutospacing="0"/>
        <w:ind w:left="0" w:right="560"/>
        <w:jc w:val="left"/>
        <w:rPr>
          <w:rFonts w:hint="eastAsia" w:ascii="Times New Roman" w:hAnsi="Times New Roman" w:eastAsia="宋体" w:cs="宋体"/>
          <w:b/>
          <w:bCs/>
          <w:color w:val="auto"/>
          <w:kern w:val="2"/>
          <w:sz w:val="28"/>
          <w:szCs w:val="28"/>
          <w:highlight w:val="none"/>
          <w:lang w:val="en-US" w:eastAsia="zh-CN" w:bidi="ar"/>
        </w:rPr>
      </w:pPr>
    </w:p>
    <w:p w14:paraId="1826CDCE">
      <w:pPr>
        <w:keepNext w:val="0"/>
        <w:keepLines w:val="0"/>
        <w:widowControl w:val="0"/>
        <w:suppressLineNumbers w:val="0"/>
        <w:shd w:val="clear" w:color="auto" w:fill="auto"/>
        <w:spacing w:before="0" w:beforeAutospacing="0" w:after="0" w:afterAutospacing="0"/>
        <w:ind w:left="0" w:right="560"/>
        <w:jc w:val="left"/>
        <w:rPr>
          <w:rFonts w:hint="eastAsia" w:ascii="Times New Roman" w:hAnsi="Times New Roman" w:eastAsia="宋体" w:cs="宋体"/>
          <w:b/>
          <w:bCs/>
          <w:color w:val="auto"/>
          <w:kern w:val="2"/>
          <w:sz w:val="28"/>
          <w:szCs w:val="28"/>
          <w:highlight w:val="none"/>
          <w:lang w:val="en-US" w:eastAsia="zh-CN" w:bidi="ar"/>
        </w:rPr>
      </w:pPr>
    </w:p>
    <w:p w14:paraId="1F6E585E">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ind w:left="0" w:right="561"/>
        <w:jc w:val="left"/>
        <w:textAlignment w:val="auto"/>
        <w:rPr>
          <w:rFonts w:hint="default" w:ascii="Times New Roman" w:hAnsi="Times New Roman" w:eastAsia="宋体" w:cs="宋体"/>
          <w:b/>
          <w:bCs/>
          <w:color w:val="auto"/>
          <w:kern w:val="2"/>
          <w:sz w:val="28"/>
          <w:szCs w:val="28"/>
          <w:highlight w:val="none"/>
          <w:lang w:val="en-US" w:eastAsia="zh-CN" w:bidi="ar"/>
        </w:rPr>
      </w:pPr>
      <w:r>
        <w:rPr>
          <w:rFonts w:hint="eastAsia" w:ascii="Times New Roman" w:hAnsi="Times New Roman" w:eastAsia="宋体" w:cs="宋体"/>
          <w:b/>
          <w:bCs/>
          <w:color w:val="auto"/>
          <w:kern w:val="2"/>
          <w:sz w:val="28"/>
          <w:szCs w:val="28"/>
          <w:highlight w:val="none"/>
          <w:lang w:val="en-US" w:eastAsia="zh-CN" w:bidi="ar"/>
        </w:rPr>
        <w:t>附件4：土地合同</w:t>
      </w:r>
    </w:p>
    <w:p w14:paraId="504F33C6">
      <w:pPr>
        <w:keepNext w:val="0"/>
        <w:keepLines w:val="0"/>
        <w:widowControl w:val="0"/>
        <w:suppressLineNumbers w:val="0"/>
        <w:shd w:val="clear" w:color="auto" w:fill="auto"/>
        <w:spacing w:before="0" w:beforeAutospacing="0" w:after="0" w:afterAutospacing="0"/>
        <w:ind w:left="0" w:right="560"/>
        <w:jc w:val="left"/>
        <w:rPr>
          <w:rFonts w:hint="eastAsia" w:eastAsia="宋体"/>
          <w:color w:val="auto"/>
          <w:lang w:eastAsia="zh-CN"/>
        </w:rPr>
      </w:pPr>
    </w:p>
    <w:p w14:paraId="1B1CFBD4">
      <w:pPr>
        <w:keepNext w:val="0"/>
        <w:keepLines w:val="0"/>
        <w:widowControl w:val="0"/>
        <w:suppressLineNumbers w:val="0"/>
        <w:shd w:val="clear" w:color="auto" w:fill="auto"/>
        <w:spacing w:before="0" w:beforeAutospacing="0" w:after="0" w:afterAutospacing="0"/>
        <w:ind w:left="0" w:right="560"/>
        <w:jc w:val="left"/>
        <w:rPr>
          <w:rFonts w:hint="eastAsia" w:eastAsia="宋体"/>
          <w:color w:val="auto"/>
          <w:lang w:val="en-US" w:eastAsia="zh-CN"/>
        </w:rPr>
        <w:sectPr>
          <w:pgSz w:w="11906" w:h="16838"/>
          <w:pgMar w:top="1440" w:right="1800" w:bottom="1440" w:left="1800" w:header="851" w:footer="992" w:gutter="0"/>
          <w:cols w:space="720" w:num="1"/>
          <w:docGrid w:type="lines" w:linePitch="312" w:charSpace="0"/>
        </w:sectPr>
      </w:pPr>
      <w:r>
        <w:rPr>
          <w:rFonts w:hint="eastAsia" w:eastAsia="宋体"/>
          <w:color w:val="auto"/>
          <w:lang w:val="en-US" w:eastAsia="zh-CN"/>
        </w:rPr>
        <w:drawing>
          <wp:inline distT="0" distB="0" distL="114300" distR="114300">
            <wp:extent cx="5274310" cy="7464425"/>
            <wp:effectExtent l="0" t="0" r="2540" b="3175"/>
            <wp:docPr id="22" name="图片 5" descr="土地租赁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descr="土地租赁合同_01"/>
                    <pic:cNvPicPr>
                      <a:picLocks noChangeAspect="1"/>
                    </pic:cNvPicPr>
                  </pic:nvPicPr>
                  <pic:blipFill>
                    <a:blip r:embed="rId24"/>
                    <a:stretch>
                      <a:fillRect/>
                    </a:stretch>
                  </pic:blipFill>
                  <pic:spPr>
                    <a:xfrm>
                      <a:off x="0" y="0"/>
                      <a:ext cx="5274310" cy="7464425"/>
                    </a:xfrm>
                    <a:prstGeom prst="rect">
                      <a:avLst/>
                    </a:prstGeom>
                    <a:noFill/>
                    <a:ln>
                      <a:noFill/>
                    </a:ln>
                  </pic:spPr>
                </pic:pic>
              </a:graphicData>
            </a:graphic>
          </wp:inline>
        </w:drawing>
      </w:r>
      <w:r>
        <w:rPr>
          <w:rFonts w:hint="eastAsia" w:eastAsia="宋体"/>
          <w:color w:val="auto"/>
          <w:lang w:val="en-US" w:eastAsia="zh-CN"/>
        </w:rPr>
        <w:drawing>
          <wp:inline distT="0" distB="0" distL="114300" distR="114300">
            <wp:extent cx="5274310" cy="7464425"/>
            <wp:effectExtent l="0" t="0" r="2540" b="3175"/>
            <wp:docPr id="30" name="图片 6" descr="土地租赁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descr="土地租赁合同_02"/>
                    <pic:cNvPicPr>
                      <a:picLocks noChangeAspect="1"/>
                    </pic:cNvPicPr>
                  </pic:nvPicPr>
                  <pic:blipFill>
                    <a:blip r:embed="rId25"/>
                    <a:stretch>
                      <a:fillRect/>
                    </a:stretch>
                  </pic:blipFill>
                  <pic:spPr>
                    <a:xfrm>
                      <a:off x="0" y="0"/>
                      <a:ext cx="5274310" cy="7464425"/>
                    </a:xfrm>
                    <a:prstGeom prst="rect">
                      <a:avLst/>
                    </a:prstGeom>
                    <a:noFill/>
                    <a:ln>
                      <a:noFill/>
                    </a:ln>
                  </pic:spPr>
                </pic:pic>
              </a:graphicData>
            </a:graphic>
          </wp:inline>
        </w:drawing>
      </w:r>
    </w:p>
    <w:p w14:paraId="006B6B5F">
      <w:pPr>
        <w:keepNext w:val="0"/>
        <w:keepLines w:val="0"/>
        <w:widowControl w:val="0"/>
        <w:suppressLineNumbers w:val="0"/>
        <w:shd w:val="clear" w:color="auto" w:fill="auto"/>
        <w:spacing w:before="0" w:beforeAutospacing="0" w:after="0" w:afterAutospacing="0"/>
        <w:ind w:left="0" w:right="560"/>
        <w:jc w:val="both"/>
        <w:rPr>
          <w:rFonts w:hint="eastAsia" w:ascii="Times New Roman" w:hAnsi="Times New Roman" w:eastAsia="宋体" w:cs="宋体"/>
          <w:b/>
          <w:bCs/>
          <w:color w:val="auto"/>
          <w:kern w:val="2"/>
          <w:sz w:val="28"/>
          <w:szCs w:val="28"/>
          <w:highlight w:val="none"/>
          <w:lang w:val="en-US" w:eastAsia="zh-CN" w:bidi="ar"/>
        </w:rPr>
      </w:pPr>
      <w:r>
        <w:rPr>
          <w:rFonts w:hint="eastAsia" w:ascii="Times New Roman" w:hAnsi="Times New Roman" w:eastAsia="宋体" w:cs="宋体"/>
          <w:b/>
          <w:bCs/>
          <w:color w:val="auto"/>
          <w:kern w:val="2"/>
          <w:sz w:val="28"/>
          <w:szCs w:val="28"/>
          <w:highlight w:val="none"/>
          <w:lang w:val="en-US" w:eastAsia="zh-CN" w:bidi="ar"/>
        </w:rPr>
        <w:t>附件5：营业执照</w:t>
      </w:r>
    </w:p>
    <w:p w14:paraId="49D71F1E">
      <w:pPr>
        <w:pStyle w:val="78"/>
        <w:keepNext w:val="0"/>
        <w:keepLines w:val="0"/>
        <w:widowControl/>
        <w:suppressLineNumbers w:val="0"/>
        <w:shd w:val="clear" w:color="auto" w:fill="auto"/>
        <w:spacing w:line="360" w:lineRule="auto"/>
        <w:jc w:val="left"/>
        <w:rPr>
          <w:rFonts w:hint="eastAsia" w:ascii="Times New Roman" w:hAnsi="Times New Roman" w:eastAsia="宋体" w:cs="宋体"/>
          <w:b/>
          <w:bCs/>
          <w:color w:val="auto"/>
          <w:kern w:val="2"/>
          <w:sz w:val="28"/>
          <w:szCs w:val="28"/>
          <w:highlight w:val="none"/>
          <w:lang w:val="en-US" w:eastAsia="zh-CN" w:bidi="ar"/>
        </w:rPr>
      </w:pPr>
      <w:r>
        <w:rPr>
          <w:rFonts w:hint="eastAsia" w:ascii="Times New Roman" w:hAnsi="Times New Roman" w:eastAsia="宋体" w:cs="宋体"/>
          <w:b/>
          <w:bCs/>
          <w:color w:val="auto"/>
          <w:kern w:val="2"/>
          <w:sz w:val="28"/>
          <w:szCs w:val="28"/>
          <w:highlight w:val="none"/>
          <w:lang w:val="en-US" w:eastAsia="zh-CN" w:bidi="ar"/>
        </w:rPr>
        <w:drawing>
          <wp:inline distT="0" distB="0" distL="114300" distR="114300">
            <wp:extent cx="4936490" cy="7064375"/>
            <wp:effectExtent l="0" t="0" r="16510" b="3175"/>
            <wp:docPr id="2" name="图片 5" descr="8707e82bb0ffd835d6e8875a5744f5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8707e82bb0ffd835d6e8875a5744f5a2"/>
                    <pic:cNvPicPr>
                      <a:picLocks noChangeAspect="1"/>
                    </pic:cNvPicPr>
                  </pic:nvPicPr>
                  <pic:blipFill>
                    <a:blip r:embed="rId26"/>
                    <a:srcRect t="16916" r="6349" b="21158"/>
                    <a:stretch>
                      <a:fillRect/>
                    </a:stretch>
                  </pic:blipFill>
                  <pic:spPr>
                    <a:xfrm rot="10800000">
                      <a:off x="0" y="0"/>
                      <a:ext cx="4936490" cy="7064375"/>
                    </a:xfrm>
                    <a:prstGeom prst="rect">
                      <a:avLst/>
                    </a:prstGeom>
                    <a:noFill/>
                    <a:ln>
                      <a:noFill/>
                    </a:ln>
                  </pic:spPr>
                </pic:pic>
              </a:graphicData>
            </a:graphic>
          </wp:inline>
        </w:drawing>
      </w:r>
    </w:p>
    <w:p w14:paraId="3584DE7E">
      <w:pPr>
        <w:pStyle w:val="78"/>
        <w:keepNext w:val="0"/>
        <w:keepLines w:val="0"/>
        <w:widowControl/>
        <w:suppressLineNumbers w:val="0"/>
        <w:shd w:val="clear" w:color="auto" w:fill="auto"/>
        <w:spacing w:line="360" w:lineRule="auto"/>
        <w:jc w:val="left"/>
        <w:rPr>
          <w:rFonts w:hint="eastAsia" w:ascii="Times New Roman" w:hAnsi="Times New Roman" w:eastAsia="宋体" w:cs="宋体"/>
          <w:b/>
          <w:bCs/>
          <w:color w:val="auto"/>
          <w:kern w:val="2"/>
          <w:sz w:val="28"/>
          <w:szCs w:val="28"/>
          <w:highlight w:val="none"/>
          <w:lang w:val="en-US" w:eastAsia="zh-CN" w:bidi="ar"/>
        </w:rPr>
      </w:pPr>
    </w:p>
    <w:p w14:paraId="3F34D8BC">
      <w:pPr>
        <w:pStyle w:val="78"/>
        <w:keepNext w:val="0"/>
        <w:keepLines w:val="0"/>
        <w:widowControl/>
        <w:suppressLineNumbers w:val="0"/>
        <w:shd w:val="clear" w:color="auto" w:fill="auto"/>
        <w:spacing w:line="360" w:lineRule="auto"/>
        <w:jc w:val="left"/>
        <w:rPr>
          <w:rFonts w:hint="eastAsia" w:ascii="Times New Roman" w:hAnsi="Times New Roman" w:eastAsia="宋体" w:cs="宋体"/>
          <w:b/>
          <w:bCs/>
          <w:color w:val="auto"/>
          <w:kern w:val="2"/>
          <w:sz w:val="28"/>
          <w:szCs w:val="28"/>
          <w:highlight w:val="none"/>
          <w:lang w:val="en-US" w:eastAsia="zh-CN" w:bidi="ar"/>
        </w:rPr>
      </w:pPr>
    </w:p>
    <w:p w14:paraId="51BE6C32">
      <w:pPr>
        <w:pStyle w:val="78"/>
        <w:keepNext w:val="0"/>
        <w:keepLines w:val="0"/>
        <w:widowControl/>
        <w:suppressLineNumbers w:val="0"/>
        <w:shd w:val="clear" w:color="auto" w:fill="auto"/>
        <w:spacing w:line="360" w:lineRule="auto"/>
        <w:jc w:val="left"/>
        <w:rPr>
          <w:rFonts w:hint="eastAsia" w:eastAsia="宋体"/>
          <w:color w:val="auto"/>
          <w:lang w:eastAsia="zh-CN"/>
        </w:rPr>
      </w:pPr>
      <w:r>
        <w:rPr>
          <w:rFonts w:hint="eastAsia" w:ascii="Times New Roman" w:hAnsi="Times New Roman" w:eastAsia="宋体" w:cs="宋体"/>
          <w:b/>
          <w:bCs/>
          <w:color w:val="auto"/>
          <w:kern w:val="2"/>
          <w:sz w:val="28"/>
          <w:szCs w:val="28"/>
          <w:highlight w:val="none"/>
          <w:lang w:val="en-US" w:eastAsia="zh-CN" w:bidi="ar"/>
        </w:rPr>
        <w:t>附件6：现有项目环评审批意见、验收、总量确认书等</w:t>
      </w:r>
    </w:p>
    <w:p w14:paraId="63D27925">
      <w:pPr>
        <w:pStyle w:val="78"/>
        <w:keepNext w:val="0"/>
        <w:keepLines w:val="0"/>
        <w:widowControl/>
        <w:suppressLineNumbers w:val="0"/>
        <w:shd w:val="clear" w:color="auto" w:fill="auto"/>
        <w:spacing w:line="360" w:lineRule="auto"/>
        <w:jc w:val="left"/>
        <w:rPr>
          <w:color w:val="auto"/>
        </w:rPr>
      </w:pPr>
      <w:r>
        <w:rPr>
          <w:color w:val="auto"/>
        </w:rPr>
        <w:drawing>
          <wp:inline distT="0" distB="0" distL="114300" distR="114300">
            <wp:extent cx="5264150" cy="7513955"/>
            <wp:effectExtent l="0" t="0" r="12700" b="1079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27"/>
                    <a:stretch>
                      <a:fillRect/>
                    </a:stretch>
                  </pic:blipFill>
                  <pic:spPr>
                    <a:xfrm>
                      <a:off x="0" y="0"/>
                      <a:ext cx="5264150" cy="7513955"/>
                    </a:xfrm>
                    <a:prstGeom prst="rect">
                      <a:avLst/>
                    </a:prstGeom>
                    <a:noFill/>
                    <a:ln>
                      <a:noFill/>
                    </a:ln>
                  </pic:spPr>
                </pic:pic>
              </a:graphicData>
            </a:graphic>
          </wp:inline>
        </w:drawing>
      </w:r>
    </w:p>
    <w:p w14:paraId="40C3111D">
      <w:pPr>
        <w:pStyle w:val="78"/>
        <w:keepNext w:val="0"/>
        <w:keepLines w:val="0"/>
        <w:widowControl/>
        <w:suppressLineNumbers w:val="0"/>
        <w:shd w:val="clear" w:color="auto" w:fill="auto"/>
        <w:spacing w:line="360" w:lineRule="auto"/>
        <w:jc w:val="left"/>
        <w:rPr>
          <w:rFonts w:hint="eastAsia"/>
          <w:b/>
          <w:bCs/>
          <w:color w:val="auto"/>
          <w:sz w:val="28"/>
          <w:szCs w:val="28"/>
          <w:lang w:eastAsia="zh-CN"/>
        </w:rPr>
      </w:pPr>
      <w:r>
        <w:rPr>
          <w:color w:val="auto"/>
        </w:rPr>
        <w:drawing>
          <wp:inline distT="0" distB="0" distL="114300" distR="114300">
            <wp:extent cx="5264150" cy="7513955"/>
            <wp:effectExtent l="0" t="0" r="12700" b="10795"/>
            <wp:docPr id="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28"/>
                    <a:stretch>
                      <a:fillRect/>
                    </a:stretch>
                  </pic:blipFill>
                  <pic:spPr>
                    <a:xfrm>
                      <a:off x="0" y="0"/>
                      <a:ext cx="5264150" cy="7513955"/>
                    </a:xfrm>
                    <a:prstGeom prst="rect">
                      <a:avLst/>
                    </a:prstGeom>
                    <a:noFill/>
                    <a:ln>
                      <a:noFill/>
                    </a:ln>
                  </pic:spPr>
                </pic:pic>
              </a:graphicData>
            </a:graphic>
          </wp:inline>
        </w:drawing>
      </w:r>
      <w:r>
        <w:rPr>
          <w:color w:val="auto"/>
        </w:rPr>
        <w:drawing>
          <wp:inline distT="0" distB="0" distL="114300" distR="114300">
            <wp:extent cx="5264150" cy="7513955"/>
            <wp:effectExtent l="0" t="0" r="12700" b="10795"/>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29"/>
                    <a:stretch>
                      <a:fillRect/>
                    </a:stretch>
                  </pic:blipFill>
                  <pic:spPr>
                    <a:xfrm>
                      <a:off x="0" y="0"/>
                      <a:ext cx="5264150" cy="7513955"/>
                    </a:xfrm>
                    <a:prstGeom prst="rect">
                      <a:avLst/>
                    </a:prstGeom>
                    <a:noFill/>
                    <a:ln>
                      <a:noFill/>
                    </a:ln>
                  </pic:spPr>
                </pic:pic>
              </a:graphicData>
            </a:graphic>
          </wp:inline>
        </w:drawing>
      </w:r>
      <w:r>
        <w:rPr>
          <w:color w:val="auto"/>
        </w:rPr>
        <w:drawing>
          <wp:inline distT="0" distB="0" distL="114300" distR="114300">
            <wp:extent cx="5264150" cy="7513955"/>
            <wp:effectExtent l="0" t="0" r="12700" b="1079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30"/>
                    <a:stretch>
                      <a:fillRect/>
                    </a:stretch>
                  </pic:blipFill>
                  <pic:spPr>
                    <a:xfrm>
                      <a:off x="0" y="0"/>
                      <a:ext cx="5264150" cy="7513955"/>
                    </a:xfrm>
                    <a:prstGeom prst="rect">
                      <a:avLst/>
                    </a:prstGeom>
                    <a:noFill/>
                    <a:ln>
                      <a:noFill/>
                    </a:ln>
                  </pic:spPr>
                </pic:pic>
              </a:graphicData>
            </a:graphic>
          </wp:inline>
        </w:drawing>
      </w:r>
      <w:r>
        <w:rPr>
          <w:color w:val="auto"/>
        </w:rPr>
        <w:drawing>
          <wp:inline distT="0" distB="0" distL="114300" distR="114300">
            <wp:extent cx="5266690" cy="7893685"/>
            <wp:effectExtent l="0" t="0" r="10160" b="12065"/>
            <wp:docPr id="25" name="图片 12" descr="110e597b957471bdb3f89eb0ab0fed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descr="110e597b957471bdb3f89eb0ab0fed22"/>
                    <pic:cNvPicPr>
                      <a:picLocks noChangeAspect="1"/>
                    </pic:cNvPicPr>
                  </pic:nvPicPr>
                  <pic:blipFill>
                    <a:blip r:embed="rId31"/>
                    <a:srcRect t="8267" b="7433"/>
                    <a:stretch>
                      <a:fillRect/>
                    </a:stretch>
                  </pic:blipFill>
                  <pic:spPr>
                    <a:xfrm>
                      <a:off x="0" y="0"/>
                      <a:ext cx="5266690" cy="7893685"/>
                    </a:xfrm>
                    <a:prstGeom prst="rect">
                      <a:avLst/>
                    </a:prstGeom>
                    <a:noFill/>
                    <a:ln>
                      <a:noFill/>
                    </a:ln>
                  </pic:spPr>
                </pic:pic>
              </a:graphicData>
            </a:graphic>
          </wp:inline>
        </w:drawing>
      </w:r>
      <w:r>
        <w:rPr>
          <w:color w:val="auto"/>
        </w:rPr>
        <w:drawing>
          <wp:inline distT="0" distB="0" distL="114300" distR="114300">
            <wp:extent cx="5264150" cy="7513955"/>
            <wp:effectExtent l="0" t="0" r="12700" b="10795"/>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32"/>
                    <a:stretch>
                      <a:fillRect/>
                    </a:stretch>
                  </pic:blipFill>
                  <pic:spPr>
                    <a:xfrm>
                      <a:off x="0" y="0"/>
                      <a:ext cx="5264150" cy="7513955"/>
                    </a:xfrm>
                    <a:prstGeom prst="rect">
                      <a:avLst/>
                    </a:prstGeom>
                    <a:noFill/>
                    <a:ln>
                      <a:noFill/>
                    </a:ln>
                  </pic:spPr>
                </pic:pic>
              </a:graphicData>
            </a:graphic>
          </wp:inline>
        </w:drawing>
      </w:r>
    </w:p>
    <w:p w14:paraId="65F774A7">
      <w:pPr>
        <w:pStyle w:val="78"/>
        <w:keepNext w:val="0"/>
        <w:keepLines w:val="0"/>
        <w:widowControl/>
        <w:suppressLineNumbers w:val="0"/>
        <w:shd w:val="clear" w:color="auto" w:fill="auto"/>
        <w:spacing w:line="360" w:lineRule="auto"/>
        <w:jc w:val="left"/>
        <w:rPr>
          <w:rFonts w:hint="eastAsia"/>
          <w:b/>
          <w:bCs/>
          <w:color w:val="auto"/>
          <w:sz w:val="28"/>
          <w:szCs w:val="28"/>
          <w:lang w:eastAsia="zh-CN"/>
        </w:rPr>
      </w:pPr>
    </w:p>
    <w:p w14:paraId="544B88DD">
      <w:pPr>
        <w:pStyle w:val="78"/>
        <w:keepNext w:val="0"/>
        <w:keepLines w:val="0"/>
        <w:widowControl/>
        <w:suppressLineNumbers w:val="0"/>
        <w:shd w:val="clear" w:color="auto" w:fill="auto"/>
        <w:spacing w:line="360" w:lineRule="auto"/>
        <w:jc w:val="left"/>
        <w:rPr>
          <w:rFonts w:hint="eastAsia"/>
          <w:b/>
          <w:bCs/>
          <w:color w:val="auto"/>
          <w:sz w:val="28"/>
          <w:szCs w:val="28"/>
          <w:lang w:eastAsia="zh-CN"/>
        </w:rPr>
      </w:pPr>
    </w:p>
    <w:p w14:paraId="098E8FBA">
      <w:pPr>
        <w:pStyle w:val="78"/>
        <w:keepNext w:val="0"/>
        <w:keepLines w:val="0"/>
        <w:widowControl/>
        <w:suppressLineNumbers w:val="0"/>
        <w:shd w:val="clear" w:color="auto" w:fill="auto"/>
        <w:spacing w:line="360" w:lineRule="auto"/>
        <w:jc w:val="left"/>
        <w:rPr>
          <w:rFonts w:hint="default"/>
          <w:b/>
          <w:bCs/>
          <w:color w:val="auto"/>
          <w:sz w:val="28"/>
          <w:szCs w:val="28"/>
          <w:lang w:val="en-US" w:eastAsia="zh-CN"/>
        </w:rPr>
        <w:sectPr>
          <w:pgSz w:w="11906" w:h="16838"/>
          <w:pgMar w:top="1440" w:right="1800" w:bottom="1440" w:left="1800" w:header="851" w:footer="992" w:gutter="0"/>
          <w:cols w:space="720" w:num="1"/>
          <w:docGrid w:type="lines" w:linePitch="312" w:charSpace="0"/>
        </w:sectPr>
      </w:pPr>
    </w:p>
    <w:p w14:paraId="1313A7DA">
      <w:pPr>
        <w:pStyle w:val="78"/>
        <w:keepNext w:val="0"/>
        <w:keepLines w:val="0"/>
        <w:widowControl/>
        <w:suppressLineNumbers w:val="0"/>
        <w:shd w:val="clear" w:color="auto" w:fill="auto"/>
        <w:spacing w:line="360" w:lineRule="auto"/>
        <w:jc w:val="left"/>
        <w:rPr>
          <w:rFonts w:hint="default"/>
          <w:b/>
          <w:bCs/>
          <w:color w:val="auto"/>
          <w:sz w:val="28"/>
          <w:szCs w:val="28"/>
          <w:lang w:val="en-US" w:eastAsia="zh-CN"/>
        </w:rPr>
      </w:pPr>
      <w:r>
        <w:rPr>
          <w:rFonts w:hint="eastAsia"/>
          <w:b/>
          <w:bCs/>
          <w:color w:val="auto"/>
          <w:sz w:val="28"/>
          <w:szCs w:val="28"/>
          <w:lang w:eastAsia="zh-CN"/>
        </w:rPr>
        <w:t>附件</w:t>
      </w:r>
      <w:r>
        <w:rPr>
          <w:rFonts w:hint="eastAsia"/>
          <w:b/>
          <w:bCs/>
          <w:color w:val="auto"/>
          <w:sz w:val="28"/>
          <w:szCs w:val="28"/>
          <w:lang w:val="en-US" w:eastAsia="zh-CN"/>
        </w:rPr>
        <w:t>7：排污登记回执</w:t>
      </w:r>
    </w:p>
    <w:p w14:paraId="28F74200">
      <w:pPr>
        <w:pStyle w:val="78"/>
        <w:keepNext w:val="0"/>
        <w:keepLines w:val="0"/>
        <w:widowControl/>
        <w:suppressLineNumbers w:val="0"/>
        <w:shd w:val="clear" w:color="auto" w:fill="auto"/>
        <w:spacing w:line="360" w:lineRule="auto"/>
        <w:jc w:val="left"/>
        <w:rPr>
          <w:rFonts w:hint="eastAsia"/>
          <w:b/>
          <w:bCs/>
          <w:color w:val="auto"/>
          <w:sz w:val="28"/>
          <w:szCs w:val="28"/>
          <w:lang w:val="en-US" w:eastAsia="zh-CN"/>
        </w:rPr>
      </w:pPr>
      <w:r>
        <w:rPr>
          <w:rFonts w:hint="eastAsia"/>
          <w:b/>
          <w:bCs/>
          <w:color w:val="auto"/>
          <w:sz w:val="28"/>
          <w:szCs w:val="28"/>
          <w:lang w:val="en-US" w:eastAsia="zh-CN"/>
        </w:rPr>
        <w:drawing>
          <wp:inline distT="0" distB="0" distL="114300" distR="114300">
            <wp:extent cx="5260340" cy="7440295"/>
            <wp:effectExtent l="0" t="0" r="16510" b="8255"/>
            <wp:docPr id="23" name="图片 14" descr="排污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descr="排污登记"/>
                    <pic:cNvPicPr>
                      <a:picLocks noChangeAspect="1"/>
                    </pic:cNvPicPr>
                  </pic:nvPicPr>
                  <pic:blipFill>
                    <a:blip r:embed="rId33"/>
                    <a:stretch>
                      <a:fillRect/>
                    </a:stretch>
                  </pic:blipFill>
                  <pic:spPr>
                    <a:xfrm>
                      <a:off x="0" y="0"/>
                      <a:ext cx="5260340" cy="7440295"/>
                    </a:xfrm>
                    <a:prstGeom prst="rect">
                      <a:avLst/>
                    </a:prstGeom>
                    <a:noFill/>
                    <a:ln>
                      <a:noFill/>
                    </a:ln>
                  </pic:spPr>
                </pic:pic>
              </a:graphicData>
            </a:graphic>
          </wp:inline>
        </w:drawing>
      </w:r>
    </w:p>
    <w:p w14:paraId="0947BBA2">
      <w:pPr>
        <w:pStyle w:val="78"/>
        <w:keepNext w:val="0"/>
        <w:keepLines w:val="0"/>
        <w:widowControl/>
        <w:suppressLineNumbers w:val="0"/>
        <w:shd w:val="clear" w:color="auto" w:fill="auto"/>
        <w:spacing w:line="360" w:lineRule="auto"/>
        <w:jc w:val="left"/>
        <w:rPr>
          <w:rFonts w:hint="eastAsia"/>
          <w:b/>
          <w:bCs/>
          <w:color w:val="auto"/>
          <w:sz w:val="28"/>
          <w:szCs w:val="28"/>
          <w:lang w:val="en-US" w:eastAsia="zh-CN"/>
        </w:rPr>
      </w:pPr>
    </w:p>
    <w:p w14:paraId="3469D7A2">
      <w:pPr>
        <w:pStyle w:val="78"/>
        <w:keepNext w:val="0"/>
        <w:keepLines w:val="0"/>
        <w:widowControl/>
        <w:suppressLineNumbers w:val="0"/>
        <w:shd w:val="clear" w:color="auto" w:fill="auto"/>
        <w:spacing w:line="360" w:lineRule="auto"/>
        <w:jc w:val="left"/>
        <w:rPr>
          <w:rFonts w:hint="default"/>
          <w:b/>
          <w:bCs/>
          <w:color w:val="auto"/>
          <w:sz w:val="28"/>
          <w:szCs w:val="28"/>
          <w:lang w:val="en-US" w:eastAsia="zh-CN"/>
        </w:rPr>
      </w:pPr>
      <w:r>
        <w:rPr>
          <w:rFonts w:hint="eastAsia"/>
          <w:b/>
          <w:bCs/>
          <w:color w:val="auto"/>
          <w:sz w:val="28"/>
          <w:szCs w:val="28"/>
          <w:lang w:val="en-US" w:eastAsia="zh-CN"/>
        </w:rPr>
        <w:t>附件8：园区审查意见</w:t>
      </w:r>
    </w:p>
    <w:p w14:paraId="68C7FFAC">
      <w:pPr>
        <w:pStyle w:val="78"/>
        <w:keepNext w:val="0"/>
        <w:keepLines w:val="0"/>
        <w:widowControl/>
        <w:suppressLineNumbers w:val="0"/>
        <w:shd w:val="clear" w:color="auto" w:fill="auto"/>
        <w:spacing w:line="360" w:lineRule="auto"/>
        <w:jc w:val="left"/>
        <w:rPr>
          <w:color w:val="auto"/>
          <w:highlight w:val="none"/>
        </w:rPr>
      </w:pPr>
      <w:r>
        <w:rPr>
          <w:color w:val="auto"/>
          <w:highlight w:val="none"/>
        </w:rPr>
        <w:drawing>
          <wp:inline distT="0" distB="0" distL="114300" distR="114300">
            <wp:extent cx="5428615" cy="7616825"/>
            <wp:effectExtent l="0" t="0" r="635" b="3175"/>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34"/>
                    <a:stretch>
                      <a:fillRect/>
                    </a:stretch>
                  </pic:blipFill>
                  <pic:spPr>
                    <a:xfrm>
                      <a:off x="0" y="0"/>
                      <a:ext cx="5428615" cy="7616825"/>
                    </a:xfrm>
                    <a:prstGeom prst="rect">
                      <a:avLst/>
                    </a:prstGeom>
                    <a:noFill/>
                    <a:ln>
                      <a:noFill/>
                    </a:ln>
                  </pic:spPr>
                </pic:pic>
              </a:graphicData>
            </a:graphic>
          </wp:inline>
        </w:drawing>
      </w:r>
    </w:p>
    <w:p w14:paraId="2B43363E">
      <w:pPr>
        <w:pStyle w:val="78"/>
        <w:keepNext w:val="0"/>
        <w:keepLines w:val="0"/>
        <w:widowControl/>
        <w:suppressLineNumbers w:val="0"/>
        <w:shd w:val="clear" w:color="auto" w:fill="auto"/>
        <w:spacing w:line="360" w:lineRule="auto"/>
        <w:jc w:val="left"/>
        <w:rPr>
          <w:color w:val="auto"/>
          <w:highlight w:val="none"/>
        </w:rPr>
      </w:pPr>
      <w:r>
        <w:rPr>
          <w:color w:val="auto"/>
          <w:highlight w:val="none"/>
        </w:rPr>
        <w:drawing>
          <wp:inline distT="0" distB="0" distL="114300" distR="114300">
            <wp:extent cx="5306060" cy="7423150"/>
            <wp:effectExtent l="0" t="0" r="8890" b="6350"/>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35"/>
                    <a:stretch>
                      <a:fillRect/>
                    </a:stretch>
                  </pic:blipFill>
                  <pic:spPr>
                    <a:xfrm>
                      <a:off x="0" y="0"/>
                      <a:ext cx="5306060" cy="7423150"/>
                    </a:xfrm>
                    <a:prstGeom prst="rect">
                      <a:avLst/>
                    </a:prstGeom>
                    <a:noFill/>
                    <a:ln>
                      <a:noFill/>
                    </a:ln>
                  </pic:spPr>
                </pic:pic>
              </a:graphicData>
            </a:graphic>
          </wp:inline>
        </w:drawing>
      </w:r>
      <w:r>
        <w:rPr>
          <w:color w:val="auto"/>
          <w:highlight w:val="none"/>
        </w:rPr>
        <w:drawing>
          <wp:inline distT="0" distB="0" distL="114300" distR="114300">
            <wp:extent cx="5297170" cy="7757160"/>
            <wp:effectExtent l="0" t="0" r="17780" b="15240"/>
            <wp:docPr id="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7"/>
                    <pic:cNvPicPr>
                      <a:picLocks noChangeAspect="1"/>
                    </pic:cNvPicPr>
                  </pic:nvPicPr>
                  <pic:blipFill>
                    <a:blip r:embed="rId36"/>
                    <a:stretch>
                      <a:fillRect/>
                    </a:stretch>
                  </pic:blipFill>
                  <pic:spPr>
                    <a:xfrm>
                      <a:off x="0" y="0"/>
                      <a:ext cx="5297170" cy="7757160"/>
                    </a:xfrm>
                    <a:prstGeom prst="rect">
                      <a:avLst/>
                    </a:prstGeom>
                    <a:noFill/>
                    <a:ln>
                      <a:noFill/>
                    </a:ln>
                  </pic:spPr>
                </pic:pic>
              </a:graphicData>
            </a:graphic>
          </wp:inline>
        </w:drawing>
      </w:r>
      <w:r>
        <w:rPr>
          <w:color w:val="auto"/>
          <w:highlight w:val="none"/>
        </w:rPr>
        <w:drawing>
          <wp:inline distT="0" distB="0" distL="114300" distR="114300">
            <wp:extent cx="5323840" cy="7672705"/>
            <wp:effectExtent l="0" t="0" r="10160" b="4445"/>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37"/>
                    <a:stretch>
                      <a:fillRect/>
                    </a:stretch>
                  </pic:blipFill>
                  <pic:spPr>
                    <a:xfrm>
                      <a:off x="0" y="0"/>
                      <a:ext cx="5323840" cy="7672705"/>
                    </a:xfrm>
                    <a:prstGeom prst="rect">
                      <a:avLst/>
                    </a:prstGeom>
                    <a:noFill/>
                    <a:ln>
                      <a:noFill/>
                    </a:ln>
                  </pic:spPr>
                </pic:pic>
              </a:graphicData>
            </a:graphic>
          </wp:inline>
        </w:drawing>
      </w:r>
      <w:r>
        <w:rPr>
          <w:color w:val="auto"/>
          <w:highlight w:val="none"/>
        </w:rPr>
        <w:drawing>
          <wp:inline distT="0" distB="0" distL="114300" distR="114300">
            <wp:extent cx="5247005" cy="7450455"/>
            <wp:effectExtent l="0" t="0" r="10795" b="17145"/>
            <wp:docPr id="1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9"/>
                    <pic:cNvPicPr>
                      <a:picLocks noChangeAspect="1"/>
                    </pic:cNvPicPr>
                  </pic:nvPicPr>
                  <pic:blipFill>
                    <a:blip r:embed="rId38"/>
                    <a:stretch>
                      <a:fillRect/>
                    </a:stretch>
                  </pic:blipFill>
                  <pic:spPr>
                    <a:xfrm>
                      <a:off x="0" y="0"/>
                      <a:ext cx="5247005" cy="7450455"/>
                    </a:xfrm>
                    <a:prstGeom prst="rect">
                      <a:avLst/>
                    </a:prstGeom>
                    <a:noFill/>
                    <a:ln>
                      <a:noFill/>
                    </a:ln>
                  </pic:spPr>
                </pic:pic>
              </a:graphicData>
            </a:graphic>
          </wp:inline>
        </w:drawing>
      </w:r>
      <w:r>
        <w:rPr>
          <w:color w:val="auto"/>
          <w:highlight w:val="none"/>
        </w:rPr>
        <w:drawing>
          <wp:inline distT="0" distB="0" distL="114300" distR="114300">
            <wp:extent cx="5136515" cy="7666355"/>
            <wp:effectExtent l="0" t="0" r="6985" b="10795"/>
            <wp:docPr id="2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0"/>
                    <pic:cNvPicPr>
                      <a:picLocks noChangeAspect="1"/>
                    </pic:cNvPicPr>
                  </pic:nvPicPr>
                  <pic:blipFill>
                    <a:blip r:embed="rId39"/>
                    <a:stretch>
                      <a:fillRect/>
                    </a:stretch>
                  </pic:blipFill>
                  <pic:spPr>
                    <a:xfrm>
                      <a:off x="0" y="0"/>
                      <a:ext cx="5136515" cy="7666355"/>
                    </a:xfrm>
                    <a:prstGeom prst="rect">
                      <a:avLst/>
                    </a:prstGeom>
                    <a:noFill/>
                    <a:ln>
                      <a:noFill/>
                    </a:ln>
                  </pic:spPr>
                </pic:pic>
              </a:graphicData>
            </a:graphic>
          </wp:inline>
        </w:drawing>
      </w:r>
    </w:p>
    <w:p w14:paraId="2A36B917">
      <w:pPr>
        <w:bidi w:val="0"/>
        <w:rPr>
          <w:rFonts w:hint="eastAsia" w:ascii="Times New Roman" w:hAnsi="Times New Roman" w:eastAsia="宋体" w:cs="Times New Roman"/>
          <w:b/>
          <w:snapToGrid w:val="0"/>
          <w:color w:val="auto"/>
          <w:kern w:val="0"/>
          <w:sz w:val="24"/>
          <w:szCs w:val="24"/>
          <w:highlight w:val="none"/>
          <w:lang w:val="en-US" w:eastAsia="zh-CN" w:bidi="ar-SA"/>
        </w:rPr>
      </w:pPr>
    </w:p>
    <w:p w14:paraId="4C6891E7">
      <w:pPr>
        <w:bidi w:val="0"/>
        <w:rPr>
          <w:rFonts w:hint="eastAsia" w:ascii="Times New Roman" w:hAnsi="Times New Roman" w:eastAsia="宋体" w:cs="Times New Roman"/>
          <w:b/>
          <w:snapToGrid w:val="0"/>
          <w:color w:val="auto"/>
          <w:kern w:val="0"/>
          <w:sz w:val="24"/>
          <w:szCs w:val="24"/>
          <w:highlight w:val="none"/>
          <w:lang w:val="en-US" w:eastAsia="zh-CN" w:bidi="ar-SA"/>
        </w:rPr>
      </w:pPr>
    </w:p>
    <w:p w14:paraId="2FB72118">
      <w:pPr>
        <w:bidi w:val="0"/>
        <w:rPr>
          <w:rFonts w:hint="eastAsia" w:ascii="Times New Roman" w:hAnsi="Times New Roman" w:eastAsia="宋体" w:cs="Times New Roman"/>
          <w:b/>
          <w:snapToGrid w:val="0"/>
          <w:color w:val="auto"/>
          <w:kern w:val="0"/>
          <w:sz w:val="24"/>
          <w:szCs w:val="24"/>
          <w:highlight w:val="none"/>
          <w:lang w:val="en-US" w:eastAsia="zh-CN" w:bidi="ar-SA"/>
        </w:rPr>
      </w:pPr>
    </w:p>
    <w:p w14:paraId="7AABD0AF">
      <w:pPr>
        <w:pStyle w:val="78"/>
        <w:keepNext w:val="0"/>
        <w:keepLines w:val="0"/>
        <w:widowControl/>
        <w:suppressLineNumbers w:val="0"/>
        <w:shd w:val="clear" w:color="auto" w:fill="auto"/>
        <w:spacing w:line="360" w:lineRule="auto"/>
        <w:jc w:val="left"/>
        <w:rPr>
          <w:rFonts w:hint="eastAsia"/>
          <w:b/>
          <w:bCs/>
          <w:color w:val="auto"/>
          <w:sz w:val="28"/>
          <w:szCs w:val="28"/>
          <w:lang w:val="en-US" w:eastAsia="zh-CN"/>
        </w:rPr>
      </w:pPr>
      <w:r>
        <w:rPr>
          <w:rFonts w:hint="eastAsia"/>
          <w:b/>
          <w:bCs/>
          <w:color w:val="auto"/>
          <w:sz w:val="28"/>
          <w:szCs w:val="28"/>
          <w:lang w:eastAsia="zh-CN"/>
        </w:rPr>
        <w:t>附件</w:t>
      </w:r>
      <w:r>
        <w:rPr>
          <w:rFonts w:hint="eastAsia"/>
          <w:b/>
          <w:bCs/>
          <w:color w:val="auto"/>
          <w:sz w:val="28"/>
          <w:szCs w:val="28"/>
          <w:lang w:val="en-US" w:eastAsia="zh-CN"/>
        </w:rPr>
        <w:t>9：傅家镇初审意见</w:t>
      </w:r>
    </w:p>
    <w:p w14:paraId="283E80C6">
      <w:pPr>
        <w:pStyle w:val="78"/>
        <w:keepNext w:val="0"/>
        <w:keepLines w:val="0"/>
        <w:widowControl/>
        <w:suppressLineNumbers w:val="0"/>
        <w:shd w:val="clear" w:color="auto" w:fill="auto"/>
        <w:spacing w:line="360" w:lineRule="auto"/>
        <w:jc w:val="left"/>
        <w:rPr>
          <w:rFonts w:hint="eastAsia"/>
          <w:b/>
          <w:bCs/>
          <w:color w:val="auto"/>
          <w:sz w:val="28"/>
          <w:szCs w:val="28"/>
          <w:lang w:val="en-US" w:eastAsia="zh-CN"/>
        </w:rPr>
      </w:pPr>
      <w:r>
        <w:rPr>
          <w:rFonts w:hint="eastAsia"/>
          <w:b/>
          <w:bCs/>
          <w:color w:val="auto"/>
          <w:sz w:val="28"/>
          <w:szCs w:val="28"/>
          <w:lang w:val="en-US" w:eastAsia="zh-CN"/>
        </w:rPr>
        <w:drawing>
          <wp:inline distT="0" distB="0" distL="114300" distR="114300">
            <wp:extent cx="5262880" cy="7439660"/>
            <wp:effectExtent l="0" t="0" r="13970" b="8890"/>
            <wp:docPr id="114" name="图片 5" descr="58f1ad232bf7f185e8df6bff8252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 descr="58f1ad232bf7f185e8df6bff82528820"/>
                    <pic:cNvPicPr>
                      <a:picLocks noChangeAspect="1"/>
                    </pic:cNvPicPr>
                  </pic:nvPicPr>
                  <pic:blipFill>
                    <a:blip r:embed="rId40"/>
                    <a:stretch>
                      <a:fillRect/>
                    </a:stretch>
                  </pic:blipFill>
                  <pic:spPr>
                    <a:xfrm>
                      <a:off x="0" y="0"/>
                      <a:ext cx="5262880" cy="7439660"/>
                    </a:xfrm>
                    <a:prstGeom prst="rect">
                      <a:avLst/>
                    </a:prstGeom>
                    <a:noFill/>
                    <a:ln>
                      <a:noFill/>
                    </a:ln>
                  </pic:spPr>
                </pic:pic>
              </a:graphicData>
            </a:graphic>
          </wp:inline>
        </w:drawing>
      </w:r>
    </w:p>
    <w:p w14:paraId="7378A006">
      <w:pPr>
        <w:pStyle w:val="78"/>
        <w:keepNext w:val="0"/>
        <w:keepLines w:val="0"/>
        <w:widowControl/>
        <w:suppressLineNumbers w:val="0"/>
        <w:shd w:val="clear" w:color="auto" w:fill="auto"/>
        <w:spacing w:line="360" w:lineRule="auto"/>
        <w:jc w:val="left"/>
        <w:rPr>
          <w:rFonts w:hint="eastAsia"/>
          <w:b/>
          <w:bCs/>
          <w:color w:val="auto"/>
          <w:sz w:val="28"/>
          <w:szCs w:val="28"/>
          <w:lang w:val="en-US" w:eastAsia="zh-CN"/>
        </w:rPr>
      </w:pPr>
    </w:p>
    <w:p w14:paraId="4858F30C">
      <w:pPr>
        <w:pStyle w:val="78"/>
        <w:keepNext w:val="0"/>
        <w:keepLines w:val="0"/>
        <w:widowControl/>
        <w:suppressLineNumbers w:val="0"/>
        <w:shd w:val="clear" w:color="auto" w:fill="auto"/>
        <w:spacing w:line="360" w:lineRule="auto"/>
        <w:jc w:val="left"/>
        <w:rPr>
          <w:rFonts w:hint="default"/>
          <w:b/>
          <w:bCs/>
          <w:color w:val="auto"/>
          <w:sz w:val="28"/>
          <w:szCs w:val="28"/>
          <w:lang w:val="en-US" w:eastAsia="zh-CN"/>
        </w:rPr>
      </w:pPr>
      <w:r>
        <w:rPr>
          <w:rFonts w:hint="eastAsia"/>
          <w:b/>
          <w:bCs/>
          <w:color w:val="auto"/>
          <w:sz w:val="28"/>
          <w:szCs w:val="28"/>
          <w:lang w:val="en-US" w:eastAsia="zh-CN"/>
        </w:rPr>
        <w:t>附件10：工程师现场照片和厂区四周相邻照片</w:t>
      </w:r>
    </w:p>
    <w:tbl>
      <w:tblPr>
        <w:tblStyle w:val="8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0EAC2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noWrap w:val="0"/>
            <w:vAlign w:val="center"/>
          </w:tcPr>
          <w:p w14:paraId="6506E102">
            <w:pPr>
              <w:pStyle w:val="78"/>
              <w:keepNext w:val="0"/>
              <w:keepLines w:val="0"/>
              <w:widowControl/>
              <w:suppressLineNumbers w:val="0"/>
              <w:spacing w:line="360" w:lineRule="auto"/>
              <w:ind w:left="0" w:leftChars="0" w:right="0" w:rightChars="0"/>
              <w:jc w:val="center"/>
              <w:rPr>
                <w:rFonts w:hint="eastAsia"/>
                <w:color w:val="auto"/>
                <w:sz w:val="28"/>
                <w:szCs w:val="28"/>
                <w:vertAlign w:val="baseline"/>
                <w:lang w:val="en-US" w:eastAsia="zh-CN"/>
              </w:rPr>
            </w:pPr>
            <w:r>
              <w:rPr>
                <w:rFonts w:hint="eastAsia"/>
                <w:color w:val="auto"/>
                <w:sz w:val="28"/>
                <w:szCs w:val="28"/>
                <w:lang w:val="en-US" w:eastAsia="zh-CN"/>
              </w:rPr>
              <w:drawing>
                <wp:inline distT="0" distB="0" distL="114300" distR="114300">
                  <wp:extent cx="5262880" cy="7007225"/>
                  <wp:effectExtent l="0" t="0" r="13970" b="3175"/>
                  <wp:docPr id="13" name="图片 21" descr="61b844a8d4596e5dc55c3180ee96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1" descr="61b844a8d4596e5dc55c3180ee967277"/>
                          <pic:cNvPicPr>
                            <a:picLocks noChangeAspect="1"/>
                          </pic:cNvPicPr>
                        </pic:nvPicPr>
                        <pic:blipFill>
                          <a:blip r:embed="rId41"/>
                          <a:stretch>
                            <a:fillRect/>
                          </a:stretch>
                        </pic:blipFill>
                        <pic:spPr>
                          <a:xfrm>
                            <a:off x="0" y="0"/>
                            <a:ext cx="5262880" cy="7007225"/>
                          </a:xfrm>
                          <a:prstGeom prst="rect">
                            <a:avLst/>
                          </a:prstGeom>
                          <a:noFill/>
                          <a:ln>
                            <a:noFill/>
                          </a:ln>
                        </pic:spPr>
                      </pic:pic>
                    </a:graphicData>
                  </a:graphic>
                </wp:inline>
              </w:drawing>
            </w:r>
          </w:p>
        </w:tc>
      </w:tr>
      <w:tr w14:paraId="573F1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noWrap w:val="0"/>
            <w:vAlign w:val="center"/>
          </w:tcPr>
          <w:p w14:paraId="48617C32">
            <w:pPr>
              <w:pStyle w:val="78"/>
              <w:keepNext w:val="0"/>
              <w:keepLines w:val="0"/>
              <w:widowControl/>
              <w:suppressLineNumbers w:val="0"/>
              <w:spacing w:line="360" w:lineRule="auto"/>
              <w:ind w:left="0" w:leftChars="0" w:right="0" w:rightChars="0"/>
              <w:jc w:val="center"/>
              <w:rPr>
                <w:rFonts w:hint="eastAsia"/>
                <w:color w:val="auto"/>
                <w:sz w:val="28"/>
                <w:szCs w:val="28"/>
                <w:vertAlign w:val="baseline"/>
                <w:lang w:val="en-US" w:eastAsia="zh-CN"/>
              </w:rPr>
            </w:pPr>
            <w:r>
              <w:rPr>
                <w:rFonts w:hint="eastAsia"/>
                <w:b/>
                <w:bCs/>
                <w:color w:val="auto"/>
                <w:sz w:val="28"/>
                <w:szCs w:val="28"/>
                <w:lang w:val="en-US" w:eastAsia="zh-CN"/>
              </w:rPr>
              <w:t>工程师现场照片</w:t>
            </w:r>
          </w:p>
        </w:tc>
      </w:tr>
      <w:tr w14:paraId="354CC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120D1BED">
            <w:pPr>
              <w:pStyle w:val="78"/>
              <w:keepNext w:val="0"/>
              <w:keepLines w:val="0"/>
              <w:widowControl/>
              <w:suppressLineNumbers w:val="0"/>
              <w:spacing w:line="360" w:lineRule="auto"/>
              <w:jc w:val="center"/>
              <w:rPr>
                <w:rFonts w:hint="eastAsia"/>
                <w:color w:val="auto"/>
                <w:sz w:val="28"/>
                <w:szCs w:val="28"/>
                <w:vertAlign w:val="baseline"/>
                <w:lang w:val="en-US" w:eastAsia="zh-CN"/>
              </w:rPr>
            </w:pPr>
            <w:r>
              <w:rPr>
                <w:rFonts w:hint="eastAsia"/>
                <w:color w:val="auto"/>
                <w:sz w:val="24"/>
                <w:szCs w:val="24"/>
                <w:vertAlign w:val="baseline"/>
                <w:lang w:val="en-US" w:eastAsia="zh-CN"/>
              </w:rPr>
              <w:drawing>
                <wp:inline distT="0" distB="0" distL="114300" distR="114300">
                  <wp:extent cx="2554605" cy="1915795"/>
                  <wp:effectExtent l="0" t="0" r="17145" b="8255"/>
                  <wp:docPr id="29" name="图片 22" descr="IMG2026010814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2" descr="IMG20260108145547"/>
                          <pic:cNvPicPr>
                            <a:picLocks noChangeAspect="1"/>
                          </pic:cNvPicPr>
                        </pic:nvPicPr>
                        <pic:blipFill>
                          <a:blip r:embed="rId42"/>
                          <a:stretch>
                            <a:fillRect/>
                          </a:stretch>
                        </pic:blipFill>
                        <pic:spPr>
                          <a:xfrm>
                            <a:off x="0" y="0"/>
                            <a:ext cx="2554605" cy="1915795"/>
                          </a:xfrm>
                          <a:prstGeom prst="rect">
                            <a:avLst/>
                          </a:prstGeom>
                          <a:noFill/>
                          <a:ln>
                            <a:noFill/>
                          </a:ln>
                        </pic:spPr>
                      </pic:pic>
                    </a:graphicData>
                  </a:graphic>
                </wp:inline>
              </w:drawing>
            </w:r>
          </w:p>
        </w:tc>
        <w:tc>
          <w:tcPr>
            <w:tcW w:w="4261" w:type="dxa"/>
            <w:noWrap w:val="0"/>
            <w:vAlign w:val="center"/>
          </w:tcPr>
          <w:p w14:paraId="1CDEE982">
            <w:pPr>
              <w:pStyle w:val="78"/>
              <w:keepNext w:val="0"/>
              <w:keepLines w:val="0"/>
              <w:widowControl/>
              <w:suppressLineNumbers w:val="0"/>
              <w:spacing w:line="360" w:lineRule="auto"/>
              <w:ind w:left="0" w:leftChars="0" w:right="0" w:rightChars="0"/>
              <w:jc w:val="center"/>
              <w:rPr>
                <w:rFonts w:hint="eastAsia"/>
                <w:color w:val="auto"/>
                <w:sz w:val="28"/>
                <w:szCs w:val="28"/>
                <w:vertAlign w:val="baseline"/>
                <w:lang w:val="en-US" w:eastAsia="zh-CN"/>
              </w:rPr>
            </w:pPr>
            <w:r>
              <w:rPr>
                <w:rFonts w:hint="eastAsia"/>
                <w:color w:val="auto"/>
                <w:sz w:val="28"/>
                <w:szCs w:val="28"/>
                <w:vertAlign w:val="baseline"/>
                <w:lang w:val="en-US" w:eastAsia="zh-CN"/>
              </w:rPr>
              <w:drawing>
                <wp:inline distT="0" distB="0" distL="114300" distR="114300">
                  <wp:extent cx="2554605" cy="1915795"/>
                  <wp:effectExtent l="0" t="0" r="17145" b="8255"/>
                  <wp:docPr id="18" name="图片 23" descr="IMG2026010814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3" descr="IMG20260108145627"/>
                          <pic:cNvPicPr>
                            <a:picLocks noChangeAspect="1"/>
                          </pic:cNvPicPr>
                        </pic:nvPicPr>
                        <pic:blipFill>
                          <a:blip r:embed="rId43"/>
                          <a:stretch>
                            <a:fillRect/>
                          </a:stretch>
                        </pic:blipFill>
                        <pic:spPr>
                          <a:xfrm>
                            <a:off x="0" y="0"/>
                            <a:ext cx="2554605" cy="1915795"/>
                          </a:xfrm>
                          <a:prstGeom prst="rect">
                            <a:avLst/>
                          </a:prstGeom>
                          <a:noFill/>
                          <a:ln>
                            <a:noFill/>
                          </a:ln>
                        </pic:spPr>
                      </pic:pic>
                    </a:graphicData>
                  </a:graphic>
                </wp:inline>
              </w:drawing>
            </w:r>
          </w:p>
        </w:tc>
      </w:tr>
      <w:tr w14:paraId="0505F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61" w:type="dxa"/>
            <w:noWrap w:val="0"/>
            <w:vAlign w:val="center"/>
          </w:tcPr>
          <w:p w14:paraId="0764EDB9">
            <w:pPr>
              <w:pStyle w:val="78"/>
              <w:keepNext w:val="0"/>
              <w:keepLines w:val="0"/>
              <w:widowControl/>
              <w:suppressLineNumbers w:val="0"/>
              <w:spacing w:line="360" w:lineRule="auto"/>
              <w:jc w:val="center"/>
              <w:rPr>
                <w:rFonts w:hint="default"/>
                <w:color w:val="auto"/>
                <w:sz w:val="24"/>
                <w:szCs w:val="24"/>
                <w:vertAlign w:val="baseline"/>
                <w:lang w:val="en-US" w:eastAsia="zh-CN"/>
              </w:rPr>
            </w:pPr>
            <w:r>
              <w:rPr>
                <w:rFonts w:hint="eastAsia"/>
                <w:color w:val="auto"/>
                <w:sz w:val="24"/>
                <w:szCs w:val="24"/>
                <w:vertAlign w:val="baseline"/>
                <w:lang w:val="en-US" w:eastAsia="zh-CN"/>
              </w:rPr>
              <w:t>东侧为山东中顺新材料有限公司</w:t>
            </w:r>
          </w:p>
        </w:tc>
        <w:tc>
          <w:tcPr>
            <w:tcW w:w="4261" w:type="dxa"/>
            <w:noWrap w:val="0"/>
            <w:vAlign w:val="center"/>
          </w:tcPr>
          <w:p w14:paraId="71A5B736">
            <w:pPr>
              <w:pStyle w:val="78"/>
              <w:keepNext w:val="0"/>
              <w:keepLines w:val="0"/>
              <w:widowControl/>
              <w:suppressLineNumbers w:val="0"/>
              <w:spacing w:line="360" w:lineRule="auto"/>
              <w:ind w:left="0" w:leftChars="0" w:right="0" w:rightChars="0"/>
              <w:jc w:val="center"/>
              <w:rPr>
                <w:rFonts w:hint="default"/>
                <w:color w:val="auto"/>
                <w:sz w:val="24"/>
                <w:szCs w:val="24"/>
                <w:vertAlign w:val="baseline"/>
                <w:lang w:val="en-US" w:eastAsia="zh-CN"/>
              </w:rPr>
            </w:pPr>
            <w:r>
              <w:rPr>
                <w:rFonts w:hint="eastAsia"/>
                <w:color w:val="auto"/>
                <w:sz w:val="24"/>
                <w:szCs w:val="24"/>
                <w:vertAlign w:val="baseline"/>
                <w:lang w:val="en-US" w:eastAsia="zh-CN"/>
              </w:rPr>
              <w:t>西侧为淄博旭昊纺织有限公司</w:t>
            </w:r>
          </w:p>
        </w:tc>
      </w:tr>
      <w:tr w14:paraId="0EB23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11CBAE00">
            <w:pPr>
              <w:pStyle w:val="78"/>
              <w:keepNext w:val="0"/>
              <w:keepLines w:val="0"/>
              <w:widowControl/>
              <w:suppressLineNumbers w:val="0"/>
              <w:spacing w:line="360" w:lineRule="auto"/>
              <w:jc w:val="center"/>
              <w:rPr>
                <w:rFonts w:hint="eastAsia"/>
                <w:color w:val="auto"/>
                <w:sz w:val="28"/>
                <w:szCs w:val="28"/>
                <w:vertAlign w:val="baseline"/>
                <w:lang w:val="en-US" w:eastAsia="zh-CN"/>
              </w:rPr>
            </w:pPr>
            <w:r>
              <w:rPr>
                <w:rFonts w:hint="eastAsia"/>
                <w:color w:val="auto"/>
                <w:sz w:val="28"/>
                <w:szCs w:val="28"/>
                <w:vertAlign w:val="baseline"/>
                <w:lang w:val="en-US" w:eastAsia="zh-CN"/>
              </w:rPr>
              <w:drawing>
                <wp:inline distT="0" distB="0" distL="114300" distR="114300">
                  <wp:extent cx="2554605" cy="1915795"/>
                  <wp:effectExtent l="0" t="0" r="17145" b="8255"/>
                  <wp:docPr id="19" name="图片 24" descr="IMG2026010814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descr="IMG20260108145858"/>
                          <pic:cNvPicPr>
                            <a:picLocks noChangeAspect="1"/>
                          </pic:cNvPicPr>
                        </pic:nvPicPr>
                        <pic:blipFill>
                          <a:blip r:embed="rId44"/>
                          <a:stretch>
                            <a:fillRect/>
                          </a:stretch>
                        </pic:blipFill>
                        <pic:spPr>
                          <a:xfrm>
                            <a:off x="0" y="0"/>
                            <a:ext cx="2554605" cy="1915795"/>
                          </a:xfrm>
                          <a:prstGeom prst="rect">
                            <a:avLst/>
                          </a:prstGeom>
                          <a:noFill/>
                          <a:ln>
                            <a:noFill/>
                          </a:ln>
                        </pic:spPr>
                      </pic:pic>
                    </a:graphicData>
                  </a:graphic>
                </wp:inline>
              </w:drawing>
            </w:r>
          </w:p>
        </w:tc>
        <w:tc>
          <w:tcPr>
            <w:tcW w:w="4261" w:type="dxa"/>
            <w:noWrap w:val="0"/>
            <w:vAlign w:val="center"/>
          </w:tcPr>
          <w:p w14:paraId="3B0487CB">
            <w:pPr>
              <w:pStyle w:val="78"/>
              <w:keepNext w:val="0"/>
              <w:keepLines w:val="0"/>
              <w:widowControl/>
              <w:suppressLineNumbers w:val="0"/>
              <w:spacing w:line="360" w:lineRule="auto"/>
              <w:jc w:val="center"/>
              <w:rPr>
                <w:rFonts w:hint="eastAsia"/>
                <w:color w:val="auto"/>
                <w:sz w:val="28"/>
                <w:szCs w:val="28"/>
                <w:vertAlign w:val="baseline"/>
                <w:lang w:val="en-US" w:eastAsia="zh-CN"/>
              </w:rPr>
            </w:pPr>
            <w:r>
              <w:rPr>
                <w:rFonts w:hint="eastAsia"/>
                <w:color w:val="auto"/>
                <w:sz w:val="28"/>
                <w:szCs w:val="28"/>
                <w:vertAlign w:val="baseline"/>
                <w:lang w:val="en-US" w:eastAsia="zh-CN"/>
              </w:rPr>
              <w:drawing>
                <wp:inline distT="0" distB="0" distL="114300" distR="114300">
                  <wp:extent cx="2554605" cy="1915795"/>
                  <wp:effectExtent l="0" t="0" r="17145" b="8255"/>
                  <wp:docPr id="21" name="图片 25" descr="IMG2026010814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5" descr="IMG20260108145558"/>
                          <pic:cNvPicPr>
                            <a:picLocks noChangeAspect="1"/>
                          </pic:cNvPicPr>
                        </pic:nvPicPr>
                        <pic:blipFill>
                          <a:blip r:embed="rId45"/>
                          <a:stretch>
                            <a:fillRect/>
                          </a:stretch>
                        </pic:blipFill>
                        <pic:spPr>
                          <a:xfrm>
                            <a:off x="0" y="0"/>
                            <a:ext cx="2554605" cy="1915795"/>
                          </a:xfrm>
                          <a:prstGeom prst="rect">
                            <a:avLst/>
                          </a:prstGeom>
                          <a:noFill/>
                          <a:ln>
                            <a:noFill/>
                          </a:ln>
                        </pic:spPr>
                      </pic:pic>
                    </a:graphicData>
                  </a:graphic>
                </wp:inline>
              </w:drawing>
            </w:r>
          </w:p>
        </w:tc>
      </w:tr>
      <w:tr w14:paraId="41C1E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09658389">
            <w:pPr>
              <w:pStyle w:val="78"/>
              <w:keepNext w:val="0"/>
              <w:keepLines w:val="0"/>
              <w:widowControl/>
              <w:suppressLineNumbers w:val="0"/>
              <w:spacing w:line="360" w:lineRule="auto"/>
              <w:jc w:val="center"/>
              <w:rPr>
                <w:rFonts w:hint="default"/>
                <w:color w:val="auto"/>
                <w:sz w:val="24"/>
                <w:szCs w:val="24"/>
                <w:vertAlign w:val="baseline"/>
                <w:lang w:val="en-US" w:eastAsia="zh-CN"/>
              </w:rPr>
            </w:pPr>
            <w:r>
              <w:rPr>
                <w:rFonts w:hint="eastAsia"/>
                <w:color w:val="auto"/>
                <w:sz w:val="24"/>
                <w:szCs w:val="24"/>
                <w:vertAlign w:val="baseline"/>
                <w:lang w:val="en-US" w:eastAsia="zh-CN"/>
              </w:rPr>
              <w:t>南侧为国猪（山东）生物科技有限公司</w:t>
            </w:r>
          </w:p>
        </w:tc>
        <w:tc>
          <w:tcPr>
            <w:tcW w:w="4261" w:type="dxa"/>
            <w:noWrap w:val="0"/>
            <w:vAlign w:val="center"/>
          </w:tcPr>
          <w:p w14:paraId="095194C9">
            <w:pPr>
              <w:pStyle w:val="78"/>
              <w:keepNext w:val="0"/>
              <w:keepLines w:val="0"/>
              <w:widowControl/>
              <w:suppressLineNumbers w:val="0"/>
              <w:spacing w:line="360" w:lineRule="auto"/>
              <w:jc w:val="center"/>
              <w:rPr>
                <w:rFonts w:hint="default"/>
                <w:color w:val="auto"/>
                <w:sz w:val="24"/>
                <w:szCs w:val="24"/>
                <w:vertAlign w:val="baseline"/>
                <w:lang w:val="en-US" w:eastAsia="zh-CN"/>
              </w:rPr>
            </w:pPr>
            <w:r>
              <w:rPr>
                <w:rFonts w:hint="eastAsia"/>
                <w:color w:val="auto"/>
                <w:sz w:val="24"/>
                <w:szCs w:val="24"/>
                <w:vertAlign w:val="baseline"/>
                <w:lang w:val="en-US" w:eastAsia="zh-CN"/>
              </w:rPr>
              <w:t>北侧为淄博圣旺商贸有限公司</w:t>
            </w:r>
          </w:p>
        </w:tc>
      </w:tr>
    </w:tbl>
    <w:p w14:paraId="32EA5135">
      <w:pPr>
        <w:pStyle w:val="78"/>
        <w:keepNext w:val="0"/>
        <w:keepLines w:val="0"/>
        <w:widowControl/>
        <w:suppressLineNumbers w:val="0"/>
        <w:shd w:val="clear" w:color="auto" w:fill="auto"/>
        <w:spacing w:line="360" w:lineRule="auto"/>
        <w:jc w:val="left"/>
        <w:rPr>
          <w:rFonts w:hint="eastAsia"/>
          <w:color w:val="auto"/>
          <w:sz w:val="28"/>
          <w:szCs w:val="28"/>
          <w:lang w:val="en-US" w:eastAsia="zh-CN"/>
        </w:rPr>
      </w:pPr>
    </w:p>
    <w:p w14:paraId="4DCEBF94">
      <w:pPr>
        <w:pStyle w:val="78"/>
        <w:keepNext w:val="0"/>
        <w:keepLines w:val="0"/>
        <w:widowControl/>
        <w:suppressLineNumbers w:val="0"/>
        <w:shd w:val="clear" w:color="auto" w:fill="auto"/>
        <w:spacing w:line="360" w:lineRule="auto"/>
        <w:jc w:val="left"/>
        <w:rPr>
          <w:rFonts w:hint="eastAsia" w:eastAsia="宋体"/>
          <w:color w:val="auto"/>
          <w:sz w:val="28"/>
          <w:szCs w:val="28"/>
          <w:lang w:eastAsia="zh-CN"/>
        </w:rPr>
      </w:pPr>
    </w:p>
    <w:p w14:paraId="0457262B">
      <w:pPr>
        <w:pStyle w:val="78"/>
        <w:keepNext w:val="0"/>
        <w:keepLines w:val="0"/>
        <w:widowControl/>
        <w:suppressLineNumbers w:val="0"/>
        <w:shd w:val="clear" w:color="auto" w:fill="auto"/>
        <w:spacing w:line="360" w:lineRule="auto"/>
        <w:jc w:val="left"/>
        <w:rPr>
          <w:rFonts w:hint="eastAsia" w:eastAsia="宋体"/>
          <w:color w:val="auto"/>
          <w:sz w:val="28"/>
          <w:szCs w:val="28"/>
          <w:lang w:eastAsia="zh-CN"/>
        </w:rPr>
      </w:pPr>
    </w:p>
    <w:p w14:paraId="20DFF48B">
      <w:pPr>
        <w:pStyle w:val="78"/>
        <w:keepNext w:val="0"/>
        <w:keepLines w:val="0"/>
        <w:widowControl/>
        <w:suppressLineNumbers w:val="0"/>
        <w:shd w:val="clear" w:color="auto" w:fill="auto"/>
        <w:spacing w:line="360" w:lineRule="auto"/>
        <w:jc w:val="left"/>
        <w:rPr>
          <w:rFonts w:hint="eastAsia" w:eastAsia="宋体"/>
          <w:color w:val="auto"/>
          <w:sz w:val="28"/>
          <w:szCs w:val="28"/>
          <w:lang w:eastAsia="zh-CN"/>
        </w:rPr>
      </w:pPr>
    </w:p>
    <w:p w14:paraId="4C49D419">
      <w:pPr>
        <w:pStyle w:val="78"/>
        <w:keepNext w:val="0"/>
        <w:keepLines w:val="0"/>
        <w:widowControl/>
        <w:suppressLineNumbers w:val="0"/>
        <w:shd w:val="clear" w:color="auto" w:fill="auto"/>
        <w:spacing w:line="360" w:lineRule="auto"/>
        <w:jc w:val="left"/>
        <w:rPr>
          <w:rFonts w:hint="eastAsia" w:eastAsia="宋体"/>
          <w:color w:val="auto"/>
          <w:sz w:val="28"/>
          <w:szCs w:val="28"/>
          <w:lang w:eastAsia="zh-CN"/>
        </w:rPr>
      </w:pPr>
    </w:p>
    <w:p w14:paraId="5E7CE48C">
      <w:pPr>
        <w:pStyle w:val="78"/>
        <w:keepNext w:val="0"/>
        <w:keepLines w:val="0"/>
        <w:widowControl/>
        <w:suppressLineNumbers w:val="0"/>
        <w:shd w:val="clear" w:color="auto" w:fill="auto"/>
        <w:spacing w:line="360" w:lineRule="auto"/>
        <w:jc w:val="left"/>
        <w:rPr>
          <w:rFonts w:hint="eastAsia" w:eastAsia="宋体"/>
          <w:color w:val="auto"/>
          <w:sz w:val="28"/>
          <w:szCs w:val="28"/>
          <w:lang w:eastAsia="zh-CN"/>
        </w:rPr>
      </w:pPr>
    </w:p>
    <w:p w14:paraId="083BEFF4">
      <w:pPr>
        <w:jc w:val="center"/>
        <w:rPr>
          <w:rFonts w:hint="default" w:ascii="Times New Roman" w:hAnsi="Times New Roman" w:eastAsia="宋体" w:cs="Times New Roman"/>
          <w:b/>
          <w:bCs/>
          <w:color w:val="auto"/>
          <w:sz w:val="24"/>
          <w:szCs w:val="24"/>
          <w:lang w:val="en-US" w:eastAsia="zh-CN"/>
        </w:rPr>
      </w:pPr>
      <w:r>
        <w:rPr>
          <w:color w:val="auto"/>
          <w:sz w:val="24"/>
        </w:rPr>
        <mc:AlternateContent>
          <mc:Choice Requires="wps">
            <w:drawing>
              <wp:anchor distT="0" distB="0" distL="114300" distR="114300" simplePos="0" relativeHeight="251659264" behindDoc="0" locked="0" layoutInCell="1" allowOverlap="1">
                <wp:simplePos x="0" y="0"/>
                <wp:positionH relativeFrom="column">
                  <wp:posOffset>2240280</wp:posOffset>
                </wp:positionH>
                <wp:positionV relativeFrom="paragraph">
                  <wp:posOffset>2929890</wp:posOffset>
                </wp:positionV>
                <wp:extent cx="95250" cy="95250"/>
                <wp:effectExtent l="12700" t="12700" r="25400" b="25400"/>
                <wp:wrapNone/>
                <wp:docPr id="83" name="五角星 83"/>
                <wp:cNvGraphicFramePr/>
                <a:graphic xmlns:a="http://schemas.openxmlformats.org/drawingml/2006/main">
                  <a:graphicData uri="http://schemas.microsoft.com/office/word/2010/wordprocessingShape">
                    <wps:wsp>
                      <wps:cNvSpPr/>
                      <wps:spPr>
                        <a:xfrm>
                          <a:off x="0" y="0"/>
                          <a:ext cx="95250" cy="95250"/>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6.4pt;margin-top:230.7pt;height:7.5pt;width:7.5pt;z-index:251659264;v-text-anchor:middle;mso-width-relative:page;mso-height-relative:page;" fillcolor="#FF0000" filled="t" stroked="t" coordsize="95250,95250" o:gfxdata="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9zRKj2gAAAAsBAAAPAAAAAAAAAAEAIAAAACIAAABkcnMvZG93bnJldi54bWxQ&#10;SwECFAAUAAAACACHTuJAikzEN2cCAADgBAAADgAAAAAAAAABACAAAAApAQAAZHJzL2Uyb0RvYy54&#10;bWxQSwUGAAAAAAYABgBZAQAAAgYAAAAA&#10;" path="m0,36382l36382,36382,47625,0,58867,36382,95249,36382,65815,58867,77058,95249,47625,72764,18191,95249,29434,58867xe">
                <v:path o:connectlocs="47625,0;0,36382;18191,95249;77058,95249;95249,36382" o:connectangles="247,164,82,82,0"/>
                <v:fill on="t" focussize="0,0"/>
                <v:stroke weight="2pt" color="#000000 [3213]" joinstyle="round"/>
                <v:imagedata o:title=""/>
                <o:lock v:ext="edit" aspectratio="f"/>
              </v:shape>
            </w:pict>
          </mc:Fallback>
        </mc:AlternateContent>
      </w:r>
      <w:r>
        <w:rPr>
          <w:color w:val="auto"/>
          <w:sz w:val="24"/>
        </w:rPr>
        <mc:AlternateContent>
          <mc:Choice Requires="wps">
            <w:drawing>
              <wp:anchor distT="0" distB="0" distL="114300" distR="114300" simplePos="0" relativeHeight="251660288" behindDoc="0" locked="0" layoutInCell="1" allowOverlap="1">
                <wp:simplePos x="0" y="0"/>
                <wp:positionH relativeFrom="column">
                  <wp:posOffset>2482215</wp:posOffset>
                </wp:positionH>
                <wp:positionV relativeFrom="paragraph">
                  <wp:posOffset>2345690</wp:posOffset>
                </wp:positionV>
                <wp:extent cx="1171575" cy="323850"/>
                <wp:effectExtent l="128270" t="12700" r="14605" b="292100"/>
                <wp:wrapNone/>
                <wp:docPr id="84" name="圆角矩形标注 84"/>
                <wp:cNvGraphicFramePr/>
                <a:graphic xmlns:a="http://schemas.openxmlformats.org/drawingml/2006/main">
                  <a:graphicData uri="http://schemas.microsoft.com/office/word/2010/wordprocessingShape">
                    <wps:wsp>
                      <wps:cNvSpPr/>
                      <wps:spPr>
                        <a:xfrm>
                          <a:off x="0" y="0"/>
                          <a:ext cx="1171575" cy="323850"/>
                        </a:xfrm>
                        <a:prstGeom prst="wedgeRoundRectCallout">
                          <a:avLst>
                            <a:gd name="adj1" fmla="val -59864"/>
                            <a:gd name="adj2" fmla="val 13313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C86C5">
                            <w:pPr>
                              <w:jc w:val="center"/>
                              <w:rPr>
                                <w:rFonts w:hint="default" w:eastAsiaTheme="minorEastAsia"/>
                                <w:b/>
                                <w:bCs/>
                                <w:color w:val="FF0000"/>
                                <w:lang w:val="en-US" w:eastAsia="zh-CN"/>
                              </w:rPr>
                            </w:pPr>
                            <w:r>
                              <w:rPr>
                                <w:rFonts w:hint="eastAsia"/>
                                <w:b/>
                                <w:bCs/>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95.45pt;margin-top:184.7pt;height:25.5pt;width:92.25pt;z-index:251660288;v-text-anchor:middle;mso-width-relative:page;mso-height-relative:page;" fillcolor="#FFFFFF [3212]" filled="t" stroked="t" coordsize="21600,21600" o:gfxdata="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K52De3YAAAACwEAAA8AAAAA&#10;AAAAAQAgAAAAIgAAAGRycy9kb3ducmV2LnhtbFBLAQIUABQAAAAIAIdO4kBYtrwMvwIAAH4FAAAO&#10;AAAAAAAAAAEAIAAAACcBAABkcnMvZTJvRG9jLnhtbFBLBQYAAAAABgAGAFkBAABYBgAAAAA=&#10;" adj="-2131,39558,14400">
                <v:fill on="t" focussize="0,0"/>
                <v:stroke weight="2pt" color="#000000 [3213]" joinstyle="round"/>
                <v:imagedata o:title=""/>
                <o:lock v:ext="edit" aspectratio="f"/>
                <v:textbox>
                  <w:txbxContent>
                    <w:p w14:paraId="169C86C5">
                      <w:pPr>
                        <w:jc w:val="center"/>
                        <w:rPr>
                          <w:rFonts w:hint="default" w:eastAsiaTheme="minorEastAsia"/>
                          <w:b/>
                          <w:bCs/>
                          <w:color w:val="FF0000"/>
                          <w:lang w:val="en-US" w:eastAsia="zh-CN"/>
                        </w:rPr>
                      </w:pPr>
                      <w:r>
                        <w:rPr>
                          <w:rFonts w:hint="eastAsia"/>
                          <w:b/>
                          <w:bCs/>
                          <w:color w:val="FF0000"/>
                          <w:lang w:val="en-US" w:eastAsia="zh-CN"/>
                        </w:rPr>
                        <w:t>项目所在地</w:t>
                      </w:r>
                    </w:p>
                  </w:txbxContent>
                </v:textbox>
              </v:shape>
            </w:pict>
          </mc:Fallback>
        </mc:AlternateContent>
      </w:r>
      <w:r>
        <w:rPr>
          <w:rFonts w:hint="default" w:ascii="Times New Roman" w:hAnsi="Times New Roman" w:cs="Times New Roman"/>
          <w:b/>
          <w:color w:val="auto"/>
          <w:sz w:val="24"/>
          <w:szCs w:val="24"/>
        </w:rPr>
        <w:drawing>
          <wp:inline distT="0" distB="0" distL="114300" distR="114300">
            <wp:extent cx="5259070" cy="7813040"/>
            <wp:effectExtent l="0" t="0" r="17780" b="16510"/>
            <wp:docPr id="82" name="图片 1" descr="E:\环评基础资料\淄博图例收集\淄博市政区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descr="E:\环评基础资料\淄博图例收集\淄博市政区图.jpg"/>
                    <pic:cNvPicPr>
                      <a:picLocks noChangeAspect="1"/>
                    </pic:cNvPicPr>
                  </pic:nvPicPr>
                  <pic:blipFill>
                    <a:blip r:embed="rId46"/>
                    <a:stretch>
                      <a:fillRect/>
                    </a:stretch>
                  </pic:blipFill>
                  <pic:spPr>
                    <a:xfrm>
                      <a:off x="0" y="0"/>
                      <a:ext cx="5259070" cy="7813040"/>
                    </a:xfrm>
                    <a:prstGeom prst="rect">
                      <a:avLst/>
                    </a:prstGeom>
                    <a:noFill/>
                    <a:ln>
                      <a:noFill/>
                    </a:ln>
                  </pic:spPr>
                </pic:pic>
              </a:graphicData>
            </a:graphic>
          </wp:inline>
        </w:drawing>
      </w:r>
    </w:p>
    <w:p w14:paraId="3A1DA888">
      <w:pPr>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附图1 地理位置图</w:t>
      </w:r>
    </w:p>
    <w:p w14:paraId="3E92F532">
      <w:pPr>
        <w:jc w:val="center"/>
        <w:rPr>
          <w:rFonts w:hint="default" w:ascii="Times New Roman" w:hAnsi="Times New Roman" w:eastAsia="宋体" w:cs="Times New Roman"/>
          <w:b/>
          <w:bCs/>
          <w:color w:val="auto"/>
          <w:sz w:val="24"/>
          <w:szCs w:val="24"/>
          <w:lang w:val="en-US" w:eastAsia="zh-CN"/>
        </w:rPr>
      </w:pPr>
    </w:p>
    <w:p w14:paraId="44934913">
      <w:pPr>
        <w:jc w:val="center"/>
        <w:rPr>
          <w:rFonts w:hint="default" w:ascii="Times New Roman" w:hAnsi="Times New Roman" w:eastAsia="宋体" w:cs="Times New Roman"/>
          <w:b/>
          <w:bCs/>
          <w:color w:val="auto"/>
          <w:sz w:val="24"/>
          <w:szCs w:val="24"/>
          <w:lang w:val="en-US" w:eastAsia="zh-CN"/>
        </w:rPr>
      </w:pPr>
    </w:p>
    <w:p w14:paraId="566B1C09">
      <w:pPr>
        <w:pStyle w:val="6"/>
        <w:rPr>
          <w:color w:val="auto"/>
        </w:rPr>
        <w:sectPr>
          <w:pgSz w:w="11906" w:h="16838"/>
          <w:pgMar w:top="1440" w:right="1800" w:bottom="1440" w:left="1800" w:header="851" w:footer="992" w:gutter="0"/>
          <w:cols w:space="425" w:num="1"/>
          <w:docGrid w:type="lines" w:linePitch="312" w:charSpace="0"/>
        </w:sectPr>
      </w:pPr>
    </w:p>
    <w:p w14:paraId="648AD709">
      <w:pPr>
        <w:pStyle w:val="6"/>
        <w:jc w:val="center"/>
        <w:rPr>
          <w:color w:val="auto"/>
        </w:rPr>
      </w:pPr>
      <w:r>
        <w:rPr>
          <w:color w:val="auto"/>
        </w:rPr>
        <w:drawing>
          <wp:anchor distT="0" distB="0" distL="114300" distR="114300" simplePos="0" relativeHeight="251681792" behindDoc="0" locked="0" layoutInCell="1" allowOverlap="1">
            <wp:simplePos x="0" y="0"/>
            <wp:positionH relativeFrom="column">
              <wp:posOffset>813435</wp:posOffset>
            </wp:positionH>
            <wp:positionV relativeFrom="paragraph">
              <wp:posOffset>4570730</wp:posOffset>
            </wp:positionV>
            <wp:extent cx="1818640" cy="410210"/>
            <wp:effectExtent l="0" t="0" r="10160" b="8890"/>
            <wp:wrapNone/>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47"/>
                    <a:stretch>
                      <a:fillRect/>
                    </a:stretch>
                  </pic:blipFill>
                  <pic:spPr>
                    <a:xfrm>
                      <a:off x="0" y="0"/>
                      <a:ext cx="1818640" cy="410210"/>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4097655</wp:posOffset>
                </wp:positionH>
                <wp:positionV relativeFrom="paragraph">
                  <wp:posOffset>1945005</wp:posOffset>
                </wp:positionV>
                <wp:extent cx="234315" cy="988060"/>
                <wp:effectExtent l="128905" t="26670" r="132080" b="33020"/>
                <wp:wrapNone/>
                <wp:docPr id="35" name="矩形 35"/>
                <wp:cNvGraphicFramePr/>
                <a:graphic xmlns:a="http://schemas.openxmlformats.org/drawingml/2006/main">
                  <a:graphicData uri="http://schemas.microsoft.com/office/word/2010/wordprocessingShape">
                    <wps:wsp>
                      <wps:cNvSpPr/>
                      <wps:spPr>
                        <a:xfrm rot="840000">
                          <a:off x="4500880" y="3210560"/>
                          <a:ext cx="234315" cy="98806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2.65pt;margin-top:153.15pt;height:77.8pt;width:18.45pt;rotation:917504f;z-index:251679744;v-text-anchor:middle;mso-width-relative:page;mso-height-relative:page;" filled="f" stroked="t" coordsize="21600,21600" o:gfxdata="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fJHVK2AAAAAsBAAAPAAAAAAAAAAEAIAAAACIAAABkcnMvZG93bnJl&#10;di54bWxQSwECFAAUAAAACACHTuJAOJvd2m8CAADOBAAADgAAAAAAAAABACAAAAAnAQAAZHJzL2Uy&#10;b0RvYy54bWxQSwUGAAAAAAYABgBZAQAACAYAAAAA&#10;">
                <v:fill on="f" focussize="0,0"/>
                <v:stroke weight="2pt" color="#FF0000 [2404]" joinstyle="round"/>
                <v:imagedata o:title=""/>
                <o:lock v:ext="edit" aspectratio="f"/>
              </v:rect>
            </w:pict>
          </mc:Fallback>
        </mc:AlternateContent>
      </w:r>
      <w:r>
        <w:rPr>
          <w:rFonts w:hint="default" w:ascii="Times New Roman" w:hAnsi="Times New Roman" w:cs="Times New Roman"/>
          <w:color w:val="auto"/>
          <w:highlight w:val="none"/>
        </w:rPr>
        <w:drawing>
          <wp:anchor distT="0" distB="0" distL="114300" distR="114300" simplePos="0" relativeHeight="251687936" behindDoc="0" locked="0" layoutInCell="1" allowOverlap="1">
            <wp:simplePos x="0" y="0"/>
            <wp:positionH relativeFrom="column">
              <wp:posOffset>7353300</wp:posOffset>
            </wp:positionH>
            <wp:positionV relativeFrom="paragraph">
              <wp:posOffset>92710</wp:posOffset>
            </wp:positionV>
            <wp:extent cx="948055" cy="927735"/>
            <wp:effectExtent l="0" t="0" r="4445" b="5715"/>
            <wp:wrapNone/>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48"/>
                    <a:stretch>
                      <a:fillRect/>
                    </a:stretch>
                  </pic:blipFill>
                  <pic:spPr>
                    <a:xfrm>
                      <a:off x="0" y="0"/>
                      <a:ext cx="948055" cy="92773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64384" behindDoc="0" locked="0" layoutInCell="1" allowOverlap="1">
                <wp:simplePos x="0" y="0"/>
                <wp:positionH relativeFrom="column">
                  <wp:posOffset>2801620</wp:posOffset>
                </wp:positionH>
                <wp:positionV relativeFrom="paragraph">
                  <wp:posOffset>2069465</wp:posOffset>
                </wp:positionV>
                <wp:extent cx="1014730" cy="554990"/>
                <wp:effectExtent l="0" t="0" r="0" b="0"/>
                <wp:wrapNone/>
                <wp:docPr id="31" name="文本框 31"/>
                <wp:cNvGraphicFramePr/>
                <a:graphic xmlns:a="http://schemas.openxmlformats.org/drawingml/2006/main">
                  <a:graphicData uri="http://schemas.microsoft.com/office/word/2010/wordprocessingShape">
                    <wps:wsp>
                      <wps:cNvSpPr txBox="1"/>
                      <wps:spPr>
                        <a:xfrm rot="480000">
                          <a:off x="0" y="0"/>
                          <a:ext cx="1014730" cy="554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B855FB">
                            <w:pPr>
                              <w:jc w:val="center"/>
                              <w:rPr>
                                <w:rFonts w:hint="default" w:eastAsiaTheme="minorEastAsia"/>
                                <w:b/>
                                <w:bCs/>
                                <w:color w:val="FFFF00"/>
                                <w:lang w:val="en-US" w:eastAsia="zh-CN"/>
                              </w:rPr>
                            </w:pPr>
                            <w:r>
                              <w:rPr>
                                <w:rFonts w:hint="eastAsia"/>
                                <w:b/>
                                <w:bCs/>
                                <w:color w:val="FFFF00"/>
                                <w:lang w:val="en-US" w:eastAsia="zh-CN"/>
                              </w:rPr>
                              <w:t>淄博旭昊纺织有限公司</w:t>
                            </w:r>
                          </w:p>
                          <w:p w14:paraId="63474831">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6pt;margin-top:162.95pt;height:43.7pt;width:79.9pt;rotation:524288f;z-index:251664384;mso-width-relative:page;mso-height-relative:page;" filled="f" stroked="f" coordsize="21600,21600" o:gfxdata="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N0FqIzaAAAACwEAAA8AAAAAAAAAAQAg&#10;AAAAIgAAAGRycy9kb3ducmV2LnhtbFBLAQIUABQAAAAIAIdO4kClvs8ZRQIAAHUEAAAOAAAAAAAA&#10;AAEAIAAAACkBAABkcnMvZTJvRG9jLnhtbFBLBQYAAAAABgAGAFkBAADgBQAAAAA=&#10;">
                <v:fill on="f" focussize="0,0"/>
                <v:stroke on="f" weight="0.5pt"/>
                <v:imagedata o:title=""/>
                <o:lock v:ext="edit" aspectratio="f"/>
                <v:textbox>
                  <w:txbxContent>
                    <w:p w14:paraId="06B855FB">
                      <w:pPr>
                        <w:jc w:val="center"/>
                        <w:rPr>
                          <w:rFonts w:hint="default" w:eastAsiaTheme="minorEastAsia"/>
                          <w:b/>
                          <w:bCs/>
                          <w:color w:val="FFFF00"/>
                          <w:lang w:val="en-US" w:eastAsia="zh-CN"/>
                        </w:rPr>
                      </w:pPr>
                      <w:r>
                        <w:rPr>
                          <w:rFonts w:hint="eastAsia"/>
                          <w:b/>
                          <w:bCs/>
                          <w:color w:val="FFFF00"/>
                          <w:lang w:val="en-US" w:eastAsia="zh-CN"/>
                        </w:rPr>
                        <w:t>淄博旭昊纺织有限公司</w:t>
                      </w:r>
                    </w:p>
                    <w:p w14:paraId="63474831">
                      <w:pPr>
                        <w:rPr>
                          <w:rFonts w:hint="default"/>
                          <w:lang w:val="en-US" w:eastAsia="zh-CN"/>
                        </w:rPr>
                      </w:pPr>
                    </w:p>
                  </w:txbxContent>
                </v:textbox>
              </v:shape>
            </w:pict>
          </mc:Fallback>
        </mc:AlternateContent>
      </w:r>
      <w:r>
        <w:rPr>
          <w:color w:val="auto"/>
          <w:sz w:val="24"/>
        </w:rPr>
        <mc:AlternateContent>
          <mc:Choice Requires="wps">
            <w:drawing>
              <wp:anchor distT="0" distB="0" distL="114300" distR="114300" simplePos="0" relativeHeight="251661312" behindDoc="0" locked="0" layoutInCell="1" allowOverlap="1">
                <wp:simplePos x="0" y="0"/>
                <wp:positionH relativeFrom="column">
                  <wp:posOffset>3742690</wp:posOffset>
                </wp:positionH>
                <wp:positionV relativeFrom="paragraph">
                  <wp:posOffset>1352550</wp:posOffset>
                </wp:positionV>
                <wp:extent cx="1692910" cy="342900"/>
                <wp:effectExtent l="0" t="0" r="0" b="0"/>
                <wp:wrapNone/>
                <wp:docPr id="32" name="文本框 32"/>
                <wp:cNvGraphicFramePr/>
                <a:graphic xmlns:a="http://schemas.openxmlformats.org/drawingml/2006/main">
                  <a:graphicData uri="http://schemas.microsoft.com/office/word/2010/wordprocessingShape">
                    <wps:wsp>
                      <wps:cNvSpPr txBox="1"/>
                      <wps:spPr>
                        <a:xfrm rot="540000">
                          <a:off x="4283710" y="2580640"/>
                          <a:ext cx="1692910"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ECBBE8">
                            <w:pPr>
                              <w:jc w:val="center"/>
                              <w:rPr>
                                <w:rFonts w:hint="default" w:eastAsiaTheme="minorEastAsia"/>
                                <w:b/>
                                <w:bCs/>
                                <w:color w:val="FFFF00"/>
                                <w:lang w:val="en-US" w:eastAsia="zh-CN"/>
                              </w:rPr>
                            </w:pPr>
                            <w:r>
                              <w:rPr>
                                <w:rFonts w:hint="eastAsia"/>
                                <w:b/>
                                <w:bCs/>
                                <w:color w:val="FFFF00"/>
                                <w:lang w:val="en-US" w:eastAsia="zh-CN"/>
                              </w:rPr>
                              <w:t>淄博圣旺商贸有限公司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7pt;margin-top:106.5pt;height:27pt;width:133.3pt;rotation:589824f;z-index:251661312;mso-width-relative:page;mso-height-relative:page;" filled="f" stroked="f" coordsize="21600,21600" o:gfxdata="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xZ0sDZAAAACwEAAA8A&#10;AAAAAAAAAQAgAAAAIgAAAGRycy9kb3ducmV2LnhtbFBLAQIUABQAAAAIAIdO4kAni4BoTwIAAIEE&#10;AAAOAAAAAAAAAAEAIAAAACgBAABkcnMvZTJvRG9jLnhtbFBLBQYAAAAABgAGAFkBAADpBQAAAAA=&#10;">
                <v:fill on="f" focussize="0,0"/>
                <v:stroke on="f" weight="0.5pt"/>
                <v:imagedata o:title=""/>
                <o:lock v:ext="edit" aspectratio="f"/>
                <v:textbox>
                  <w:txbxContent>
                    <w:p w14:paraId="55ECBBE8">
                      <w:pPr>
                        <w:jc w:val="center"/>
                        <w:rPr>
                          <w:rFonts w:hint="default" w:eastAsiaTheme="minorEastAsia"/>
                          <w:b/>
                          <w:bCs/>
                          <w:color w:val="FFFF00"/>
                          <w:lang w:val="en-US" w:eastAsia="zh-CN"/>
                        </w:rPr>
                      </w:pPr>
                      <w:r>
                        <w:rPr>
                          <w:rFonts w:hint="eastAsia"/>
                          <w:b/>
                          <w:bCs/>
                          <w:color w:val="FFFF00"/>
                          <w:lang w:val="en-US" w:eastAsia="zh-CN"/>
                        </w:rPr>
                        <w:t>淄博圣旺商贸有限公司</w:t>
                      </w:r>
                    </w:p>
                  </w:txbxContent>
                </v:textbox>
              </v:shape>
            </w:pict>
          </mc:Fallback>
        </mc:AlternateContent>
      </w:r>
      <w:r>
        <w:rPr>
          <w:color w:val="auto"/>
          <w:sz w:val="24"/>
        </w:rPr>
        <mc:AlternateContent>
          <mc:Choice Requires="wps">
            <w:drawing>
              <wp:anchor distT="0" distB="0" distL="114300" distR="114300" simplePos="0" relativeHeight="251663360" behindDoc="0" locked="0" layoutInCell="1" allowOverlap="1">
                <wp:simplePos x="0" y="0"/>
                <wp:positionH relativeFrom="column">
                  <wp:posOffset>3159125</wp:posOffset>
                </wp:positionH>
                <wp:positionV relativeFrom="paragraph">
                  <wp:posOffset>3056890</wp:posOffset>
                </wp:positionV>
                <wp:extent cx="1266825" cy="614680"/>
                <wp:effectExtent l="0" t="0" r="0" b="0"/>
                <wp:wrapNone/>
                <wp:docPr id="33" name="文本框 33"/>
                <wp:cNvGraphicFramePr/>
                <a:graphic xmlns:a="http://schemas.openxmlformats.org/drawingml/2006/main">
                  <a:graphicData uri="http://schemas.microsoft.com/office/word/2010/wordprocessingShape">
                    <wps:wsp>
                      <wps:cNvSpPr txBox="1"/>
                      <wps:spPr>
                        <a:xfrm rot="300000">
                          <a:off x="0" y="0"/>
                          <a:ext cx="1266825" cy="614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757844">
                            <w:pPr>
                              <w:jc w:val="center"/>
                              <w:rPr>
                                <w:rFonts w:hint="default"/>
                                <w:b/>
                                <w:bCs/>
                                <w:color w:val="FFFF00"/>
                                <w:lang w:val="en-US" w:eastAsia="zh-CN"/>
                              </w:rPr>
                            </w:pPr>
                            <w:r>
                              <w:rPr>
                                <w:rFonts w:hint="eastAsia"/>
                                <w:b/>
                                <w:bCs/>
                                <w:color w:val="FFFF00"/>
                                <w:lang w:val="en-US" w:eastAsia="zh-CN"/>
                              </w:rPr>
                              <w:t>国猪（山东）生物科技有限公司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75pt;margin-top:240.7pt;height:48.4pt;width:99.75pt;rotation:327680f;z-index:251663360;mso-width-relative:page;mso-height-relative:page;" filled="f" stroked="f" coordsize="21600,21600" o:gfxdata="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Dv3SfZAAAACwEAAA8AAAAAAAAAAQAgAAAA&#10;IgAAAGRycy9kb3ducmV2LnhtbFBLAQIUABQAAAAIAIdO4kBEzKmRQwIAAHUEAAAOAAAAAAAAAAEA&#10;IAAAACgBAABkcnMvZTJvRG9jLnhtbFBLBQYAAAAABgAGAFkBAADdBQAAAAA=&#10;">
                <v:fill on="f" focussize="0,0"/>
                <v:stroke on="f" weight="0.5pt"/>
                <v:imagedata o:title=""/>
                <o:lock v:ext="edit" aspectratio="f"/>
                <v:textbox>
                  <w:txbxContent>
                    <w:p w14:paraId="5A757844">
                      <w:pPr>
                        <w:jc w:val="center"/>
                        <w:rPr>
                          <w:rFonts w:hint="default"/>
                          <w:b/>
                          <w:bCs/>
                          <w:color w:val="FFFF00"/>
                          <w:lang w:val="en-US" w:eastAsia="zh-CN"/>
                        </w:rPr>
                      </w:pPr>
                      <w:r>
                        <w:rPr>
                          <w:rFonts w:hint="eastAsia"/>
                          <w:b/>
                          <w:bCs/>
                          <w:color w:val="FFFF00"/>
                          <w:lang w:val="en-US" w:eastAsia="zh-CN"/>
                        </w:rPr>
                        <w:t>国猪（山东）生物科技有限公司</w:t>
                      </w:r>
                    </w:p>
                  </w:txbxContent>
                </v:textbox>
              </v:shape>
            </w:pict>
          </mc:Fallback>
        </mc:AlternateContent>
      </w:r>
      <w:r>
        <w:rPr>
          <w:color w:val="auto"/>
          <w:sz w:val="24"/>
        </w:rPr>
        <mc:AlternateContent>
          <mc:Choice Requires="wps">
            <w:drawing>
              <wp:anchor distT="0" distB="0" distL="114300" distR="114300" simplePos="0" relativeHeight="251662336" behindDoc="0" locked="0" layoutInCell="1" allowOverlap="1">
                <wp:simplePos x="0" y="0"/>
                <wp:positionH relativeFrom="column">
                  <wp:posOffset>4284345</wp:posOffset>
                </wp:positionH>
                <wp:positionV relativeFrom="paragraph">
                  <wp:posOffset>2395855</wp:posOffset>
                </wp:positionV>
                <wp:extent cx="1358265" cy="550545"/>
                <wp:effectExtent l="0" t="0" r="0" b="0"/>
                <wp:wrapNone/>
                <wp:docPr id="34" name="文本框 34"/>
                <wp:cNvGraphicFramePr/>
                <a:graphic xmlns:a="http://schemas.openxmlformats.org/drawingml/2006/main">
                  <a:graphicData uri="http://schemas.microsoft.com/office/word/2010/wordprocessingShape">
                    <wps:wsp>
                      <wps:cNvSpPr txBox="1"/>
                      <wps:spPr>
                        <a:xfrm rot="540000">
                          <a:off x="0" y="0"/>
                          <a:ext cx="1358265" cy="550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A28A42">
                            <w:pPr>
                              <w:jc w:val="center"/>
                              <w:rPr>
                                <w:rFonts w:hint="default"/>
                                <w:b/>
                                <w:bCs/>
                                <w:color w:val="FFFF00"/>
                                <w:lang w:val="en-US" w:eastAsia="zh-CN"/>
                              </w:rPr>
                            </w:pPr>
                            <w:r>
                              <w:rPr>
                                <w:rFonts w:hint="eastAsia"/>
                                <w:b/>
                                <w:bCs/>
                                <w:color w:val="FFFF00"/>
                                <w:sz w:val="24"/>
                                <w:szCs w:val="24"/>
                                <w:vertAlign w:val="baseline"/>
                                <w:lang w:val="en-US" w:eastAsia="zh-CN"/>
                              </w:rPr>
                              <w:t>山东中顺新材料有限公司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7.35pt;margin-top:188.65pt;height:43.35pt;width:106.95pt;rotation:589824f;z-index:251662336;mso-width-relative:page;mso-height-relative:page;" filled="f" stroked="f" coordsize="21600,21600" o:gfxdata="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nwEiptgAAAALAQAADwAAAAAAAAABACAAAAAi&#10;AAAAZHJzL2Rvd25yZXYueG1sUEsBAhQAFAAAAAgAh07iQGbzoJ5DAgAAdQQAAA4AAAAAAAAAAQAg&#10;AAAAJwEAAGRycy9lMm9Eb2MueG1sUEsFBgAAAAAGAAYAWQEAANwFAAAAAA==&#10;">
                <v:fill on="f" focussize="0,0"/>
                <v:stroke on="f" weight="0.5pt"/>
                <v:imagedata o:title=""/>
                <o:lock v:ext="edit" aspectratio="f"/>
                <v:textbox>
                  <w:txbxContent>
                    <w:p w14:paraId="13A28A42">
                      <w:pPr>
                        <w:jc w:val="center"/>
                        <w:rPr>
                          <w:rFonts w:hint="default"/>
                          <w:b/>
                          <w:bCs/>
                          <w:color w:val="FFFF00"/>
                          <w:lang w:val="en-US" w:eastAsia="zh-CN"/>
                        </w:rPr>
                      </w:pPr>
                      <w:r>
                        <w:rPr>
                          <w:rFonts w:hint="eastAsia"/>
                          <w:b/>
                          <w:bCs/>
                          <w:color w:val="FFFF00"/>
                          <w:sz w:val="24"/>
                          <w:szCs w:val="24"/>
                          <w:vertAlign w:val="baseline"/>
                          <w:lang w:val="en-US" w:eastAsia="zh-CN"/>
                        </w:rPr>
                        <w:t>山东中顺新材料有限公司</w:t>
                      </w:r>
                    </w:p>
                  </w:txbxContent>
                </v:textbox>
              </v:shape>
            </w:pict>
          </mc:Fallback>
        </mc:AlternateContent>
      </w:r>
      <w:r>
        <w:rPr>
          <w:color w:val="auto"/>
        </w:rPr>
        <w:drawing>
          <wp:inline distT="0" distB="0" distL="114300" distR="114300">
            <wp:extent cx="7915910" cy="4911725"/>
            <wp:effectExtent l="0" t="0" r="8890" b="3175"/>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49"/>
                    <a:stretch>
                      <a:fillRect/>
                    </a:stretch>
                  </pic:blipFill>
                  <pic:spPr>
                    <a:xfrm>
                      <a:off x="0" y="0"/>
                      <a:ext cx="7915910" cy="4911725"/>
                    </a:xfrm>
                    <a:prstGeom prst="rect">
                      <a:avLst/>
                    </a:prstGeom>
                    <a:noFill/>
                    <a:ln>
                      <a:noFill/>
                    </a:ln>
                  </pic:spPr>
                </pic:pic>
              </a:graphicData>
            </a:graphic>
          </wp:inline>
        </w:drawing>
      </w:r>
    </w:p>
    <w:p w14:paraId="4333BB71">
      <w:pPr>
        <w:pStyle w:val="6"/>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附图2</w:t>
      </w:r>
      <w:r>
        <w:rPr>
          <w:rFonts w:hint="eastAsia" w:ascii="Times New Roman" w:hAnsi="Times New Roman" w:eastAsia="宋体" w:cs="Times New Roman"/>
          <w:b/>
          <w:bCs/>
          <w:color w:val="auto"/>
          <w:sz w:val="24"/>
          <w:szCs w:val="24"/>
          <w:lang w:val="en-US" w:eastAsia="zh-CN"/>
        </w:rPr>
        <w:t>a</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eastAsia="宋体" w:cs="Times New Roman"/>
          <w:b/>
          <w:bCs/>
          <w:color w:val="auto"/>
          <w:sz w:val="24"/>
          <w:szCs w:val="24"/>
          <w:lang w:val="en-US" w:eastAsia="zh-CN"/>
        </w:rPr>
        <w:t>项目</w:t>
      </w:r>
      <w:r>
        <w:rPr>
          <w:rFonts w:hint="default" w:ascii="Times New Roman" w:hAnsi="Times New Roman" w:eastAsia="宋体" w:cs="Times New Roman"/>
          <w:b/>
          <w:bCs/>
          <w:color w:val="auto"/>
          <w:sz w:val="24"/>
          <w:szCs w:val="24"/>
          <w:lang w:val="en-US" w:eastAsia="zh-CN"/>
        </w:rPr>
        <w:t>周边关系图</w:t>
      </w:r>
    </w:p>
    <w:p w14:paraId="35D97AFF">
      <w:pPr>
        <w:jc w:val="center"/>
        <w:rPr>
          <w:color w:val="auto"/>
        </w:rPr>
      </w:pPr>
      <w:r>
        <w:rPr>
          <w:color w:val="auto"/>
        </w:rPr>
        <w:drawing>
          <wp:anchor distT="0" distB="0" distL="114300" distR="114300" simplePos="0" relativeHeight="251680768" behindDoc="0" locked="0" layoutInCell="1" allowOverlap="1">
            <wp:simplePos x="0" y="0"/>
            <wp:positionH relativeFrom="column">
              <wp:posOffset>902970</wp:posOffset>
            </wp:positionH>
            <wp:positionV relativeFrom="paragraph">
              <wp:posOffset>4685030</wp:posOffset>
            </wp:positionV>
            <wp:extent cx="1064895" cy="274320"/>
            <wp:effectExtent l="0" t="0" r="1905" b="11430"/>
            <wp:wrapNone/>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50"/>
                    <a:stretch>
                      <a:fillRect/>
                    </a:stretch>
                  </pic:blipFill>
                  <pic:spPr>
                    <a:xfrm>
                      <a:off x="0" y="0"/>
                      <a:ext cx="1064895" cy="27432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78720" behindDoc="0" locked="0" layoutInCell="1" allowOverlap="1">
                <wp:simplePos x="0" y="0"/>
                <wp:positionH relativeFrom="column">
                  <wp:posOffset>5376545</wp:posOffset>
                </wp:positionH>
                <wp:positionV relativeFrom="paragraph">
                  <wp:posOffset>1737360</wp:posOffset>
                </wp:positionV>
                <wp:extent cx="822325" cy="32131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82232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555020">
                            <w:pPr>
                              <w:jc w:val="center"/>
                              <w:rPr>
                                <w:rFonts w:hint="default" w:eastAsiaTheme="minorEastAsia"/>
                                <w:b/>
                                <w:bCs/>
                                <w:color w:val="FFFF00"/>
                                <w:lang w:val="en-US" w:eastAsia="zh-CN"/>
                              </w:rPr>
                            </w:pPr>
                            <w:r>
                              <w:rPr>
                                <w:rFonts w:hint="eastAsia"/>
                                <w:b/>
                                <w:bCs/>
                                <w:color w:val="FFFF00"/>
                                <w:lang w:val="en-US" w:eastAsia="zh-CN"/>
                              </w:rPr>
                              <w:t>北岭村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3.35pt;margin-top:136.8pt;height:25.3pt;width:64.75pt;z-index:251678720;mso-width-relative:page;mso-height-relative:page;" filled="f" stroked="f" coordsize="21600,21600" o:gfxdata="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8VwUB3AAAAAsBAAAPAAAAAAAAAAEAIAAAACIA&#10;AABkcnMvZG93bnJldi54bWxQSwECFAAUAAAACACHTuJAql/1rj4CAABnBAAADgAAAAAAAAABACAA&#10;AAArAQAAZHJzL2Uyb0RvYy54bWxQSwUGAAAAAAYABgBZAQAA2wUAAAAA&#10;">
                <v:fill on="f" focussize="0,0"/>
                <v:stroke on="f" weight="0.5pt"/>
                <v:imagedata o:title=""/>
                <o:lock v:ext="edit" aspectratio="f"/>
                <v:textbox>
                  <w:txbxContent>
                    <w:p w14:paraId="05555020">
                      <w:pPr>
                        <w:jc w:val="center"/>
                        <w:rPr>
                          <w:rFonts w:hint="default" w:eastAsiaTheme="minorEastAsia"/>
                          <w:b/>
                          <w:bCs/>
                          <w:color w:val="FFFF00"/>
                          <w:lang w:val="en-US" w:eastAsia="zh-CN"/>
                        </w:rPr>
                      </w:pPr>
                      <w:r>
                        <w:rPr>
                          <w:rFonts w:hint="eastAsia"/>
                          <w:b/>
                          <w:bCs/>
                          <w:color w:val="FFFF00"/>
                          <w:lang w:val="en-US" w:eastAsia="zh-CN"/>
                        </w:rPr>
                        <w:t>北岭村</w:t>
                      </w:r>
                    </w:p>
                  </w:txbxContent>
                </v:textbox>
              </v:shape>
            </w:pict>
          </mc:Fallback>
        </mc:AlternateContent>
      </w:r>
      <w:r>
        <w:rPr>
          <w:color w:val="auto"/>
          <w:sz w:val="24"/>
        </w:rPr>
        <mc:AlternateContent>
          <mc:Choice Requires="wps">
            <w:drawing>
              <wp:anchor distT="0" distB="0" distL="114300" distR="114300" simplePos="0" relativeHeight="251697152" behindDoc="0" locked="0" layoutInCell="1" allowOverlap="1">
                <wp:simplePos x="0" y="0"/>
                <wp:positionH relativeFrom="column">
                  <wp:posOffset>5181600</wp:posOffset>
                </wp:positionH>
                <wp:positionV relativeFrom="paragraph">
                  <wp:posOffset>2336800</wp:posOffset>
                </wp:positionV>
                <wp:extent cx="822325" cy="32131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82232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CFB4B4">
                            <w:pPr>
                              <w:jc w:val="center"/>
                              <w:rPr>
                                <w:rFonts w:hint="default" w:eastAsiaTheme="minorEastAsia"/>
                                <w:b/>
                                <w:bCs/>
                                <w:color w:val="FFFF00"/>
                                <w:lang w:val="en-US" w:eastAsia="zh-CN"/>
                              </w:rPr>
                            </w:pPr>
                            <w:r>
                              <w:rPr>
                                <w:rFonts w:hint="eastAsia"/>
                                <w:b/>
                                <w:bCs/>
                                <w:color w:val="FFFF00"/>
                                <w:lang w:val="en-US" w:eastAsia="zh-CN"/>
                              </w:rPr>
                              <w:t>清泉村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8pt;margin-top:184pt;height:25.3pt;width:64.75pt;z-index:251697152;mso-width-relative:page;mso-height-relative:page;" filled="f" stroked="f" coordsize="21600,21600" o:gfxdata="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rgwQDcAAAACwEAAA8AAAAAAAAAAQAgAAAAIgAA&#10;AGRycy9kb3ducmV2LnhtbFBLAQIUABQAAAAIAIdO4kBbSVDzPQIAAGcEAAAOAAAAAAAAAAEAIAAA&#10;ACsBAABkcnMvZTJvRG9jLnhtbFBLBQYAAAAABgAGAFkBAADaBQAAAAA=&#10;">
                <v:fill on="f" focussize="0,0"/>
                <v:stroke on="f" weight="0.5pt"/>
                <v:imagedata o:title=""/>
                <o:lock v:ext="edit" aspectratio="f"/>
                <v:textbox>
                  <w:txbxContent>
                    <w:p w14:paraId="06CFB4B4">
                      <w:pPr>
                        <w:jc w:val="center"/>
                        <w:rPr>
                          <w:rFonts w:hint="default" w:eastAsiaTheme="minorEastAsia"/>
                          <w:b/>
                          <w:bCs/>
                          <w:color w:val="FFFF00"/>
                          <w:lang w:val="en-US" w:eastAsia="zh-CN"/>
                        </w:rPr>
                      </w:pPr>
                      <w:r>
                        <w:rPr>
                          <w:rFonts w:hint="eastAsia"/>
                          <w:b/>
                          <w:bCs/>
                          <w:color w:val="FFFF00"/>
                          <w:lang w:val="en-US" w:eastAsia="zh-CN"/>
                        </w:rPr>
                        <w:t>清泉村</w:t>
                      </w:r>
                    </w:p>
                  </w:txbxContent>
                </v:textbox>
              </v:shape>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3950335</wp:posOffset>
                </wp:positionH>
                <wp:positionV relativeFrom="paragraph">
                  <wp:posOffset>1109980</wp:posOffset>
                </wp:positionV>
                <wp:extent cx="624840" cy="32131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62484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8789FC">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1175m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05pt;margin-top:87.4pt;height:25.3pt;width:49.2pt;z-index:251677696;mso-width-relative:page;mso-height-relative:page;" filled="f" stroked="f" coordsize="21600,21600" o:gfxdata="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eNKv2wAAAAsBAAAPAAAAAAAAAAEAIAAAACIAAABk&#10;cnMvZG93bnJldi54bWxQSwECFAAUAAAACACHTuJA3JRxnTwCAABnBAAADgAAAAAAAAABACAAAAAq&#10;AQAAZHJzL2Uyb0RvYy54bWxQSwUGAAAAAAYABgBZAQAA2AUAAAAA&#10;">
                <v:fill on="f" focussize="0,0"/>
                <v:stroke on="f" weight="0.5pt"/>
                <v:imagedata o:title=""/>
                <o:lock v:ext="edit" aspectratio="f"/>
                <v:textbox>
                  <w:txbxContent>
                    <w:p w14:paraId="278789FC">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1175m</w:t>
                      </w:r>
                    </w:p>
                  </w:txbxContent>
                </v:textbox>
              </v:shape>
            </w:pict>
          </mc:Fallback>
        </mc:AlternateContent>
      </w: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4860925</wp:posOffset>
                </wp:positionH>
                <wp:positionV relativeFrom="paragraph">
                  <wp:posOffset>1729740</wp:posOffset>
                </wp:positionV>
                <wp:extent cx="488950" cy="32131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48895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F26C27">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937m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2.75pt;margin-top:136.2pt;height:25.3pt;width:38.5pt;z-index:251668480;mso-width-relative:page;mso-height-relative:page;" filled="f" stroked="f" coordsize="21600,21600" o:gfxdata="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CE7Xt0AAAALAQAADwAAAAAAAAABACAAAAAiAAAA&#10;ZHJzL2Rvd25yZXYueG1sUEsBAhQAFAAAAAgAh07iQHARlL07AgAAZwQAAA4AAAAAAAAAAQAgAAAA&#10;LAEAAGRycy9lMm9Eb2MueG1sUEsFBgAAAAAGAAYAWQEAANkFAAAAAA==&#10;">
                <v:fill on="f" focussize="0,0"/>
                <v:stroke on="f" weight="0.5pt"/>
                <v:imagedata o:title=""/>
                <o:lock v:ext="edit" aspectratio="f"/>
                <v:textbox>
                  <w:txbxContent>
                    <w:p w14:paraId="42F26C27">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937m</w:t>
                      </w:r>
                    </w:p>
                  </w:txbxContent>
                </v:textbox>
              </v:shape>
            </w:pict>
          </mc:Fallback>
        </mc:AlternateContent>
      </w:r>
      <w:r>
        <w:rPr>
          <w:color w:val="auto"/>
          <w:sz w:val="24"/>
        </w:rPr>
        <mc:AlternateContent>
          <mc:Choice Requires="wps">
            <w:drawing>
              <wp:anchor distT="0" distB="0" distL="114300" distR="114300" simplePos="0" relativeHeight="251707392" behindDoc="0" locked="0" layoutInCell="1" allowOverlap="1">
                <wp:simplePos x="0" y="0"/>
                <wp:positionH relativeFrom="column">
                  <wp:posOffset>4814570</wp:posOffset>
                </wp:positionH>
                <wp:positionV relativeFrom="paragraph">
                  <wp:posOffset>2152015</wp:posOffset>
                </wp:positionV>
                <wp:extent cx="488950" cy="32131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48895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67276F">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578m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9.1pt;margin-top:169.45pt;height:25.3pt;width:38.5pt;z-index:251707392;mso-width-relative:page;mso-height-relative:page;" filled="f" stroked="f" coordsize="21600,21600" o:gfxdata="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sgNO22wAAAAsBAAAPAAAAAAAAAAEAIAAAACIAAABk&#10;cnMvZG93bnJldi54bWxQSwECFAAUAAAACACHTuJAjEoQizwCAABnBAAADgAAAAAAAAABACAAAAAq&#10;AQAAZHJzL2Uyb0RvYy54bWxQSwUGAAAAAAYABgBZAQAA2AUAAAAA&#10;">
                <v:fill on="f" focussize="0,0"/>
                <v:stroke on="f" weight="0.5pt"/>
                <v:imagedata o:title=""/>
                <o:lock v:ext="edit" aspectratio="f"/>
                <v:textbox>
                  <w:txbxContent>
                    <w:p w14:paraId="7A67276F">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578m</w:t>
                      </w:r>
                    </w:p>
                  </w:txbxContent>
                </v:textbox>
              </v:shape>
            </w:pict>
          </mc:Fallback>
        </mc:AlternateContent>
      </w:r>
      <w:r>
        <w:rPr>
          <w:color w:val="auto"/>
          <w:sz w:val="24"/>
        </w:rPr>
        <mc:AlternateContent>
          <mc:Choice Requires="wps">
            <w:drawing>
              <wp:anchor distT="0" distB="0" distL="114300" distR="114300" simplePos="0" relativeHeight="251685888" behindDoc="0" locked="0" layoutInCell="1" allowOverlap="1">
                <wp:simplePos x="0" y="0"/>
                <wp:positionH relativeFrom="column">
                  <wp:posOffset>3898265</wp:posOffset>
                </wp:positionH>
                <wp:positionV relativeFrom="paragraph">
                  <wp:posOffset>3485515</wp:posOffset>
                </wp:positionV>
                <wp:extent cx="904875" cy="32131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90487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612748">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745m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95pt;margin-top:274.45pt;height:25.3pt;width:71.25pt;z-index:251685888;mso-width-relative:page;mso-height-relative:page;" filled="f" stroked="f" coordsize="21600,21600" o:gfxdata="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YVfu93AAAAAsBAAAPAAAAAAAAAAEAIAAAACIA&#10;AABkcnMvZG93bnJldi54bWxQSwECFAAUAAAACACHTuJALGKyNT4CAABnBAAADgAAAAAAAAABACAA&#10;AAArAQAAZHJzL2Uyb0RvYy54bWxQSwUGAAAAAAYABgBZAQAA2wUAAAAA&#10;">
                <v:fill on="f" focussize="0,0"/>
                <v:stroke on="f" weight="0.5pt"/>
                <v:imagedata o:title=""/>
                <o:lock v:ext="edit" aspectratio="f"/>
                <v:textbox>
                  <w:txbxContent>
                    <w:p w14:paraId="18612748">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745m</w:t>
                      </w:r>
                    </w:p>
                  </w:txbxContent>
                </v:textbox>
              </v:shape>
            </w:pict>
          </mc:Fallback>
        </mc:AlternateContent>
      </w: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4509770</wp:posOffset>
                </wp:positionH>
                <wp:positionV relativeFrom="paragraph">
                  <wp:posOffset>2599055</wp:posOffset>
                </wp:positionV>
                <wp:extent cx="76200" cy="168275"/>
                <wp:effectExtent l="26670" t="17780" r="30480" b="23495"/>
                <wp:wrapNone/>
                <wp:docPr id="61" name="矩形 61"/>
                <wp:cNvGraphicFramePr/>
                <a:graphic xmlns:a="http://schemas.openxmlformats.org/drawingml/2006/main">
                  <a:graphicData uri="http://schemas.microsoft.com/office/word/2010/wordprocessingShape">
                    <wps:wsp>
                      <wps:cNvSpPr/>
                      <wps:spPr>
                        <a:xfrm rot="600000">
                          <a:off x="0" y="0"/>
                          <a:ext cx="76200" cy="1682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1pt;margin-top:204.65pt;height:13.25pt;width:6pt;rotation:655360f;z-index:251691008;v-text-anchor:middle;mso-width-relative:page;mso-height-relative:page;" filled="f" stroked="t" coordsize="21600,21600" o:gfxdata="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O4O/XfaAAAACwEAAA8AAAAAAAAAAQAgAAAAIgAAAGRycy9kb3ducmV2LnhtbFBLAQIU&#10;ABQAAAAIAIdO4kCGA3S3YwIAAMEEAAAOAAAAAAAAAAEAIAAAACkBAABkcnMvZTJvRG9jLnhtbFBL&#10;BQYAAAAABgAGAFkBAAD+BQAAAAA=&#10;">
                <v:fill on="f" focussize="0,0"/>
                <v:stroke weight="2pt" color="#FF0000 [2404]" joinstyle="round"/>
                <v:imagedata o:title=""/>
                <o:lock v:ext="edit" aspectratio="f"/>
              </v:rect>
            </w:pict>
          </mc:Fallback>
        </mc:AlternateContent>
      </w:r>
      <w:r>
        <w:rPr>
          <w:color w:val="auto"/>
        </w:rPr>
        <w:drawing>
          <wp:inline distT="0" distB="0" distL="114300" distR="114300">
            <wp:extent cx="7833995" cy="4939665"/>
            <wp:effectExtent l="0" t="0" r="14605" b="1333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51"/>
                    <a:stretch>
                      <a:fillRect/>
                    </a:stretch>
                  </pic:blipFill>
                  <pic:spPr>
                    <a:xfrm>
                      <a:off x="0" y="0"/>
                      <a:ext cx="7833995" cy="4939665"/>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1133475</wp:posOffset>
                </wp:positionH>
                <wp:positionV relativeFrom="paragraph">
                  <wp:posOffset>1005205</wp:posOffset>
                </wp:positionV>
                <wp:extent cx="1130935" cy="1464945"/>
                <wp:effectExtent l="12700" t="12700" r="18415" b="27305"/>
                <wp:wrapNone/>
                <wp:docPr id="75" name="任意多边形 75"/>
                <wp:cNvGraphicFramePr/>
                <a:graphic xmlns:a="http://schemas.openxmlformats.org/drawingml/2006/main">
                  <a:graphicData uri="http://schemas.microsoft.com/office/word/2010/wordprocessingShape">
                    <wps:wsp>
                      <wps:cNvSpPr/>
                      <wps:spPr>
                        <a:xfrm>
                          <a:off x="1826895" y="2150110"/>
                          <a:ext cx="1130935" cy="1464945"/>
                        </a:xfrm>
                        <a:custGeom>
                          <a:avLst/>
                          <a:gdLst>
                            <a:gd name="connisteX0" fmla="*/ 1130935 w 1130935"/>
                            <a:gd name="connsiteY0" fmla="*/ 53975 h 1464945"/>
                            <a:gd name="connisteX1" fmla="*/ 952500 w 1130935"/>
                            <a:gd name="connsiteY1" fmla="*/ 1435100 h 1464945"/>
                            <a:gd name="connisteX2" fmla="*/ 595630 w 1130935"/>
                            <a:gd name="connsiteY2" fmla="*/ 1464945 h 1464945"/>
                            <a:gd name="connisteX3" fmla="*/ 541655 w 1130935"/>
                            <a:gd name="connsiteY3" fmla="*/ 1232535 h 1464945"/>
                            <a:gd name="connisteX4" fmla="*/ 202565 w 1130935"/>
                            <a:gd name="connsiteY4" fmla="*/ 1131570 h 1464945"/>
                            <a:gd name="connisteX5" fmla="*/ 113030 w 1130935"/>
                            <a:gd name="connsiteY5" fmla="*/ 952500 h 1464945"/>
                            <a:gd name="connisteX6" fmla="*/ 0 w 1130935"/>
                            <a:gd name="connsiteY6" fmla="*/ 643255 h 1464945"/>
                            <a:gd name="connisteX7" fmla="*/ 24130 w 1130935"/>
                            <a:gd name="connsiteY7" fmla="*/ 220345 h 1464945"/>
                            <a:gd name="connisteX8" fmla="*/ 47625 w 1130935"/>
                            <a:gd name="connsiteY8" fmla="*/ 0 h 1464945"/>
                            <a:gd name="connisteX9" fmla="*/ 1130935 w 1130935"/>
                            <a:gd name="connsiteY9" fmla="*/ 53975 h 14649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130935" h="1464945">
                              <a:moveTo>
                                <a:pt x="1130935" y="53975"/>
                              </a:moveTo>
                              <a:lnTo>
                                <a:pt x="952500" y="1435100"/>
                              </a:lnTo>
                              <a:lnTo>
                                <a:pt x="595630" y="1464945"/>
                              </a:lnTo>
                              <a:lnTo>
                                <a:pt x="541655" y="1232535"/>
                              </a:lnTo>
                              <a:lnTo>
                                <a:pt x="202565" y="1131570"/>
                              </a:lnTo>
                              <a:lnTo>
                                <a:pt x="113030" y="952500"/>
                              </a:lnTo>
                              <a:lnTo>
                                <a:pt x="0" y="643255"/>
                              </a:lnTo>
                              <a:lnTo>
                                <a:pt x="24130" y="220345"/>
                              </a:lnTo>
                              <a:lnTo>
                                <a:pt x="47625" y="0"/>
                              </a:lnTo>
                              <a:lnTo>
                                <a:pt x="1130935" y="53975"/>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9.25pt;margin-top:79.15pt;height:115.35pt;width:89.05pt;z-index:251700224;mso-width-relative:page;mso-height-relative:page;" filled="f" stroked="t" coordsize="1130935,1464945" o:gfxdata="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" path="m1130935,53975l952500,1435100,595630,1464945,541655,1232535,202565,1131570,113030,952500,0,643255,24130,220345,47625,0,1130935,53975xe">
                <v:path o:connectlocs="1130935,53975;952500,1435100;595630,1464945;541655,1232535;202565,1131570;113030,952500;0,643255;24130,220345;47625,0;1130935,53975" o:connectangles="0,0,0,0,0,0,0,0,0,0"/>
                <v:fill on="f"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4217035</wp:posOffset>
                </wp:positionH>
                <wp:positionV relativeFrom="paragraph">
                  <wp:posOffset>85090</wp:posOffset>
                </wp:positionV>
                <wp:extent cx="416560" cy="481330"/>
                <wp:effectExtent l="12700" t="12700" r="27940" b="20320"/>
                <wp:wrapNone/>
                <wp:docPr id="68" name="任意多边形 68"/>
                <wp:cNvGraphicFramePr/>
                <a:graphic xmlns:a="http://schemas.openxmlformats.org/drawingml/2006/main">
                  <a:graphicData uri="http://schemas.microsoft.com/office/word/2010/wordprocessingShape">
                    <wps:wsp>
                      <wps:cNvSpPr/>
                      <wps:spPr>
                        <a:xfrm>
                          <a:off x="4910455" y="1229995"/>
                          <a:ext cx="416560" cy="481330"/>
                        </a:xfrm>
                        <a:custGeom>
                          <a:avLst/>
                          <a:gdLst>
                            <a:gd name="connisteX0" fmla="*/ 0 w 416560"/>
                            <a:gd name="connsiteY0" fmla="*/ 19685 h 481330"/>
                            <a:gd name="connisteX1" fmla="*/ 15240 w 416560"/>
                            <a:gd name="connsiteY1" fmla="*/ 481330 h 481330"/>
                            <a:gd name="connisteX2" fmla="*/ 411480 w 416560"/>
                            <a:gd name="connsiteY2" fmla="*/ 476250 h 481330"/>
                            <a:gd name="connisteX3" fmla="*/ 416560 w 416560"/>
                            <a:gd name="connsiteY3" fmla="*/ 0 h 481330"/>
                            <a:gd name="connisteX4" fmla="*/ 0 w 416560"/>
                            <a:gd name="connsiteY4" fmla="*/ 19685 h 4813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16560" h="481330">
                              <a:moveTo>
                                <a:pt x="0" y="19685"/>
                              </a:moveTo>
                              <a:lnTo>
                                <a:pt x="15240" y="481330"/>
                              </a:lnTo>
                              <a:lnTo>
                                <a:pt x="411480" y="476250"/>
                              </a:lnTo>
                              <a:lnTo>
                                <a:pt x="416560" y="0"/>
                              </a:lnTo>
                              <a:lnTo>
                                <a:pt x="0" y="19685"/>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2.05pt;margin-top:6.7pt;height:37.9pt;width:32.8pt;z-index:251696128;mso-width-relative:page;mso-height-relative:page;" filled="f" stroked="t" coordsize="416560,481330" o:gfxdata="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2uHetkAAAAJAQAADwAAAAAAAAABACAAAAAiAAAAZHJzL2Rvd25yZXYueG1sUEsBAhQA&#10;FAAAAAgAh07iQOzPHscOAwAAMQgAAA4AAAAAAAAAAQAgAAAAKAEAAGRycy9lMm9Eb2MueG1sUEsF&#10;BgAAAAAGAAYAWQEAAKgGAAAAAA==&#10;" path="m0,19685l15240,481330,411480,476250,416560,0,0,19685xe">
                <v:path o:connectlocs="0,19685;15240,481330;411480,476250;416560,0;0,19685" o:connectangles="0,0,0,0,0"/>
                <v:fill on="f"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3750945</wp:posOffset>
                </wp:positionH>
                <wp:positionV relativeFrom="paragraph">
                  <wp:posOffset>3939540</wp:posOffset>
                </wp:positionV>
                <wp:extent cx="501650" cy="260985"/>
                <wp:effectExtent l="635" t="12700" r="31115" b="12065"/>
                <wp:wrapNone/>
                <wp:docPr id="67" name="任意多边形 67"/>
                <wp:cNvGraphicFramePr/>
                <a:graphic xmlns:a="http://schemas.openxmlformats.org/drawingml/2006/main">
                  <a:graphicData uri="http://schemas.microsoft.com/office/word/2010/wordprocessingShape">
                    <wps:wsp>
                      <wps:cNvSpPr/>
                      <wps:spPr>
                        <a:xfrm>
                          <a:off x="4444365" y="5084445"/>
                          <a:ext cx="501650" cy="260985"/>
                        </a:xfrm>
                        <a:custGeom>
                          <a:avLst/>
                          <a:gdLst>
                            <a:gd name="connisteX0" fmla="*/ 0 w 501650"/>
                            <a:gd name="connsiteY0" fmla="*/ 0 h 260985"/>
                            <a:gd name="connisteX1" fmla="*/ 501650 w 501650"/>
                            <a:gd name="connsiteY1" fmla="*/ 15240 h 260985"/>
                            <a:gd name="connisteX2" fmla="*/ 481330 w 501650"/>
                            <a:gd name="connsiteY2" fmla="*/ 260985 h 260985"/>
                          </a:gdLst>
                          <a:ahLst/>
                          <a:cxnLst>
                            <a:cxn ang="0">
                              <a:pos x="connisteX0" y="connsiteY0"/>
                            </a:cxn>
                            <a:cxn ang="0">
                              <a:pos x="connisteX1" y="connsiteY1"/>
                            </a:cxn>
                            <a:cxn ang="0">
                              <a:pos x="connisteX2" y="connsiteY2"/>
                            </a:cxn>
                          </a:cxnLst>
                          <a:rect l="l" t="t" r="r" b="b"/>
                          <a:pathLst>
                            <a:path w="501650" h="260985">
                              <a:moveTo>
                                <a:pt x="0" y="0"/>
                              </a:moveTo>
                              <a:lnTo>
                                <a:pt x="501650" y="15240"/>
                              </a:lnTo>
                              <a:lnTo>
                                <a:pt x="481330" y="260985"/>
                              </a:lnTo>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5.35pt;margin-top:310.2pt;height:20.55pt;width:39.5pt;z-index:251695104;mso-width-relative:page;mso-height-relative:page;" filled="f" stroked="t" coordsize="501650,260985" o:gfxdata="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qwov+1wAAAAsB&#10;AAAPAAAAAAAAAAEAIAAAACIAAABkcnMvZG93bnJldi54bWxQSwECFAAUAAAACACHTuJAaZN3B8cC&#10;AACTBgAADgAAAAAAAAABACAAAAAmAQAAZHJzL2Uyb0RvYy54bWxQSwUGAAAAAAYABgBZAQAAXwYA&#10;AAAA&#10;" path="m0,0l501650,15240,481330,260985e">
                <v:path o:connectlocs="0,0;501650,15240;481330,260985" o:connectangles="0,0,0"/>
                <v:fill on="f"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3721100</wp:posOffset>
                </wp:positionH>
                <wp:positionV relativeFrom="paragraph">
                  <wp:posOffset>3177540</wp:posOffset>
                </wp:positionV>
                <wp:extent cx="916940" cy="1052830"/>
                <wp:effectExtent l="12700" t="12700" r="22860" b="20320"/>
                <wp:wrapNone/>
                <wp:docPr id="66" name="任意多边形 66"/>
                <wp:cNvGraphicFramePr/>
                <a:graphic xmlns:a="http://schemas.openxmlformats.org/drawingml/2006/main">
                  <a:graphicData uri="http://schemas.microsoft.com/office/word/2010/wordprocessingShape">
                    <wps:wsp>
                      <wps:cNvSpPr/>
                      <wps:spPr>
                        <a:xfrm>
                          <a:off x="4414520" y="4322445"/>
                          <a:ext cx="916940" cy="1052830"/>
                        </a:xfrm>
                        <a:custGeom>
                          <a:avLst/>
                          <a:gdLst>
                            <a:gd name="connisteX0" fmla="*/ 64770 w 916940"/>
                            <a:gd name="connsiteY0" fmla="*/ 0 h 1052830"/>
                            <a:gd name="connisteX1" fmla="*/ 916940 w 916940"/>
                            <a:gd name="connsiteY1" fmla="*/ 40005 h 1052830"/>
                            <a:gd name="connisteX2" fmla="*/ 786765 w 916940"/>
                            <a:gd name="connsiteY2" fmla="*/ 1052830 h 1052830"/>
                            <a:gd name="connisteX3" fmla="*/ 0 w 916940"/>
                            <a:gd name="connsiteY3" fmla="*/ 967740 h 1052830"/>
                            <a:gd name="connisteX4" fmla="*/ 64770 w 916940"/>
                            <a:gd name="connsiteY4" fmla="*/ 0 h 10528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16940" h="1052830">
                              <a:moveTo>
                                <a:pt x="64770" y="0"/>
                              </a:moveTo>
                              <a:lnTo>
                                <a:pt x="916940" y="40005"/>
                              </a:lnTo>
                              <a:lnTo>
                                <a:pt x="786765" y="1052830"/>
                              </a:lnTo>
                              <a:lnTo>
                                <a:pt x="0" y="967740"/>
                              </a:lnTo>
                              <a:lnTo>
                                <a:pt x="6477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3pt;margin-top:250.2pt;height:82.9pt;width:72.2pt;z-index:251694080;mso-width-relative:page;mso-height-relative:page;" filled="f" stroked="t" coordsize="916940,1052830" o:gfxdata="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" path="m64770,0l916940,40005,786765,1052830,0,967740,64770,0xe">
                <v:path o:connectlocs="64770,0;916940,40005;786765,1052830;0,967740;64770,0" o:connectangles="0,0,0,0,0"/>
                <v:fill on="f"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5300345</wp:posOffset>
                </wp:positionH>
                <wp:positionV relativeFrom="paragraph">
                  <wp:posOffset>2321560</wp:posOffset>
                </wp:positionV>
                <wp:extent cx="681355" cy="491490"/>
                <wp:effectExtent l="12700" t="12700" r="29845" b="29210"/>
                <wp:wrapNone/>
                <wp:docPr id="65" name="任意多边形 65"/>
                <wp:cNvGraphicFramePr/>
                <a:graphic xmlns:a="http://schemas.openxmlformats.org/drawingml/2006/main">
                  <a:graphicData uri="http://schemas.microsoft.com/office/word/2010/wordprocessingShape">
                    <wps:wsp>
                      <wps:cNvSpPr/>
                      <wps:spPr>
                        <a:xfrm>
                          <a:off x="5993765" y="3466465"/>
                          <a:ext cx="681355" cy="491490"/>
                        </a:xfrm>
                        <a:custGeom>
                          <a:avLst/>
                          <a:gdLst>
                            <a:gd name="connisteX0" fmla="*/ 69850 w 681355"/>
                            <a:gd name="connsiteY0" fmla="*/ 0 h 491490"/>
                            <a:gd name="connisteX1" fmla="*/ 676275 w 681355"/>
                            <a:gd name="connsiteY1" fmla="*/ 65405 h 491490"/>
                            <a:gd name="connisteX2" fmla="*/ 681355 w 681355"/>
                            <a:gd name="connsiteY2" fmla="*/ 160655 h 491490"/>
                            <a:gd name="connisteX3" fmla="*/ 325755 w 681355"/>
                            <a:gd name="connsiteY3" fmla="*/ 491490 h 491490"/>
                            <a:gd name="connisteX4" fmla="*/ 0 w 681355"/>
                            <a:gd name="connsiteY4" fmla="*/ 431165 h 491490"/>
                            <a:gd name="connisteX5" fmla="*/ 69850 w 681355"/>
                            <a:gd name="connsiteY5" fmla="*/ 0 h 4914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681355" h="491490">
                              <a:moveTo>
                                <a:pt x="69850" y="0"/>
                              </a:moveTo>
                              <a:lnTo>
                                <a:pt x="676275" y="65405"/>
                              </a:lnTo>
                              <a:lnTo>
                                <a:pt x="681355" y="160655"/>
                              </a:lnTo>
                              <a:lnTo>
                                <a:pt x="325755" y="491490"/>
                              </a:lnTo>
                              <a:lnTo>
                                <a:pt x="0" y="431165"/>
                              </a:lnTo>
                              <a:lnTo>
                                <a:pt x="6985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17.35pt;margin-top:182.8pt;height:38.7pt;width:53.65pt;z-index:251693056;mso-width-relative:page;mso-height-relative:page;" filled="f" stroked="t" coordsize="681355,491490" o:gfxdata="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" path="m69850,0l676275,65405,681355,160655,325755,491490,0,431165,69850,0xe">
                <v:path o:connectlocs="69850,0;676275,65405;681355,160655;325755,491490;0,431165;69850,0" o:connectangles="0,0,0,0,0,0"/>
                <v:fill on="f"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5445760</wp:posOffset>
                </wp:positionH>
                <wp:positionV relativeFrom="paragraph">
                  <wp:posOffset>1321435</wp:posOffset>
                </wp:positionV>
                <wp:extent cx="711835" cy="927100"/>
                <wp:effectExtent l="12700" t="12700" r="18415" b="12700"/>
                <wp:wrapNone/>
                <wp:docPr id="63" name="任意多边形 63"/>
                <wp:cNvGraphicFramePr/>
                <a:graphic xmlns:a="http://schemas.openxmlformats.org/drawingml/2006/main">
                  <a:graphicData uri="http://schemas.microsoft.com/office/word/2010/wordprocessingShape">
                    <wps:wsp>
                      <wps:cNvSpPr/>
                      <wps:spPr>
                        <a:xfrm>
                          <a:off x="6139180" y="2466340"/>
                          <a:ext cx="711835" cy="927100"/>
                        </a:xfrm>
                        <a:custGeom>
                          <a:avLst/>
                          <a:gdLst>
                            <a:gd name="connisteX0" fmla="*/ 711835 w 711835"/>
                            <a:gd name="connsiteY0" fmla="*/ 80010 h 927100"/>
                            <a:gd name="connisteX1" fmla="*/ 135255 w 711835"/>
                            <a:gd name="connsiteY1" fmla="*/ 0 h 927100"/>
                            <a:gd name="connisteX2" fmla="*/ 0 w 711835"/>
                            <a:gd name="connsiteY2" fmla="*/ 836930 h 927100"/>
                            <a:gd name="connisteX3" fmla="*/ 525780 w 711835"/>
                            <a:gd name="connsiteY3" fmla="*/ 927100 h 927100"/>
                            <a:gd name="connisteX4" fmla="*/ 485775 w 711835"/>
                            <a:gd name="connsiteY4" fmla="*/ 791845 h 927100"/>
                            <a:gd name="connisteX5" fmla="*/ 626110 w 711835"/>
                            <a:gd name="connsiteY5" fmla="*/ 571500 h 927100"/>
                            <a:gd name="connisteX6" fmla="*/ 691515 w 711835"/>
                            <a:gd name="connsiteY6" fmla="*/ 235585 h 927100"/>
                            <a:gd name="connisteX7" fmla="*/ 711835 w 711835"/>
                            <a:gd name="connsiteY7" fmla="*/ 80010 h 9271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711835" h="927100">
                              <a:moveTo>
                                <a:pt x="711835" y="80010"/>
                              </a:moveTo>
                              <a:lnTo>
                                <a:pt x="135255" y="0"/>
                              </a:lnTo>
                              <a:lnTo>
                                <a:pt x="0" y="836930"/>
                              </a:lnTo>
                              <a:lnTo>
                                <a:pt x="525780" y="927100"/>
                              </a:lnTo>
                              <a:lnTo>
                                <a:pt x="485775" y="791845"/>
                              </a:lnTo>
                              <a:lnTo>
                                <a:pt x="626110" y="571500"/>
                              </a:lnTo>
                              <a:lnTo>
                                <a:pt x="691515" y="235585"/>
                              </a:lnTo>
                              <a:lnTo>
                                <a:pt x="711835" y="8001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28.8pt;margin-top:104.05pt;height:73pt;width:56.05pt;z-index:251692032;mso-width-relative:page;mso-height-relative:page;" filled="f" stroked="t" coordsize="711835,927100" o:gfxdata="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" path="m711835,80010l135255,0,0,836930,525780,927100,485775,791845,626110,571500,691515,235585,711835,80010xe">
                <v:path o:connectlocs="711835,80010;135255,0;0,836930;525780,927100;485775,791845;626110,571500;691515,235585;711835,80010" o:connectangles="0,0,0,0,0,0,0,0"/>
                <v:fill on="f" focussize="0,0"/>
                <v:stroke weight="2pt" color="#FFFF00 [2404]" joinstyle="round"/>
                <v:imagedata o:title=""/>
                <o:lock v:ext="edit" aspectratio="f"/>
              </v:shape>
            </w:pict>
          </mc:Fallback>
        </mc:AlternateContent>
      </w:r>
      <w:r>
        <w:rPr>
          <w:color w:val="auto"/>
          <w:sz w:val="24"/>
        </w:rPr>
        <mc:AlternateContent>
          <mc:Choice Requires="wps">
            <w:drawing>
              <wp:anchor distT="0" distB="0" distL="114300" distR="114300" simplePos="0" relativeHeight="251704320" behindDoc="0" locked="0" layoutInCell="1" allowOverlap="1">
                <wp:simplePos x="0" y="0"/>
                <wp:positionH relativeFrom="column">
                  <wp:posOffset>2141855</wp:posOffset>
                </wp:positionH>
                <wp:positionV relativeFrom="paragraph">
                  <wp:posOffset>1993900</wp:posOffset>
                </wp:positionV>
                <wp:extent cx="2403475" cy="590550"/>
                <wp:effectExtent l="0" t="31750" r="15875" b="25400"/>
                <wp:wrapNone/>
                <wp:docPr id="79" name="直接箭头连接符 79"/>
                <wp:cNvGraphicFramePr/>
                <a:graphic xmlns:a="http://schemas.openxmlformats.org/drawingml/2006/main">
                  <a:graphicData uri="http://schemas.microsoft.com/office/word/2010/wordprocessingShape">
                    <wps:wsp>
                      <wps:cNvCnPr/>
                      <wps:spPr>
                        <a:xfrm flipH="1" flipV="1">
                          <a:off x="0" y="0"/>
                          <a:ext cx="2403475" cy="5905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68.65pt;margin-top:157pt;height:46.5pt;width:189.25pt;z-index:251704320;mso-width-relative:page;mso-height-relative:page;" filled="f" stroked="t" coordsize="21600,21600" o:gfxdata="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dAkRWdgAAAALAQAADwAAAAAAAAABACAA&#10;AAAiAAAAZHJzL2Rvd25yZXYueG1sUEsBAhQAFAAAAAgAh07iQLw7J8sNAgAA4wMAAA4AAAAAAAAA&#10;AQAgAAAAJwEAAGRycy9lMm9Eb2MueG1sUEsFBgAAAAAGAAYAWQEAAKYFAAAAAA==&#10;">
                <v:fill on="f" focussize="0,0"/>
                <v:stroke weight="2pt" color="#FF0000 [3204]"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703296" behindDoc="0" locked="0" layoutInCell="1" allowOverlap="1">
                <wp:simplePos x="0" y="0"/>
                <wp:positionH relativeFrom="column">
                  <wp:posOffset>4463415</wp:posOffset>
                </wp:positionH>
                <wp:positionV relativeFrom="paragraph">
                  <wp:posOffset>582930</wp:posOffset>
                </wp:positionV>
                <wp:extent cx="81915" cy="2001520"/>
                <wp:effectExtent l="52705" t="0" r="17780" b="17780"/>
                <wp:wrapNone/>
                <wp:docPr id="78" name="直接箭头连接符 78"/>
                <wp:cNvGraphicFramePr/>
                <a:graphic xmlns:a="http://schemas.openxmlformats.org/drawingml/2006/main">
                  <a:graphicData uri="http://schemas.microsoft.com/office/word/2010/wordprocessingShape">
                    <wps:wsp>
                      <wps:cNvCnPr/>
                      <wps:spPr>
                        <a:xfrm flipH="1" flipV="1">
                          <a:off x="0" y="0"/>
                          <a:ext cx="81915" cy="200152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51.45pt;margin-top:45.9pt;height:157.6pt;width:6.45pt;z-index:251703296;mso-width-relative:page;mso-height-relative:page;" filled="f" stroked="t" coordsize="21600,21600" o:gfxdata="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8vUeDYAAAACgEAAA8AAAAAAAAAAQAgAAAA&#10;IgAAAGRycy9kb3ducmV2LnhtbFBLAQIUABQAAAAIAIdO4kBL6kgMCwIAAOIDAAAOAAAAAAAAAAEA&#10;IAAAACcBAABkcnMvZTJvRG9jLnhtbFBLBQYAAAAABgAGAFkBAACkBQAAAAA=&#10;">
                <v:fill on="f" focussize="0,0"/>
                <v:stroke weight="2pt" color="#FF0000 [3204]"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4570730</wp:posOffset>
                </wp:positionH>
                <wp:positionV relativeFrom="paragraph">
                  <wp:posOffset>1464945</wp:posOffset>
                </wp:positionV>
                <wp:extent cx="1195705" cy="1106170"/>
                <wp:effectExtent l="8890" t="0" r="14605" b="17780"/>
                <wp:wrapNone/>
                <wp:docPr id="77" name="直接箭头连接符 77"/>
                <wp:cNvGraphicFramePr/>
                <a:graphic xmlns:a="http://schemas.openxmlformats.org/drawingml/2006/main">
                  <a:graphicData uri="http://schemas.microsoft.com/office/word/2010/wordprocessingShape">
                    <wps:wsp>
                      <wps:cNvCnPr/>
                      <wps:spPr>
                        <a:xfrm flipV="1">
                          <a:off x="0" y="0"/>
                          <a:ext cx="1195705" cy="110617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59.9pt;margin-top:115.35pt;height:87.1pt;width:94.15pt;z-index:251702272;mso-width-relative:page;mso-height-relative:page;" filled="f" stroked="t" coordsize="21600,21600" o:gfxdata="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uJSrH2gAAAAsBAAAPAAAAAAAAAAEAIAAA&#10;ACIAAABkcnMvZG93bnJldi54bWxQSwECFAAUAAAACACHTuJACjOmnAoCAADaAwAADgAAAAAAAAAB&#10;ACAAAAApAQAAZHJzL2Uyb0RvYy54bWxQSwUGAAAAAAYABgBZAQAApQUAAAAA&#10;">
                <v:fill on="f" focussize="0,0"/>
                <v:stroke weight="2pt" color="#FF0000 [3204]"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701248" behindDoc="0" locked="0" layoutInCell="1" allowOverlap="1">
                <wp:simplePos x="0" y="0"/>
                <wp:positionH relativeFrom="column">
                  <wp:posOffset>4562475</wp:posOffset>
                </wp:positionH>
                <wp:positionV relativeFrom="paragraph">
                  <wp:posOffset>2158365</wp:posOffset>
                </wp:positionV>
                <wp:extent cx="883285" cy="441960"/>
                <wp:effectExtent l="5715" t="6985" r="6350" b="27305"/>
                <wp:wrapNone/>
                <wp:docPr id="76" name="直接箭头连接符 76"/>
                <wp:cNvGraphicFramePr/>
                <a:graphic xmlns:a="http://schemas.openxmlformats.org/drawingml/2006/main">
                  <a:graphicData uri="http://schemas.microsoft.com/office/word/2010/wordprocessingShape">
                    <wps:wsp>
                      <wps:cNvCnPr>
                        <a:stCxn id="61" idx="0"/>
                        <a:endCxn id="63" idx="2"/>
                      </wps:cNvCnPr>
                      <wps:spPr>
                        <a:xfrm flipV="1">
                          <a:off x="0" y="0"/>
                          <a:ext cx="883285" cy="44196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59.25pt;margin-top:169.95pt;height:34.8pt;width:69.55pt;z-index:251701248;mso-width-relative:page;mso-height-relative:page;" filled="f" stroked="t" coordsize="21600,21600" o:gfxdata="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3l&#10;hY3bAAAACwEAAA8AAAAAAAAAAQAgAAAAIgAAAGRycy9kb3ducmV2LnhtbFBLAQIUABQAAAAIAIdO&#10;4kCmXIYwIAIAABoEAAAOAAAAAAAAAAEAIAAAACoBAABkcnMvZTJvRG9jLnhtbFBLBQYAAAAABgAG&#10;AFkBAAC8BQAAAAA=&#10;">
                <v:fill on="f" focussize="0,0"/>
                <v:stroke weight="2pt" color="#FF0000 [3204]"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4545330</wp:posOffset>
                </wp:positionH>
                <wp:positionV relativeFrom="paragraph">
                  <wp:posOffset>2584450</wp:posOffset>
                </wp:positionV>
                <wp:extent cx="713740" cy="136525"/>
                <wp:effectExtent l="2540" t="12700" r="7620" b="41275"/>
                <wp:wrapNone/>
                <wp:docPr id="72" name="直接箭头连接符 72"/>
                <wp:cNvGraphicFramePr/>
                <a:graphic xmlns:a="http://schemas.openxmlformats.org/drawingml/2006/main">
                  <a:graphicData uri="http://schemas.microsoft.com/office/word/2010/wordprocessingShape">
                    <wps:wsp>
                      <wps:cNvCnPr/>
                      <wps:spPr>
                        <a:xfrm>
                          <a:off x="0" y="0"/>
                          <a:ext cx="713740" cy="13652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57.9pt;margin-top:203.5pt;height:10.75pt;width:56.2pt;z-index:251676672;mso-width-relative:page;mso-height-relative:page;" filled="f" stroked="t" coordsize="21600,21600" o:gfxdata="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sORcn2AAAAAsBAAAPAAAAAAAAAAEAIAAAACIAAABkcnMvZG93&#10;bnJldi54bWxQSwECFAAUAAAACACHTuJA01N7oAACAADOAwAADgAAAAAAAAABACAAAAAnAQAAZHJz&#10;L2Uyb0RvYy54bWxQSwUGAAAAAAYABgBZAQAAmQUAAAAA&#10;">
                <v:fill on="f" focussize="0,0"/>
                <v:stroke weight="2pt" color="#FF0000 [3204]"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705344" behindDoc="0" locked="0" layoutInCell="1" allowOverlap="1">
                <wp:simplePos x="0" y="0"/>
                <wp:positionH relativeFrom="column">
                  <wp:posOffset>4513580</wp:posOffset>
                </wp:positionH>
                <wp:positionV relativeFrom="paragraph">
                  <wp:posOffset>2750185</wp:posOffset>
                </wp:positionV>
                <wp:extent cx="29210" cy="445770"/>
                <wp:effectExtent l="50165" t="635" r="34925" b="10795"/>
                <wp:wrapNone/>
                <wp:docPr id="81" name="直接箭头连接符 81"/>
                <wp:cNvGraphicFramePr/>
                <a:graphic xmlns:a="http://schemas.openxmlformats.org/drawingml/2006/main">
                  <a:graphicData uri="http://schemas.microsoft.com/office/word/2010/wordprocessingShape">
                    <wps:wsp>
                      <wps:cNvCnPr/>
                      <wps:spPr>
                        <a:xfrm flipH="1">
                          <a:off x="0" y="0"/>
                          <a:ext cx="29210" cy="44577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55.4pt;margin-top:216.55pt;height:35.1pt;width:2.3pt;z-index:251705344;mso-width-relative:page;mso-height-relative:page;" filled="f" stroked="t" coordsize="21600,21600" o:gfxdata="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kfi4TaAAAACwEAAA8AAAAAAAAAAQAgAAAAIgAA&#10;AGRycy9kb3ducmV2LnhtbFBLAQIUABQAAAAIAIdO4kDl5XuMBgIAANcDAAAOAAAAAAAAAAEAIAAA&#10;ACkBAABkcnMvZTJvRG9jLnhtbFBLBQYAAAAABgAGAFkBAAChBQAAAAA=&#10;">
                <v:fill on="f" focussize="0,0"/>
                <v:stroke weight="2pt" color="#FF0000 [3204]"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706368" behindDoc="0" locked="0" layoutInCell="1" allowOverlap="1">
                <wp:simplePos x="0" y="0"/>
                <wp:positionH relativeFrom="column">
                  <wp:posOffset>4252595</wp:posOffset>
                </wp:positionH>
                <wp:positionV relativeFrom="paragraph">
                  <wp:posOffset>2766060</wp:posOffset>
                </wp:positionV>
                <wp:extent cx="280670" cy="1188720"/>
                <wp:effectExtent l="32385" t="3175" r="29845" b="8255"/>
                <wp:wrapNone/>
                <wp:docPr id="85" name="直接箭头连接符 85"/>
                <wp:cNvGraphicFramePr/>
                <a:graphic xmlns:a="http://schemas.openxmlformats.org/drawingml/2006/main">
                  <a:graphicData uri="http://schemas.microsoft.com/office/word/2010/wordprocessingShape">
                    <wps:wsp>
                      <wps:cNvCnPr>
                        <a:stCxn id="61" idx="2"/>
                        <a:endCxn id="67" idx="1"/>
                      </wps:cNvCnPr>
                      <wps:spPr>
                        <a:xfrm flipH="1">
                          <a:off x="0" y="0"/>
                          <a:ext cx="280670" cy="118872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34.85pt;margin-top:217.8pt;height:93.6pt;width:22.1pt;z-index:251706368;mso-width-relative:page;mso-height-relative:page;" filled="f" stroked="t" coordsize="21600,21600" o:gfxdata="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3apU5dsAAAALAQAADwAAAAAAAAABACAAAAAiAAAAZHJzL2Rvd25yZXYueG1sUEsBAhQAFAAAAAgA&#10;h07iQPQ/cwAiAgAAGwQAAA4AAAAAAAAAAQAgAAAAKgEAAGRycy9lMm9Eb2MueG1sUEsFBgAAAAAG&#10;AAYAWQEAAL4FAAAAAA==&#10;">
                <v:fill on="f" focussize="0,0"/>
                <v:stroke weight="2pt" color="#FF0000 [3204]"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686912" behindDoc="0" locked="0" layoutInCell="1" allowOverlap="1">
                <wp:simplePos x="0" y="0"/>
                <wp:positionH relativeFrom="column">
                  <wp:posOffset>4254500</wp:posOffset>
                </wp:positionH>
                <wp:positionV relativeFrom="paragraph">
                  <wp:posOffset>2830195</wp:posOffset>
                </wp:positionV>
                <wp:extent cx="457835" cy="32131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45783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D792AA">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280m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pt;margin-top:222.85pt;height:25.3pt;width:36.05pt;z-index:251686912;mso-width-relative:page;mso-height-relative:page;" filled="f" stroked="f" coordsize="21600,21600" o:gfxdata="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yRc2A3QAAAAsBAAAPAAAAAAAAAAEAIAAAACIA&#10;AABkcnMvZG93bnJldi54bWxQSwECFAAUAAAACACHTuJAhhxLND0CAABnBAAADgAAAAAAAAABACAA&#10;AAAsAQAAZHJzL2Uyb0RvYy54bWxQSwUGAAAAAAYABgBZAQAA2wUAAAAA&#10;">
                <v:fill on="f" focussize="0,0"/>
                <v:stroke on="f" weight="0.5pt"/>
                <v:imagedata o:title=""/>
                <o:lock v:ext="edit" aspectratio="f"/>
                <v:textbox>
                  <w:txbxContent>
                    <w:p w14:paraId="36D792AA">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280m</w:t>
                      </w:r>
                    </w:p>
                  </w:txbxContent>
                </v:textbox>
              </v:shape>
            </w:pict>
          </mc:Fallback>
        </mc:AlternateContent>
      </w:r>
      <w:r>
        <w:rPr>
          <w:color w:val="auto"/>
          <w:sz w:val="24"/>
        </w:rPr>
        <mc:AlternateContent>
          <mc:Choice Requires="wps">
            <w:drawing>
              <wp:anchor distT="0" distB="0" distL="114300" distR="114300" simplePos="0" relativeHeight="251684864" behindDoc="0" locked="0" layoutInCell="1" allowOverlap="1">
                <wp:simplePos x="0" y="0"/>
                <wp:positionH relativeFrom="column">
                  <wp:posOffset>4319905</wp:posOffset>
                </wp:positionH>
                <wp:positionV relativeFrom="paragraph">
                  <wp:posOffset>2609850</wp:posOffset>
                </wp:positionV>
                <wp:extent cx="904875" cy="32131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90487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C62FE5">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428m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0.15pt;margin-top:205.5pt;height:25.3pt;width:71.25pt;z-index:251684864;mso-width-relative:page;mso-height-relative:page;" filled="f" stroked="f" coordsize="21600,21600" o:gfxdata="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XnykP2gAAAAsBAAAPAAAAAAAAAAEAIAAAACIAAABk&#10;cnMvZG93bnJldi54bWxQSwECFAAUAAAACACHTuJAAHooxD0CAABnBAAADgAAAAAAAAABACAAAAAp&#10;AQAAZHJzL2Uyb0RvYy54bWxQSwUGAAAAAAYABgBZAQAA2AUAAAAA&#10;">
                <v:fill on="f" focussize="0,0"/>
                <v:stroke on="f" weight="0.5pt"/>
                <v:imagedata o:title=""/>
                <o:lock v:ext="edit" aspectratio="f"/>
                <v:textbox>
                  <w:txbxContent>
                    <w:p w14:paraId="57C62FE5">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428m</w:t>
                      </w:r>
                    </w:p>
                  </w:txbxContent>
                </v:textbox>
              </v:shape>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3804920</wp:posOffset>
                </wp:positionH>
                <wp:positionV relativeFrom="paragraph">
                  <wp:posOffset>160655</wp:posOffset>
                </wp:positionV>
                <wp:extent cx="986790" cy="32131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98679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3D3A36">
                            <w:pPr>
                              <w:jc w:val="center"/>
                              <w:rPr>
                                <w:rFonts w:hint="default" w:eastAsiaTheme="minorEastAsia"/>
                                <w:b/>
                                <w:bCs/>
                                <w:color w:val="FFFF00"/>
                                <w:lang w:val="en-US" w:eastAsia="zh-CN"/>
                              </w:rPr>
                            </w:pPr>
                            <w:r>
                              <w:rPr>
                                <w:rFonts w:hint="eastAsia"/>
                                <w:b/>
                                <w:bCs/>
                                <w:color w:val="FFFF00"/>
                                <w:lang w:val="en-US" w:eastAsia="zh-CN"/>
                              </w:rPr>
                              <w:t>山障埠村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6pt;margin-top:12.65pt;height:25.3pt;width:77.7pt;z-index:251666432;mso-width-relative:page;mso-height-relative:page;" filled="f" stroked="f" coordsize="21600,21600" o:gfxdata="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OXDd7bAAAACQEAAA8AAAAAAAAAAQAgAAAAIgAA&#10;AGRycy9kb3ducmV2LnhtbFBLAQIUABQAAAAIAIdO4kC3l9B7PgIAAGcEAAAOAAAAAAAAAAEAIAAA&#10;ACoBAABkcnMvZTJvRG9jLnhtbFBLBQYAAAAABgAGAFkBAADaBQAAAAA=&#10;">
                <v:fill on="f" focussize="0,0"/>
                <v:stroke on="f" weight="0.5pt"/>
                <v:imagedata o:title=""/>
                <o:lock v:ext="edit" aspectratio="f"/>
                <v:textbox>
                  <w:txbxContent>
                    <w:p w14:paraId="483D3A36">
                      <w:pPr>
                        <w:jc w:val="center"/>
                        <w:rPr>
                          <w:rFonts w:hint="default" w:eastAsiaTheme="minorEastAsia"/>
                          <w:b/>
                          <w:bCs/>
                          <w:color w:val="FFFF00"/>
                          <w:lang w:val="en-US" w:eastAsia="zh-CN"/>
                        </w:rPr>
                      </w:pPr>
                      <w:r>
                        <w:rPr>
                          <w:rFonts w:hint="eastAsia"/>
                          <w:b/>
                          <w:bCs/>
                          <w:color w:val="FFFF00"/>
                          <w:lang w:val="en-US" w:eastAsia="zh-CN"/>
                        </w:rPr>
                        <w:t>山障埠村</w:t>
                      </w:r>
                    </w:p>
                  </w:txbxContent>
                </v:textbox>
              </v:shape>
            </w:pict>
          </mc:Fallback>
        </mc:AlternateContent>
      </w: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3206115</wp:posOffset>
                </wp:positionH>
                <wp:positionV relativeFrom="paragraph">
                  <wp:posOffset>3982085</wp:posOffset>
                </wp:positionV>
                <wp:extent cx="904875" cy="32131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90487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1A6E9A">
                            <w:pPr>
                              <w:jc w:val="center"/>
                              <w:rPr>
                                <w:rFonts w:hint="default" w:eastAsiaTheme="minorEastAsia"/>
                                <w:b/>
                                <w:bCs/>
                                <w:color w:val="FFFF00"/>
                                <w:lang w:val="en-US" w:eastAsia="zh-CN"/>
                              </w:rPr>
                            </w:pPr>
                            <w:r>
                              <w:rPr>
                                <w:rFonts w:hint="eastAsia"/>
                                <w:b/>
                                <w:bCs/>
                                <w:color w:val="FFFF00"/>
                                <w:lang w:val="en-US" w:eastAsia="zh-CN"/>
                              </w:rPr>
                              <w:t>李家学校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45pt;margin-top:313.55pt;height:25.3pt;width:71.25pt;z-index:251665408;mso-width-relative:page;mso-height-relative:page;" filled="f" stroked="f" coordsize="21600,21600" o:gfxdata="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rj0vLcAAAACwEAAA8AAAAAAAAAAQAgAAAAIgAA&#10;AGRycy9kb3ducmV2LnhtbFBLAQIUABQAAAAIAIdO4kCv/RwmPQIAAGcEAAAOAAAAAAAAAAEAIAAA&#10;ACsBAABkcnMvZTJvRG9jLnhtbFBLBQYAAAAABgAGAFkBAADaBQAAAAA=&#10;">
                <v:fill on="f" focussize="0,0"/>
                <v:stroke on="f" weight="0.5pt"/>
                <v:imagedata o:title=""/>
                <o:lock v:ext="edit" aspectratio="f"/>
                <v:textbox>
                  <w:txbxContent>
                    <w:p w14:paraId="7A1A6E9A">
                      <w:pPr>
                        <w:jc w:val="center"/>
                        <w:rPr>
                          <w:rFonts w:hint="default" w:eastAsiaTheme="minorEastAsia"/>
                          <w:b/>
                          <w:bCs/>
                          <w:color w:val="FFFF00"/>
                          <w:lang w:val="en-US" w:eastAsia="zh-CN"/>
                        </w:rPr>
                      </w:pPr>
                      <w:r>
                        <w:rPr>
                          <w:rFonts w:hint="eastAsia"/>
                          <w:b/>
                          <w:bCs/>
                          <w:color w:val="FFFF00"/>
                          <w:lang w:val="en-US" w:eastAsia="zh-CN"/>
                        </w:rPr>
                        <w:t>李家学校</w:t>
                      </w:r>
                    </w:p>
                  </w:txbxContent>
                </v:textbox>
              </v:shape>
            </w:pict>
          </mc:Fallback>
        </mc:AlternateContent>
      </w:r>
      <w:r>
        <w:rPr>
          <w:color w:val="auto"/>
          <w:sz w:val="24"/>
        </w:rPr>
        <mc:AlternateContent>
          <mc:Choice Requires="wps">
            <w:drawing>
              <wp:anchor distT="0" distB="0" distL="114300" distR="114300" simplePos="0" relativeHeight="251682816" behindDoc="0" locked="0" layoutInCell="1" allowOverlap="1">
                <wp:simplePos x="0" y="0"/>
                <wp:positionH relativeFrom="column">
                  <wp:posOffset>1096645</wp:posOffset>
                </wp:positionH>
                <wp:positionV relativeFrom="paragraph">
                  <wp:posOffset>1241425</wp:posOffset>
                </wp:positionV>
                <wp:extent cx="904875" cy="32131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90487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73F402">
                            <w:pPr>
                              <w:jc w:val="center"/>
                              <w:rPr>
                                <w:rFonts w:hint="default" w:eastAsiaTheme="minorEastAsia"/>
                                <w:b/>
                                <w:bCs/>
                                <w:color w:val="FFFF00"/>
                                <w:lang w:val="en-US" w:eastAsia="zh-CN"/>
                              </w:rPr>
                            </w:pPr>
                            <w:r>
                              <w:rPr>
                                <w:rFonts w:hint="eastAsia"/>
                                <w:b/>
                                <w:bCs/>
                                <w:color w:val="FFFF00"/>
                                <w:lang w:val="en-US" w:eastAsia="zh-CN"/>
                              </w:rPr>
                              <w:t>贾黄村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6.35pt;margin-top:97.75pt;height:25.3pt;width:71.25pt;z-index:251682816;mso-width-relative:page;mso-height-relative:page;" filled="f" stroked="f" coordsize="21600,21600" o:gfxdata="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LW1fbAAAACwEAAA8AAAAAAAAAAQAgAAAAIgAA&#10;AGRycy9kb3ducmV2LnhtbFBLAQIUABQAAAAIAIdO4kDqi8fRPgIAAGcEAAAOAAAAAAAAAAEAIAAA&#10;ACoBAABkcnMvZTJvRG9jLnhtbFBLBQYAAAAABgAGAFkBAADaBQAAAAA=&#10;">
                <v:fill on="f" focussize="0,0"/>
                <v:stroke on="f" weight="0.5pt"/>
                <v:imagedata o:title=""/>
                <o:lock v:ext="edit" aspectratio="f"/>
                <v:textbox>
                  <w:txbxContent>
                    <w:p w14:paraId="7473F402">
                      <w:pPr>
                        <w:jc w:val="center"/>
                        <w:rPr>
                          <w:rFonts w:hint="default" w:eastAsiaTheme="minorEastAsia"/>
                          <w:b/>
                          <w:bCs/>
                          <w:color w:val="FFFF00"/>
                          <w:lang w:val="en-US" w:eastAsia="zh-CN"/>
                        </w:rPr>
                      </w:pPr>
                      <w:r>
                        <w:rPr>
                          <w:rFonts w:hint="eastAsia"/>
                          <w:b/>
                          <w:bCs/>
                          <w:color w:val="FFFF00"/>
                          <w:lang w:val="en-US" w:eastAsia="zh-CN"/>
                        </w:rPr>
                        <w:t>贾黄村</w:t>
                      </w:r>
                    </w:p>
                  </w:txbxContent>
                </v:textbox>
              </v:shape>
            </w:pict>
          </mc:Fallback>
        </mc:AlternateContent>
      </w: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5545455</wp:posOffset>
                </wp:positionH>
                <wp:positionV relativeFrom="paragraph">
                  <wp:posOffset>1304290</wp:posOffset>
                </wp:positionV>
                <wp:extent cx="822325" cy="32131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82232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29A4DC">
                            <w:pPr>
                              <w:jc w:val="center"/>
                              <w:rPr>
                                <w:rFonts w:hint="default" w:eastAsiaTheme="minorEastAsia"/>
                                <w:b/>
                                <w:bCs/>
                                <w:color w:val="FFFF00"/>
                                <w:lang w:val="en-US" w:eastAsia="zh-CN"/>
                              </w:rPr>
                            </w:pPr>
                            <w:r>
                              <w:rPr>
                                <w:rFonts w:hint="eastAsia"/>
                                <w:b/>
                                <w:bCs/>
                                <w:color w:val="FFFF00"/>
                                <w:lang w:val="en-US" w:eastAsia="zh-CN"/>
                              </w:rPr>
                              <w:t>银河小区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6.65pt;margin-top:102.7pt;height:25.3pt;width:64.75pt;z-index:251699200;mso-width-relative:page;mso-height-relative:page;" filled="f" stroked="f" coordsize="21600,21600" o:gfxdata="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ZmVnXcAAAADAEAAA8AAAAAAAAAAQAgAAAAIgAA&#10;AGRycy9kb3ducmV2LnhtbFBLAQIUABQAAAAIAIdO4kAa0dlTPQIAAGcEAAAOAAAAAAAAAAEAIAAA&#10;ACsBAABkcnMvZTJvRG9jLnhtbFBLBQYAAAAABgAGAFkBAADaBQAAAAA=&#10;">
                <v:fill on="f" focussize="0,0"/>
                <v:stroke on="f" weight="0.5pt"/>
                <v:imagedata o:title=""/>
                <o:lock v:ext="edit" aspectratio="f"/>
                <v:textbox>
                  <w:txbxContent>
                    <w:p w14:paraId="0D29A4DC">
                      <w:pPr>
                        <w:jc w:val="center"/>
                        <w:rPr>
                          <w:rFonts w:hint="default" w:eastAsiaTheme="minorEastAsia"/>
                          <w:b/>
                          <w:bCs/>
                          <w:color w:val="FFFF00"/>
                          <w:lang w:val="en-US" w:eastAsia="zh-CN"/>
                        </w:rPr>
                      </w:pPr>
                      <w:r>
                        <w:rPr>
                          <w:rFonts w:hint="eastAsia"/>
                          <w:b/>
                          <w:bCs/>
                          <w:color w:val="FFFF00"/>
                          <w:lang w:val="en-US" w:eastAsia="zh-CN"/>
                        </w:rPr>
                        <w:t>银河小区</w:t>
                      </w:r>
                    </w:p>
                  </w:txbxContent>
                </v:textbox>
              </v:shape>
            </w:pict>
          </mc:Fallback>
        </mc:AlternateContent>
      </w: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5573395</wp:posOffset>
                </wp:positionH>
                <wp:positionV relativeFrom="paragraph">
                  <wp:posOffset>1383665</wp:posOffset>
                </wp:positionV>
                <wp:extent cx="358140" cy="142240"/>
                <wp:effectExtent l="20955" t="36830" r="20955" b="49530"/>
                <wp:wrapNone/>
                <wp:docPr id="70" name="矩形 70"/>
                <wp:cNvGraphicFramePr/>
                <a:graphic xmlns:a="http://schemas.openxmlformats.org/drawingml/2006/main">
                  <a:graphicData uri="http://schemas.microsoft.com/office/word/2010/wordprocessingShape">
                    <wps:wsp>
                      <wps:cNvSpPr/>
                      <wps:spPr>
                        <a:xfrm rot="480000">
                          <a:off x="6261735" y="2263140"/>
                          <a:ext cx="358140" cy="14224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8.85pt;margin-top:108.95pt;height:11.2pt;width:28.2pt;rotation:524288f;z-index:251698176;v-text-anchor:middle;mso-width-relative:page;mso-height-relative:page;" filled="f" stroked="t" coordsize="21600,21600" o:gfxdata="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baRnyNwAAAALAQAADwAAAAAAAAABACAAAAAiAAAAZHJzL2Rv&#10;d25yZXYueG1sUEsBAhQAFAAAAAgAh07iQN4izAhvAgAAzgQAAA4AAAAAAAAAAQAgAAAAKwEAAGRy&#10;cy9lMm9Eb2MueG1sUEsFBgAAAAAGAAYAWQEAAAwGAAAAAA==&#10;">
                <v:fill on="f" focussize="0,0"/>
                <v:stroke weight="2pt" color="#FFFF00 [2404]" joinstyle="round"/>
                <v:imagedata o:title=""/>
                <o:lock v:ext="edit" aspectratio="f"/>
              </v:rect>
            </w:pict>
          </mc:Fallback>
        </mc:AlternateContent>
      </w:r>
      <w:r>
        <w:rPr>
          <w:rFonts w:hint="default" w:ascii="Times New Roman" w:hAnsi="Times New Roman" w:cs="Times New Roman"/>
          <w:color w:val="auto"/>
          <w:highlight w:val="none"/>
        </w:rPr>
        <w:drawing>
          <wp:anchor distT="0" distB="0" distL="114300" distR="114300" simplePos="0" relativeHeight="251688960" behindDoc="0" locked="0" layoutInCell="1" allowOverlap="1">
            <wp:simplePos x="0" y="0"/>
            <wp:positionH relativeFrom="column">
              <wp:posOffset>7391400</wp:posOffset>
            </wp:positionH>
            <wp:positionV relativeFrom="paragraph">
              <wp:posOffset>89535</wp:posOffset>
            </wp:positionV>
            <wp:extent cx="948055" cy="927735"/>
            <wp:effectExtent l="0" t="0" r="4445" b="5715"/>
            <wp:wrapNone/>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48"/>
                    <a:stretch>
                      <a:fillRect/>
                    </a:stretch>
                  </pic:blipFill>
                  <pic:spPr>
                    <a:xfrm>
                      <a:off x="0" y="0"/>
                      <a:ext cx="948055" cy="92773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3041650</wp:posOffset>
                </wp:positionH>
                <wp:positionV relativeFrom="paragraph">
                  <wp:posOffset>2113915</wp:posOffset>
                </wp:positionV>
                <wp:extent cx="904875" cy="32131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90487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DA31BB">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1435m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9.5pt;margin-top:166.45pt;height:25.3pt;width:71.25pt;z-index:251667456;mso-width-relative:page;mso-height-relative:page;" filled="f" stroked="f" coordsize="21600,21600" o:gfxdata="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qvO/D90AAAALAQAADwAAAAAAAAABACAAAAAi&#10;AAAAZHJzL2Rvd25yZXYueG1sUEsBAhQAFAAAAAgAh07iQEUM8zM+AgAAZwQAAA4AAAAAAAAAAQAg&#10;AAAALAEAAGRycy9lMm9Eb2MueG1sUEsFBgAAAAAGAAYAWQEAANwFAAAAAA==&#10;">
                <v:fill on="f" focussize="0,0"/>
                <v:stroke on="f" weight="0.5pt"/>
                <v:imagedata o:title=""/>
                <o:lock v:ext="edit" aspectratio="f"/>
                <v:textbox>
                  <w:txbxContent>
                    <w:p w14:paraId="59DA31BB">
                      <w:pPr>
                        <w:jc w:val="center"/>
                        <w:rPr>
                          <w:rFonts w:hint="default" w:eastAsiaTheme="minorEastAsia"/>
                          <w:b/>
                          <w:bCs/>
                          <w:color w:val="FF0000"/>
                          <w:sz w:val="18"/>
                          <w:szCs w:val="21"/>
                          <w:lang w:val="en-US" w:eastAsia="zh-CN"/>
                        </w:rPr>
                      </w:pPr>
                      <w:r>
                        <w:rPr>
                          <w:rFonts w:hint="eastAsia"/>
                          <w:b/>
                          <w:bCs/>
                          <w:color w:val="FF0000"/>
                          <w:sz w:val="18"/>
                          <w:szCs w:val="21"/>
                          <w:lang w:val="en-US" w:eastAsia="zh-CN"/>
                        </w:rPr>
                        <w:t>1435m</w:t>
                      </w:r>
                    </w:p>
                  </w:txbxContent>
                </v:textbox>
              </v:shape>
            </w:pict>
          </mc:Fallback>
        </mc:AlternateContent>
      </w:r>
      <w:r>
        <w:rPr>
          <w:color w:val="auto"/>
          <w:sz w:val="24"/>
        </w:rPr>
        <mc:AlternateContent>
          <mc:Choice Requires="wps">
            <w:drawing>
              <wp:anchor distT="0" distB="0" distL="114300" distR="114300" simplePos="0" relativeHeight="251683840" behindDoc="0" locked="0" layoutInCell="1" allowOverlap="1">
                <wp:simplePos x="0" y="0"/>
                <wp:positionH relativeFrom="column">
                  <wp:posOffset>3617595</wp:posOffset>
                </wp:positionH>
                <wp:positionV relativeFrom="paragraph">
                  <wp:posOffset>3343910</wp:posOffset>
                </wp:positionV>
                <wp:extent cx="683260" cy="32131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68326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84A3D9">
                            <w:pPr>
                              <w:jc w:val="center"/>
                              <w:rPr>
                                <w:rFonts w:hint="default" w:eastAsiaTheme="minorEastAsia"/>
                                <w:b/>
                                <w:bCs/>
                                <w:color w:val="FFFF00"/>
                                <w:lang w:val="en-US" w:eastAsia="zh-CN"/>
                              </w:rPr>
                            </w:pPr>
                            <w:r>
                              <w:rPr>
                                <w:rFonts w:hint="eastAsia"/>
                                <w:b/>
                                <w:bCs/>
                                <w:color w:val="FFFF00"/>
                                <w:lang w:val="en-US" w:eastAsia="zh-CN"/>
                              </w:rPr>
                              <w:t>李家村</w:t>
                            </w:r>
                          </w:p>
                          <w:p w14:paraId="54671A9D">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85pt;margin-top:263.3pt;height:25.3pt;width:53.8pt;z-index:251683840;mso-width-relative:page;mso-height-relative:page;" filled="f" stroked="f" coordsize="21600,21600" o:gfxdata="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No4bS2wAAAAsBAAAPAAAAAAAAAAEAIAAAACIAAABk&#10;cnMvZG93bnJldi54bWxQSwECFAAUAAAACACHTuJAX8fCVDwCAABnBAAADgAAAAAAAAABACAAAAAq&#10;AQAAZHJzL2Uyb0RvYy54bWxQSwUGAAAAAAYABgBZAQAA2AUAAAAA&#10;">
                <v:fill on="f" focussize="0,0"/>
                <v:stroke on="f" weight="0.5pt"/>
                <v:imagedata o:title=""/>
                <o:lock v:ext="edit" aspectratio="f"/>
                <v:textbox>
                  <w:txbxContent>
                    <w:p w14:paraId="6484A3D9">
                      <w:pPr>
                        <w:jc w:val="center"/>
                        <w:rPr>
                          <w:rFonts w:hint="default" w:eastAsiaTheme="minorEastAsia"/>
                          <w:b/>
                          <w:bCs/>
                          <w:color w:val="FFFF00"/>
                          <w:lang w:val="en-US" w:eastAsia="zh-CN"/>
                        </w:rPr>
                      </w:pPr>
                      <w:r>
                        <w:rPr>
                          <w:rFonts w:hint="eastAsia"/>
                          <w:b/>
                          <w:bCs/>
                          <w:color w:val="FFFF00"/>
                          <w:lang w:val="en-US" w:eastAsia="zh-CN"/>
                        </w:rPr>
                        <w:t>李家村</w:t>
                      </w:r>
                    </w:p>
                    <w:p w14:paraId="54671A9D">
                      <w:pPr>
                        <w:rPr>
                          <w:rFonts w:hint="default"/>
                          <w:lang w:val="en-US" w:eastAsia="zh-CN"/>
                        </w:rPr>
                      </w:pPr>
                    </w:p>
                  </w:txbxContent>
                </v:textbox>
              </v:shape>
            </w:pict>
          </mc:Fallback>
        </mc:AlternateContent>
      </w:r>
    </w:p>
    <w:p w14:paraId="29426C8A">
      <w:pPr>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附图2</w:t>
      </w:r>
      <w:r>
        <w:rPr>
          <w:rFonts w:hint="eastAsia" w:ascii="Times New Roman" w:hAnsi="Times New Roman" w:eastAsia="宋体" w:cs="Times New Roman"/>
          <w:b/>
          <w:bCs/>
          <w:color w:val="auto"/>
          <w:sz w:val="24"/>
          <w:szCs w:val="24"/>
          <w:lang w:val="en-US" w:eastAsia="zh-CN"/>
        </w:rPr>
        <w:t>b</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eastAsia="宋体" w:cs="Times New Roman"/>
          <w:b/>
          <w:bCs/>
          <w:color w:val="auto"/>
          <w:sz w:val="24"/>
          <w:szCs w:val="24"/>
          <w:lang w:val="en-US" w:eastAsia="zh-CN"/>
        </w:rPr>
        <w:t>项目敏感目标分布</w:t>
      </w:r>
      <w:r>
        <w:rPr>
          <w:rFonts w:hint="default" w:ascii="Times New Roman" w:hAnsi="Times New Roman" w:eastAsia="宋体" w:cs="Times New Roman"/>
          <w:b/>
          <w:bCs/>
          <w:color w:val="auto"/>
          <w:sz w:val="24"/>
          <w:szCs w:val="24"/>
          <w:lang w:val="en-US" w:eastAsia="zh-CN"/>
        </w:rPr>
        <w:t>图</w:t>
      </w:r>
    </w:p>
    <w:p w14:paraId="1869C68B">
      <w:pPr>
        <w:jc w:val="center"/>
        <w:rPr>
          <w:rFonts w:hint="default" w:ascii="Times New Roman" w:hAnsi="Times New Roman" w:eastAsia="宋体" w:cs="Times New Roman"/>
          <w:b/>
          <w:bCs/>
          <w:color w:val="auto"/>
          <w:sz w:val="24"/>
          <w:szCs w:val="24"/>
          <w:lang w:val="en-US" w:eastAsia="zh-CN"/>
        </w:rPr>
        <w:sectPr>
          <w:pgSz w:w="16838" w:h="11906" w:orient="landscape"/>
          <w:pgMar w:top="1440" w:right="1080" w:bottom="1440" w:left="1080" w:header="851" w:footer="992" w:gutter="0"/>
          <w:cols w:space="0" w:num="1"/>
          <w:rtlGutter w:val="0"/>
          <w:docGrid w:type="lines" w:linePitch="319" w:charSpace="0"/>
        </w:sectPr>
      </w:pPr>
    </w:p>
    <w:p w14:paraId="3937A946">
      <w:pPr>
        <w:jc w:val="center"/>
        <w:rPr>
          <w:color w:val="auto"/>
          <w:sz w:val="24"/>
        </w:rPr>
      </w:pPr>
      <w:r>
        <w:rPr>
          <w:rFonts w:hint="default" w:ascii="Times New Roman" w:hAnsi="Times New Roman" w:cs="Times New Roman"/>
          <w:color w:val="auto"/>
          <w:highlight w:val="none"/>
        </w:rPr>
        <w:drawing>
          <wp:anchor distT="0" distB="0" distL="114300" distR="114300" simplePos="0" relativeHeight="251689984" behindDoc="0" locked="0" layoutInCell="1" allowOverlap="1">
            <wp:simplePos x="0" y="0"/>
            <wp:positionH relativeFrom="column">
              <wp:posOffset>4430395</wp:posOffset>
            </wp:positionH>
            <wp:positionV relativeFrom="paragraph">
              <wp:posOffset>-53975</wp:posOffset>
            </wp:positionV>
            <wp:extent cx="948055" cy="927735"/>
            <wp:effectExtent l="0" t="0" r="4445" b="5715"/>
            <wp:wrapNone/>
            <wp:docPr id="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
                    <pic:cNvPicPr>
                      <a:picLocks noChangeAspect="1"/>
                    </pic:cNvPicPr>
                  </pic:nvPicPr>
                  <pic:blipFill>
                    <a:blip r:embed="rId48"/>
                    <a:stretch>
                      <a:fillRect/>
                    </a:stretch>
                  </pic:blipFill>
                  <pic:spPr>
                    <a:xfrm>
                      <a:off x="0" y="0"/>
                      <a:ext cx="948055" cy="92773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722752" behindDoc="0" locked="0" layoutInCell="1" allowOverlap="1">
                <wp:simplePos x="0" y="0"/>
                <wp:positionH relativeFrom="column">
                  <wp:posOffset>125095</wp:posOffset>
                </wp:positionH>
                <wp:positionV relativeFrom="paragraph">
                  <wp:posOffset>-115570</wp:posOffset>
                </wp:positionV>
                <wp:extent cx="5318125" cy="7905750"/>
                <wp:effectExtent l="12700" t="12700" r="22225" b="25400"/>
                <wp:wrapNone/>
                <wp:docPr id="105" name="矩形 105"/>
                <wp:cNvGraphicFramePr/>
                <a:graphic xmlns:a="http://schemas.openxmlformats.org/drawingml/2006/main">
                  <a:graphicData uri="http://schemas.microsoft.com/office/word/2010/wordprocessingShape">
                    <wps:wsp>
                      <wps:cNvSpPr/>
                      <wps:spPr>
                        <a:xfrm>
                          <a:off x="1270000" y="798830"/>
                          <a:ext cx="5318125" cy="790575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85pt;margin-top:-9.1pt;height:622.5pt;width:418.75pt;z-index:251722752;v-text-anchor:middle;mso-width-relative:page;mso-height-relative:page;" filled="f" stroked="t" coordsize="21600,21600" o:gfxdata="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hGL19toAAAALAQAADwAAAAAAAAABACAAAAAiAAAAZHJzL2Rvd25yZXYueG1s&#10;UEsBAhQAFAAAAAgAh07iQA/rddFoAgAAxAQAAA4AAAAAAAAAAQAgAAAAKQEAAGRycy9lMm9Eb2Mu&#10;eG1sUEsFBgAAAAAGAAYAWQEAAAMGAAAAAA==&#10;">
                <v:fill on="f" focussize="0,0"/>
                <v:stroke weight="2pt" color="#000000 [3213]" joinstyle="round"/>
                <v:imagedata o:title=""/>
                <o:lock v:ext="edit" aspectratio="f"/>
              </v:rect>
            </w:pict>
          </mc:Fallback>
        </mc:AlternateContent>
      </w:r>
      <w:r>
        <w:rPr>
          <w:color w:val="auto"/>
          <w:sz w:val="24"/>
        </w:rPr>
        <mc:AlternateContent>
          <mc:Choice Requires="wpg">
            <w:drawing>
              <wp:anchor distT="0" distB="0" distL="114300" distR="114300" simplePos="0" relativeHeight="251721728" behindDoc="0" locked="0" layoutInCell="1" allowOverlap="1">
                <wp:simplePos x="0" y="0"/>
                <wp:positionH relativeFrom="column">
                  <wp:posOffset>1971040</wp:posOffset>
                </wp:positionH>
                <wp:positionV relativeFrom="paragraph">
                  <wp:posOffset>7060565</wp:posOffset>
                </wp:positionV>
                <wp:extent cx="3515995" cy="572135"/>
                <wp:effectExtent l="0" t="0" r="0" b="15240"/>
                <wp:wrapNone/>
                <wp:docPr id="104" name="组合 104"/>
                <wp:cNvGraphicFramePr/>
                <a:graphic xmlns:a="http://schemas.openxmlformats.org/drawingml/2006/main">
                  <a:graphicData uri="http://schemas.microsoft.com/office/word/2010/wordprocessingGroup">
                    <wpg:wgp>
                      <wpg:cNvGrpSpPr/>
                      <wpg:grpSpPr>
                        <a:xfrm>
                          <a:off x="0" y="0"/>
                          <a:ext cx="3515995" cy="572135"/>
                          <a:chOff x="10327" y="50158"/>
                          <a:chExt cx="5537" cy="901"/>
                        </a:xfrm>
                      </wpg:grpSpPr>
                      <wps:wsp>
                        <wps:cNvPr id="49" name="矩形 40"/>
                        <wps:cNvSpPr/>
                        <wps:spPr>
                          <a:xfrm>
                            <a:off x="10553" y="50725"/>
                            <a:ext cx="2409" cy="335"/>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0" name="矩形 41"/>
                        <wps:cNvSpPr/>
                        <wps:spPr>
                          <a:xfrm>
                            <a:off x="12978" y="50715"/>
                            <a:ext cx="2409" cy="335"/>
                          </a:xfrm>
                          <a:prstGeom prst="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1" name="文本框 42"/>
                        <wps:cNvSpPr txBox="1"/>
                        <wps:spPr>
                          <a:xfrm>
                            <a:off x="10327" y="50158"/>
                            <a:ext cx="653" cy="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B26FB2">
                              <w:pPr>
                                <w:keepNext w:val="0"/>
                                <w:keepLines w:val="0"/>
                                <w:pageBreakBefore w:val="0"/>
                                <w:widowControl w:val="0"/>
                                <w:kinsoku/>
                                <w:wordWrap/>
                                <w:overflowPunct/>
                                <w:topLinePunct w:val="0"/>
                                <w:bidi w:val="0"/>
                                <w:adjustRightInd w:val="0"/>
                                <w:snapToGrid w:val="0"/>
                                <w:textAlignment w:val="auto"/>
                                <w:rPr>
                                  <w:rFonts w:hint="eastAsia" w:eastAsiaTheme="minorEastAsia"/>
                                  <w:sz w:val="32"/>
                                  <w:szCs w:val="40"/>
                                  <w:lang w:val="en-US" w:eastAsia="zh-CN"/>
                                </w:rPr>
                              </w:pPr>
                              <w:r>
                                <w:rPr>
                                  <w:rFonts w:hint="eastAsia"/>
                                  <w:sz w:val="32"/>
                                  <w:szCs w:val="40"/>
                                  <w:lang w:val="en-US" w:eastAsia="zh-CN"/>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 name="文本框 44"/>
                        <wps:cNvSpPr txBox="1"/>
                        <wps:spPr>
                          <a:xfrm>
                            <a:off x="12463" y="50221"/>
                            <a:ext cx="1102" cy="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3C8386">
                              <w:pPr>
                                <w:keepNext w:val="0"/>
                                <w:keepLines w:val="0"/>
                                <w:pageBreakBefore w:val="0"/>
                                <w:widowControl w:val="0"/>
                                <w:kinsoku/>
                                <w:wordWrap/>
                                <w:overflowPunct/>
                                <w:topLinePunct w:val="0"/>
                                <w:bidi w:val="0"/>
                                <w:adjustRightInd w:val="0"/>
                                <w:snapToGrid w:val="0"/>
                                <w:textAlignment w:val="auto"/>
                                <w:rPr>
                                  <w:rFonts w:hint="default" w:eastAsiaTheme="minorEastAsia"/>
                                  <w:sz w:val="32"/>
                                  <w:szCs w:val="40"/>
                                  <w:lang w:val="en-US" w:eastAsia="zh-CN"/>
                                </w:rPr>
                              </w:pPr>
                              <w:r>
                                <w:rPr>
                                  <w:rFonts w:hint="eastAsia"/>
                                  <w:sz w:val="32"/>
                                  <w:szCs w:val="40"/>
                                  <w:lang w:val="en-US" w:eastAsia="zh-CN"/>
                                </w:rPr>
                                <w:t>25m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 name="文本框 45"/>
                        <wps:cNvSpPr txBox="1"/>
                        <wps:spPr>
                          <a:xfrm>
                            <a:off x="14762" y="50161"/>
                            <a:ext cx="1102" cy="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CAF82F">
                              <w:pPr>
                                <w:keepNext w:val="0"/>
                                <w:keepLines w:val="0"/>
                                <w:pageBreakBefore w:val="0"/>
                                <w:widowControl w:val="0"/>
                                <w:kinsoku/>
                                <w:wordWrap/>
                                <w:overflowPunct/>
                                <w:topLinePunct w:val="0"/>
                                <w:bidi w:val="0"/>
                                <w:adjustRightInd w:val="0"/>
                                <w:snapToGrid w:val="0"/>
                                <w:textAlignment w:val="auto"/>
                                <w:rPr>
                                  <w:rFonts w:hint="default" w:eastAsiaTheme="minorEastAsia"/>
                                  <w:sz w:val="32"/>
                                  <w:szCs w:val="40"/>
                                  <w:lang w:val="en-US" w:eastAsia="zh-CN"/>
                                </w:rPr>
                              </w:pPr>
                              <w:r>
                                <w:rPr>
                                  <w:rFonts w:hint="eastAsia"/>
                                  <w:sz w:val="32"/>
                                  <w:szCs w:val="40"/>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55.2pt;margin-top:555.95pt;height:45.05pt;width:276.85pt;z-index:251721728;mso-width-relative:page;mso-height-relative:page;" coordorigin="10327,50158" coordsize="5537,901" o:gfxdata="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">
                <o:lock v:ext="edit" aspectratio="f"/>
                <v:rect id="矩形 40" o:spid="_x0000_s1026" o:spt="1" style="position:absolute;left:10553;top:50725;height:335;width:2409;v-text-anchor:middle;" fillcolor="#FFFFFF [3212]" filled="t" stroked="t" coordsize="21600,21600" o:gfxdata="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AP4UvQAA&#10;ANsAAAAPAAAAAAAAAAEAIAAAACIAAABkcnMvZG93bnJldi54bWxQSwECFAAUAAAACACHTuJAMy8F&#10;njsAAAA5AAAAEAAAAAAAAAABACAAAAAMAQAAZHJzL3NoYXBleG1sLnhtbFBLBQYAAAAABgAGAFsB&#10;AAC2AwAAAAA=&#10;">
                  <v:fill on="t" focussize="0,0"/>
                  <v:stroke weight="2pt" color="#000000 [3213]" joinstyle="round"/>
                  <v:imagedata o:title=""/>
                  <o:lock v:ext="edit" aspectratio="f"/>
                </v:rect>
                <v:rect id="矩形 41" o:spid="_x0000_s1026" o:spt="1" style="position:absolute;left:12978;top:50715;height:335;width:2409;v-text-anchor:middle;" fillcolor="#000000 [3213]" filled="t" stroked="t" coordsize="21600,21600" o:gfxdata="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ER3Ti5AAAA2wAA&#10;AA8AAAAAAAAAAQAgAAAAIgAAAGRycy9kb3ducmV2LnhtbFBLAQIUABQAAAAIAIdO4kAzLwWeOwAA&#10;ADkAAAAQAAAAAAAAAAEAIAAAAAgBAABkcnMvc2hhcGV4bWwueG1sUEsFBgAAAAAGAAYAWwEAALID&#10;AAAAAA==&#10;">
                  <v:fill on="t" focussize="0,0"/>
                  <v:stroke weight="2pt" color="#000000 [3213]" joinstyle="round"/>
                  <v:imagedata o:title=""/>
                  <o:lock v:ext="edit" aspectratio="f"/>
                </v:rect>
                <v:shape id="文本框 42" o:spid="_x0000_s1026" o:spt="202" type="#_x0000_t202" style="position:absolute;left:10327;top:50158;height:520;width:653;" filled="f" stroked="f" coordsize="21600,21600" o:gfxdata="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AlXb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60B26FB2">
                        <w:pPr>
                          <w:keepNext w:val="0"/>
                          <w:keepLines w:val="0"/>
                          <w:pageBreakBefore w:val="0"/>
                          <w:widowControl w:val="0"/>
                          <w:kinsoku/>
                          <w:wordWrap/>
                          <w:overflowPunct/>
                          <w:topLinePunct w:val="0"/>
                          <w:bidi w:val="0"/>
                          <w:adjustRightInd w:val="0"/>
                          <w:snapToGrid w:val="0"/>
                          <w:textAlignment w:val="auto"/>
                          <w:rPr>
                            <w:rFonts w:hint="eastAsia" w:eastAsiaTheme="minorEastAsia"/>
                            <w:sz w:val="32"/>
                            <w:szCs w:val="40"/>
                            <w:lang w:val="en-US" w:eastAsia="zh-CN"/>
                          </w:rPr>
                        </w:pPr>
                        <w:r>
                          <w:rPr>
                            <w:rFonts w:hint="eastAsia"/>
                            <w:sz w:val="32"/>
                            <w:szCs w:val="40"/>
                            <w:lang w:val="en-US" w:eastAsia="zh-CN"/>
                          </w:rPr>
                          <w:t>0</w:t>
                        </w:r>
                      </w:p>
                    </w:txbxContent>
                  </v:textbox>
                </v:shape>
                <v:shape id="文本框 44" o:spid="_x0000_s1026" o:spt="202" type="#_x0000_t202" style="position:absolute;left:12463;top:50221;height:520;width:1102;" filled="f" stroked="f" coordsize="21600,21600" o:gfxdata="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tDLr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573C8386">
                        <w:pPr>
                          <w:keepNext w:val="0"/>
                          <w:keepLines w:val="0"/>
                          <w:pageBreakBefore w:val="0"/>
                          <w:widowControl w:val="0"/>
                          <w:kinsoku/>
                          <w:wordWrap/>
                          <w:overflowPunct/>
                          <w:topLinePunct w:val="0"/>
                          <w:bidi w:val="0"/>
                          <w:adjustRightInd w:val="0"/>
                          <w:snapToGrid w:val="0"/>
                          <w:textAlignment w:val="auto"/>
                          <w:rPr>
                            <w:rFonts w:hint="default" w:eastAsiaTheme="minorEastAsia"/>
                            <w:sz w:val="32"/>
                            <w:szCs w:val="40"/>
                            <w:lang w:val="en-US" w:eastAsia="zh-CN"/>
                          </w:rPr>
                        </w:pPr>
                        <w:r>
                          <w:rPr>
                            <w:rFonts w:hint="eastAsia"/>
                            <w:sz w:val="32"/>
                            <w:szCs w:val="40"/>
                            <w:lang w:val="en-US" w:eastAsia="zh-CN"/>
                          </w:rPr>
                          <w:t>25m</w:t>
                        </w:r>
                      </w:p>
                    </w:txbxContent>
                  </v:textbox>
                </v:shape>
                <v:shape id="文本框 45" o:spid="_x0000_s1026" o:spt="202" type="#_x0000_t202" style="position:absolute;left:14762;top:50161;height:520;width:1102;" filled="f" stroked="f" coordsize="21600,21600" o:gfxdata="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2cbje/&#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2CAF82F">
                        <w:pPr>
                          <w:keepNext w:val="0"/>
                          <w:keepLines w:val="0"/>
                          <w:pageBreakBefore w:val="0"/>
                          <w:widowControl w:val="0"/>
                          <w:kinsoku/>
                          <w:wordWrap/>
                          <w:overflowPunct/>
                          <w:topLinePunct w:val="0"/>
                          <w:bidi w:val="0"/>
                          <w:adjustRightInd w:val="0"/>
                          <w:snapToGrid w:val="0"/>
                          <w:textAlignment w:val="auto"/>
                          <w:rPr>
                            <w:rFonts w:hint="default" w:eastAsiaTheme="minorEastAsia"/>
                            <w:sz w:val="32"/>
                            <w:szCs w:val="40"/>
                            <w:lang w:val="en-US" w:eastAsia="zh-CN"/>
                          </w:rPr>
                        </w:pPr>
                        <w:r>
                          <w:rPr>
                            <w:rFonts w:hint="eastAsia"/>
                            <w:sz w:val="32"/>
                            <w:szCs w:val="40"/>
                            <w:lang w:val="en-US" w:eastAsia="zh-CN"/>
                          </w:rPr>
                          <w:t>50m</w:t>
                        </w:r>
                      </w:p>
                    </w:txbxContent>
                  </v:textbox>
                </v:shape>
              </v:group>
            </w:pict>
          </mc:Fallback>
        </mc:AlternateContent>
      </w:r>
      <w:r>
        <w:rPr>
          <w:color w:val="auto"/>
          <w:sz w:val="24"/>
        </w:rPr>
        <w:object>
          <v:shape id="_x0000_i1029" o:spt="75" type="#_x0000_t75" style="height:551.3pt;width:272.65pt;" o:ole="t" filled="f" o:preferrelative="t" stroked="f" coordsize="21600,21600">
            <v:path/>
            <v:fill on="f" focussize="0,0"/>
            <v:stroke on="f"/>
            <v:imagedata r:id="rId53" o:title=""/>
            <o:lock v:ext="edit" aspectratio="f"/>
            <w10:wrap type="none"/>
            <w10:anchorlock/>
          </v:shape>
          <o:OLEObject Type="Embed" ProgID="Visio.Drawing.15" ShapeID="_x0000_i1029" DrawAspect="Content" ObjectID="_1468075729" r:id="rId52">
            <o:LockedField>false</o:LockedField>
          </o:OLEObject>
        </w:object>
      </w:r>
    </w:p>
    <w:p w14:paraId="1480D248">
      <w:pPr>
        <w:jc w:val="center"/>
        <w:rPr>
          <w:color w:val="auto"/>
          <w:sz w:val="24"/>
        </w:rPr>
      </w:pPr>
    </w:p>
    <w:p w14:paraId="690C9C27">
      <w:pPr>
        <w:jc w:val="center"/>
        <w:rPr>
          <w:rFonts w:hint="default" w:ascii="Times New Roman" w:hAnsi="Times New Roman" w:eastAsia="宋体" w:cs="Times New Roman"/>
          <w:b/>
          <w:bCs/>
          <w:color w:val="auto"/>
          <w:sz w:val="24"/>
          <w:szCs w:val="24"/>
          <w:lang w:val="en-US" w:eastAsia="zh-CN"/>
        </w:rPr>
      </w:pPr>
    </w:p>
    <w:p w14:paraId="4200ADAA">
      <w:pPr>
        <w:jc w:val="center"/>
        <w:rPr>
          <w:rFonts w:hint="default" w:ascii="Times New Roman" w:hAnsi="Times New Roman" w:eastAsia="宋体" w:cs="Times New Roman"/>
          <w:b/>
          <w:bCs/>
          <w:color w:val="auto"/>
          <w:sz w:val="24"/>
          <w:szCs w:val="24"/>
          <w:lang w:val="en-US" w:eastAsia="zh-CN"/>
        </w:rPr>
      </w:pPr>
    </w:p>
    <w:p w14:paraId="04C55F68">
      <w:pPr>
        <w:jc w:val="center"/>
        <w:rPr>
          <w:rFonts w:hint="default" w:ascii="Times New Roman" w:hAnsi="Times New Roman" w:eastAsia="宋体" w:cs="Times New Roman"/>
          <w:b/>
          <w:bCs/>
          <w:color w:val="auto"/>
          <w:sz w:val="24"/>
          <w:szCs w:val="24"/>
          <w:lang w:val="en-US" w:eastAsia="zh-CN"/>
        </w:rPr>
      </w:pPr>
    </w:p>
    <w:p w14:paraId="13E26D08">
      <w:pPr>
        <w:jc w:val="center"/>
        <w:rPr>
          <w:rFonts w:hint="default" w:ascii="Times New Roman" w:hAnsi="Times New Roman" w:eastAsia="宋体" w:cs="Times New Roman"/>
          <w:b/>
          <w:bCs/>
          <w:color w:val="auto"/>
          <w:sz w:val="24"/>
          <w:szCs w:val="24"/>
          <w:lang w:val="en-US" w:eastAsia="zh-CN"/>
        </w:rPr>
      </w:pPr>
    </w:p>
    <w:p w14:paraId="434D537C">
      <w:pPr>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附图3 项目平面布置图</w:t>
      </w:r>
    </w:p>
    <w:p w14:paraId="4C29FCC1">
      <w:pPr>
        <w:jc w:val="center"/>
        <w:rPr>
          <w:rFonts w:hint="default" w:ascii="Times New Roman" w:hAnsi="Times New Roman" w:eastAsia="宋体" w:cs="Times New Roman"/>
          <w:b/>
          <w:bCs/>
          <w:color w:val="auto"/>
          <w:sz w:val="24"/>
          <w:szCs w:val="24"/>
          <w:lang w:val="en-US" w:eastAsia="zh-CN"/>
        </w:rPr>
      </w:pPr>
      <w:r>
        <w:rPr>
          <w:color w:val="auto"/>
          <w:sz w:val="24"/>
        </w:rPr>
        <mc:AlternateContent>
          <mc:Choice Requires="wps">
            <w:drawing>
              <wp:anchor distT="0" distB="0" distL="114300" distR="114300" simplePos="0" relativeHeight="251675648" behindDoc="0" locked="0" layoutInCell="1" allowOverlap="1">
                <wp:simplePos x="0" y="0"/>
                <wp:positionH relativeFrom="column">
                  <wp:posOffset>3902710</wp:posOffset>
                </wp:positionH>
                <wp:positionV relativeFrom="paragraph">
                  <wp:posOffset>3374390</wp:posOffset>
                </wp:positionV>
                <wp:extent cx="1171575" cy="323850"/>
                <wp:effectExtent l="12700" t="12700" r="15875" b="1035050"/>
                <wp:wrapNone/>
                <wp:docPr id="54" name="圆角矩形标注 54"/>
                <wp:cNvGraphicFramePr/>
                <a:graphic xmlns:a="http://schemas.openxmlformats.org/drawingml/2006/main">
                  <a:graphicData uri="http://schemas.microsoft.com/office/word/2010/wordprocessingShape">
                    <wps:wsp>
                      <wps:cNvSpPr/>
                      <wps:spPr>
                        <a:xfrm>
                          <a:off x="0" y="0"/>
                          <a:ext cx="1171575" cy="323850"/>
                        </a:xfrm>
                        <a:prstGeom prst="wedgeRoundRectCallout">
                          <a:avLst>
                            <a:gd name="adj1" fmla="val -27235"/>
                            <a:gd name="adj2" fmla="val 36470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4DF3D">
                            <w:pPr>
                              <w:jc w:val="center"/>
                              <w:rPr>
                                <w:rFonts w:hint="default" w:eastAsiaTheme="minorEastAsia"/>
                                <w:b/>
                                <w:bCs/>
                                <w:color w:val="FF0000"/>
                                <w:lang w:val="en-US" w:eastAsia="zh-CN"/>
                              </w:rPr>
                            </w:pPr>
                            <w:r>
                              <w:rPr>
                                <w:rFonts w:hint="eastAsia"/>
                                <w:b/>
                                <w:bCs/>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07.3pt;margin-top:265.7pt;height:25.5pt;width:92.25pt;z-index:251675648;v-text-anchor:middle;mso-width-relative:page;mso-height-relative:page;" fillcolor="#FFFFFF [3212]" filled="t" stroked="t" coordsize="21600,21600" o:gfxdata="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srPq/3AAAAAsBAAAPAAAA&#10;AAAAAAEAIAAAACIAAABkcnMvZG93bnJldi54bWxQSwECFAAUAAAACACHTuJApfgtk7wCAAB+BQAA&#10;DgAAAAAAAAABACAAAAArAQAAZHJzL2Uyb0RvYy54bWxQSwUGAAAAAAYABgBZAQAAWQYAAAAA&#10;" adj="4917,89576,14400">
                <v:fill on="t" focussize="0,0"/>
                <v:stroke weight="2pt" color="#000000 [3213]" joinstyle="round"/>
                <v:imagedata o:title=""/>
                <o:lock v:ext="edit" aspectratio="f"/>
                <v:textbox>
                  <w:txbxContent>
                    <w:p w14:paraId="2094DF3D">
                      <w:pPr>
                        <w:jc w:val="center"/>
                        <w:rPr>
                          <w:rFonts w:hint="default" w:eastAsiaTheme="minorEastAsia"/>
                          <w:b/>
                          <w:bCs/>
                          <w:color w:val="FF0000"/>
                          <w:lang w:val="en-US" w:eastAsia="zh-CN"/>
                        </w:rPr>
                      </w:pPr>
                      <w:r>
                        <w:rPr>
                          <w:rFonts w:hint="eastAsia"/>
                          <w:b/>
                          <w:bCs/>
                          <w:color w:val="FF0000"/>
                          <w:lang w:val="en-US" w:eastAsia="zh-CN"/>
                        </w:rPr>
                        <w:t>项目所在地</w:t>
                      </w:r>
                    </w:p>
                  </w:txbxContent>
                </v:textbox>
              </v:shape>
            </w:pict>
          </mc:Fallback>
        </mc:AlternateContent>
      </w: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3996690</wp:posOffset>
                </wp:positionH>
                <wp:positionV relativeFrom="paragraph">
                  <wp:posOffset>4725670</wp:posOffset>
                </wp:positionV>
                <wp:extent cx="289560" cy="263525"/>
                <wp:effectExtent l="12700" t="12700" r="21590" b="28575"/>
                <wp:wrapNone/>
                <wp:docPr id="57" name="十字星 57"/>
                <wp:cNvGraphicFramePr/>
                <a:graphic xmlns:a="http://schemas.openxmlformats.org/drawingml/2006/main">
                  <a:graphicData uri="http://schemas.microsoft.com/office/word/2010/wordprocessingShape">
                    <wps:wsp>
                      <wps:cNvSpPr/>
                      <wps:spPr>
                        <a:xfrm>
                          <a:off x="0" y="0"/>
                          <a:ext cx="289560" cy="263525"/>
                        </a:xfrm>
                        <a:prstGeom prst="star4">
                          <a:avLst/>
                        </a:prstGeom>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14.7pt;margin-top:372.1pt;height:20.75pt;width:22.8pt;z-index:251674624;v-text-anchor:middle;mso-width-relative:page;mso-height-relative:page;" fillcolor="#4F81BD [3204]" filled="t" stroked="t" coordsize="21600,21600" o:gfxdata="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6vZkdNkAAAALAQAADwAAAAAAAAABACAAAAAiAAAAZHJzL2Rvd25yZXYu&#10;eG1sUEsBAhQAFAAAAAgAh07iQKIZJ+tsAgAA4gQAAA4AAAAAAAAAAQAgAAAAKAEAAGRycy9lMm9E&#10;b2MueG1sUEsFBgAAAAAGAAYAWQEAAAYGAAAAAA==&#10;" adj="8100">
                <v:fill on="t" focussize="0,0"/>
                <v:stroke weight="2pt" color="#000000 [3213]" joinstyle="round"/>
                <v:imagedata o:title=""/>
                <o:lock v:ext="edit" aspectratio="f"/>
              </v:shape>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842010</wp:posOffset>
                </wp:positionH>
                <wp:positionV relativeFrom="paragraph">
                  <wp:posOffset>2148205</wp:posOffset>
                </wp:positionV>
                <wp:extent cx="1171575" cy="323850"/>
                <wp:effectExtent l="12700" t="12700" r="530225" b="635000"/>
                <wp:wrapNone/>
                <wp:docPr id="59" name="圆角矩形标注 59"/>
                <wp:cNvGraphicFramePr/>
                <a:graphic xmlns:a="http://schemas.openxmlformats.org/drawingml/2006/main">
                  <a:graphicData uri="http://schemas.microsoft.com/office/word/2010/wordprocessingShape">
                    <wps:wsp>
                      <wps:cNvSpPr/>
                      <wps:spPr>
                        <a:xfrm>
                          <a:off x="0" y="0"/>
                          <a:ext cx="1171575" cy="323850"/>
                        </a:xfrm>
                        <a:prstGeom prst="wedgeRoundRectCallout">
                          <a:avLst>
                            <a:gd name="adj1" fmla="val 93089"/>
                            <a:gd name="adj2" fmla="val 23823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72191">
                            <w:pPr>
                              <w:jc w:val="center"/>
                              <w:rPr>
                                <w:rFonts w:hint="default" w:eastAsiaTheme="minorEastAsia"/>
                                <w:b/>
                                <w:bCs/>
                                <w:color w:val="FF0000"/>
                                <w:lang w:val="en-US" w:eastAsia="zh-CN"/>
                              </w:rPr>
                            </w:pPr>
                            <w:r>
                              <w:rPr>
                                <w:rFonts w:hint="eastAsia"/>
                                <w:b/>
                                <w:bCs/>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66.3pt;margin-top:169.15pt;height:25.5pt;width:92.25pt;z-index:251669504;v-text-anchor:middle;mso-width-relative:page;mso-height-relative:page;" fillcolor="#FFFFFF [3212]" filled="t" stroked="t" coordsize="21600,21600" o:gfxdata="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OSPNc7bAAAACwEAAA8A&#10;AAAAAAAAAQAgAAAAIgAAAGRycy9kb3ducmV2LnhtbFBLAQIUABQAAAAIAIdO4kBu99tJvwIAAH0F&#10;AAAOAAAAAAAAAAEAIAAAACoBAABkcnMvZTJvRG9jLnhtbFBLBQYAAAAABgAGAFkBAABbBgAAAAA=&#10;" adj="30907,62259,14400">
                <v:fill on="t" focussize="0,0"/>
                <v:stroke weight="2pt" color="#000000 [3213]" joinstyle="round"/>
                <v:imagedata o:title=""/>
                <o:lock v:ext="edit" aspectratio="f"/>
                <v:textbox>
                  <w:txbxContent>
                    <w:p w14:paraId="29972191">
                      <w:pPr>
                        <w:jc w:val="center"/>
                        <w:rPr>
                          <w:rFonts w:hint="default" w:eastAsiaTheme="minorEastAsia"/>
                          <w:b/>
                          <w:bCs/>
                          <w:color w:val="FF0000"/>
                          <w:lang w:val="en-US" w:eastAsia="zh-CN"/>
                        </w:rPr>
                      </w:pPr>
                      <w:r>
                        <w:rPr>
                          <w:rFonts w:hint="eastAsia"/>
                          <w:b/>
                          <w:bCs/>
                          <w:color w:val="FF0000"/>
                          <w:lang w:val="en-US" w:eastAsia="zh-CN"/>
                        </w:rPr>
                        <w:t>项目所在地</w:t>
                      </w:r>
                    </w:p>
                  </w:txbxContent>
                </v:textbox>
              </v:shape>
            </w:pict>
          </mc:Fallback>
        </mc:AlternateContent>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2418715</wp:posOffset>
                </wp:positionH>
                <wp:positionV relativeFrom="paragraph">
                  <wp:posOffset>2969260</wp:posOffset>
                </wp:positionV>
                <wp:extent cx="342265" cy="304800"/>
                <wp:effectExtent l="12700" t="12700" r="26035" b="25400"/>
                <wp:wrapNone/>
                <wp:docPr id="60" name="矩形 60"/>
                <wp:cNvGraphicFramePr/>
                <a:graphic xmlns:a="http://schemas.openxmlformats.org/drawingml/2006/main">
                  <a:graphicData uri="http://schemas.microsoft.com/office/word/2010/wordprocessingShape">
                    <wps:wsp>
                      <wps:cNvSpPr/>
                      <wps:spPr>
                        <a:xfrm>
                          <a:off x="0" y="0"/>
                          <a:ext cx="342265" cy="3048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0.45pt;margin-top:233.8pt;height:24pt;width:26.95pt;z-index:251672576;v-text-anchor:middle;mso-width-relative:page;mso-height-relative:page;" filled="f" stroked="t" coordsize="21600,21600" o:gfxdata="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MC2iyTbAAAACwEAAA8AAAAAAAAAAQAgAAAAIgAAAGRycy9kb3ducmV2LnhtbFBLAQIUABQAAAAI&#10;AIdO4kAyBSepXAIAALUEAAAOAAAAAAAAAAEAIAAAACoBAABkcnMvZTJvRG9jLnhtbFBLBQYAAAAA&#10;BgAGAFkBAAD4BQAAAAA=&#10;">
                <v:fill on="f" focussize="0,0"/>
                <v:stroke weight="2pt" color="#000000 [3213]" joinstyle="round"/>
                <v:imagedata o:title=""/>
                <o:lock v:ext="edit" aspectratio="f"/>
              </v:rect>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2506345</wp:posOffset>
                </wp:positionH>
                <wp:positionV relativeFrom="paragraph">
                  <wp:posOffset>3023235</wp:posOffset>
                </wp:positionV>
                <wp:extent cx="183515" cy="140970"/>
                <wp:effectExtent l="12700" t="12700" r="13335" b="17780"/>
                <wp:wrapNone/>
                <wp:docPr id="62" name="十字星 62"/>
                <wp:cNvGraphicFramePr/>
                <a:graphic xmlns:a="http://schemas.openxmlformats.org/drawingml/2006/main">
                  <a:graphicData uri="http://schemas.microsoft.com/office/word/2010/wordprocessingShape">
                    <wps:wsp>
                      <wps:cNvSpPr/>
                      <wps:spPr>
                        <a:xfrm>
                          <a:off x="0" y="0"/>
                          <a:ext cx="183515" cy="140970"/>
                        </a:xfrm>
                        <a:prstGeom prst="star4">
                          <a:avLst/>
                        </a:prstGeom>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97.35pt;margin-top:238.05pt;height:11.1pt;width:14.45pt;z-index:251670528;v-text-anchor:middle;mso-width-relative:page;mso-height-relative:page;" fillcolor="#4F81BD [3204]" filled="t" stroked="t" coordsize="21600,21600" o:gfxdata="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GyjNv2AAAAAsBAAAPAAAAAAAAAAEAIAAAACIAAABkcnMvZG93bnJl&#10;di54bWxQSwECFAAUAAAACACHTuJA1cUhqG8CAADiBAAADgAAAAAAAAABACAAAAAnAQAAZHJzL2Uy&#10;b0RvYy54bWxQSwUGAAAAAAYABgBZAQAACAYAAAAA&#10;" adj="8100">
                <v:fill on="t" focussize="0,0"/>
                <v:stroke weight="2pt" color="#000000 [3213]" joinstyle="round"/>
                <v:imagedata o:title=""/>
                <o:lock v:ext="edit" aspectratio="f"/>
              </v:shape>
            </w:pict>
          </mc:Fallback>
        </mc:AlternateContent>
      </w:r>
      <w:r>
        <w:rPr>
          <w:color w:val="auto"/>
        </w:rPr>
        <w:drawing>
          <wp:anchor distT="0" distB="0" distL="114300" distR="114300" simplePos="0" relativeHeight="251671552" behindDoc="0" locked="0" layoutInCell="1" allowOverlap="1">
            <wp:simplePos x="0" y="0"/>
            <wp:positionH relativeFrom="column">
              <wp:posOffset>3147695</wp:posOffset>
            </wp:positionH>
            <wp:positionV relativeFrom="paragraph">
              <wp:posOffset>4048125</wp:posOffset>
            </wp:positionV>
            <wp:extent cx="2009140" cy="1688465"/>
            <wp:effectExtent l="9525" t="9525" r="19685" b="16510"/>
            <wp:wrapNone/>
            <wp:docPr id="64" name="图片 3" descr="C:/Users/admin/Desktop/23232323.png2323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descr="C:/Users/admin/Desktop/23232323.png23232323"/>
                    <pic:cNvPicPr>
                      <a:picLocks noChangeAspect="1"/>
                    </pic:cNvPicPr>
                  </pic:nvPicPr>
                  <pic:blipFill>
                    <a:blip r:embed="rId54"/>
                    <a:srcRect l="451" r="451"/>
                    <a:stretch>
                      <a:fillRect/>
                    </a:stretch>
                  </pic:blipFill>
                  <pic:spPr>
                    <a:xfrm>
                      <a:off x="0" y="0"/>
                      <a:ext cx="2009140" cy="1688465"/>
                    </a:xfrm>
                    <a:prstGeom prst="rect">
                      <a:avLst/>
                    </a:prstGeom>
                    <a:noFill/>
                    <a:ln>
                      <a:solidFill>
                        <a:schemeClr val="tx1"/>
                      </a:solidFill>
                    </a:ln>
                  </pic:spPr>
                </pic:pic>
              </a:graphicData>
            </a:graphic>
          </wp:anchor>
        </w:drawing>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2765425</wp:posOffset>
                </wp:positionH>
                <wp:positionV relativeFrom="paragraph">
                  <wp:posOffset>3277235</wp:posOffset>
                </wp:positionV>
                <wp:extent cx="381000" cy="714375"/>
                <wp:effectExtent l="16510" t="8890" r="21590" b="635"/>
                <wp:wrapNone/>
                <wp:docPr id="80" name="直接箭头连接符 80"/>
                <wp:cNvGraphicFramePr/>
                <a:graphic xmlns:a="http://schemas.openxmlformats.org/drawingml/2006/main">
                  <a:graphicData uri="http://schemas.microsoft.com/office/word/2010/wordprocessingShape">
                    <wps:wsp>
                      <wps:cNvCnPr/>
                      <wps:spPr>
                        <a:xfrm>
                          <a:off x="0" y="0"/>
                          <a:ext cx="381000" cy="714375"/>
                        </a:xfrm>
                        <a:prstGeom prst="straightConnector1">
                          <a:avLst/>
                        </a:prstGeom>
                        <a:ln w="381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17.75pt;margin-top:258.05pt;height:56.25pt;width:30pt;z-index:251673600;mso-width-relative:page;mso-height-relative:page;" filled="f" stroked="t" coordsize="21600,21600" o:gfxdata="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vkniStoAAAALAQAADwAAAAAAAAABACAAAAAiAAAAZHJzL2Rvd25yZXYu&#10;eG1sUEsBAhQAFAAAAAgAh07iQOzcZMX5AQAAzgMAAA4AAAAAAAAAAQAgAAAAKQEAAGRycy9lMm9E&#10;b2MueG1sUEsFBgAAAAAGAAYAWQEAAJQFAAAAAA==&#10;">
                <v:fill on="f" focussize="0,0"/>
                <v:stroke weight="3pt" color="#000000 [3213]" joinstyle="round" endarrow="open"/>
                <v:imagedata o:title=""/>
                <o:lock v:ext="edit" aspectratio="f"/>
              </v:shape>
            </w:pict>
          </mc:Fallback>
        </mc:AlternateContent>
      </w:r>
      <w:r>
        <w:rPr>
          <w:rFonts w:hint="eastAsia" w:eastAsiaTheme="minorEastAsia"/>
          <w:color w:val="auto"/>
          <w:lang w:eastAsia="zh-CN"/>
        </w:rPr>
        <w:drawing>
          <wp:inline distT="0" distB="0" distL="114300" distR="114300">
            <wp:extent cx="5297805" cy="7352665"/>
            <wp:effectExtent l="0" t="0" r="17145" b="635"/>
            <wp:docPr id="117" name="图片 117" descr="附件-淄博市“三线一单”生态环境分区管控方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附件-淄博市“三线一单”生态环境分区管控方案_00"/>
                    <pic:cNvPicPr>
                      <a:picLocks noChangeAspect="1"/>
                    </pic:cNvPicPr>
                  </pic:nvPicPr>
                  <pic:blipFill>
                    <a:blip r:embed="rId55"/>
                    <a:srcRect l="17615" t="21668" r="18550" b="15654"/>
                    <a:stretch>
                      <a:fillRect/>
                    </a:stretch>
                  </pic:blipFill>
                  <pic:spPr>
                    <a:xfrm>
                      <a:off x="0" y="0"/>
                      <a:ext cx="5297805" cy="7352665"/>
                    </a:xfrm>
                    <a:prstGeom prst="rect">
                      <a:avLst/>
                    </a:prstGeom>
                  </pic:spPr>
                </pic:pic>
              </a:graphicData>
            </a:graphic>
          </wp:inline>
        </w:drawing>
      </w:r>
    </w:p>
    <w:p w14:paraId="28B01991">
      <w:pPr>
        <w:jc w:val="center"/>
        <w:rPr>
          <w:rFonts w:hint="default" w:ascii="Times New Roman" w:hAnsi="Times New Roman" w:eastAsia="宋体" w:cs="Times New Roman"/>
          <w:b/>
          <w:bCs/>
          <w:color w:val="auto"/>
          <w:sz w:val="24"/>
          <w:szCs w:val="24"/>
          <w:highlight w:val="yellow"/>
          <w:lang w:val="en-US" w:eastAsia="zh-CN"/>
        </w:rPr>
      </w:pPr>
      <w:r>
        <w:rPr>
          <w:rFonts w:hint="default" w:ascii="Times New Roman" w:hAnsi="Times New Roman" w:eastAsia="宋体" w:cs="Times New Roman"/>
          <w:b/>
          <w:bCs/>
          <w:color w:val="auto"/>
          <w:sz w:val="24"/>
          <w:szCs w:val="24"/>
          <w:lang w:val="en-US" w:eastAsia="zh-CN"/>
        </w:rPr>
        <w:t>附图4 淄博市环境管控单元图</w:t>
      </w:r>
    </w:p>
    <w:p w14:paraId="5BBDE350">
      <w:pPr>
        <w:jc w:val="center"/>
        <w:rPr>
          <w:rFonts w:hint="default" w:ascii="Times New Roman" w:hAnsi="Times New Roman" w:eastAsia="宋体" w:cs="Times New Roman"/>
          <w:b/>
          <w:bCs/>
          <w:color w:val="auto"/>
          <w:sz w:val="24"/>
          <w:szCs w:val="24"/>
          <w:lang w:val="en-US" w:eastAsia="zh-CN"/>
        </w:rPr>
      </w:pPr>
    </w:p>
    <w:p w14:paraId="607E28A9">
      <w:pPr>
        <w:jc w:val="center"/>
        <w:rPr>
          <w:rFonts w:hint="default" w:ascii="Times New Roman" w:hAnsi="Times New Roman" w:eastAsia="宋体" w:cs="Times New Roman"/>
          <w:b/>
          <w:bCs/>
          <w:color w:val="auto"/>
          <w:sz w:val="24"/>
          <w:szCs w:val="24"/>
          <w:lang w:val="en-US" w:eastAsia="zh-CN"/>
        </w:rPr>
      </w:pPr>
    </w:p>
    <w:p w14:paraId="05E8E679">
      <w:pPr>
        <w:jc w:val="center"/>
        <w:rPr>
          <w:rFonts w:hint="default" w:ascii="Times New Roman" w:hAnsi="Times New Roman" w:eastAsia="宋体" w:cs="Times New Roman"/>
          <w:b/>
          <w:bCs/>
          <w:color w:val="auto"/>
          <w:sz w:val="24"/>
          <w:szCs w:val="24"/>
          <w:lang w:val="en-US" w:eastAsia="zh-CN"/>
        </w:rPr>
      </w:pPr>
    </w:p>
    <w:p w14:paraId="424CB5B4">
      <w:pPr>
        <w:jc w:val="center"/>
        <w:rPr>
          <w:rFonts w:hint="default" w:ascii="Times New Roman" w:hAnsi="Times New Roman" w:eastAsia="宋体" w:cs="Times New Roman"/>
          <w:b/>
          <w:bCs/>
          <w:color w:val="auto"/>
          <w:sz w:val="24"/>
          <w:szCs w:val="24"/>
          <w:lang w:val="en-US" w:eastAsia="zh-CN"/>
        </w:rPr>
      </w:pPr>
    </w:p>
    <w:p w14:paraId="3B704AF4">
      <w:pPr>
        <w:jc w:val="center"/>
        <w:rPr>
          <w:rFonts w:hint="default" w:ascii="Times New Roman" w:hAnsi="Times New Roman" w:eastAsia="宋体" w:cs="Times New Roman"/>
          <w:b/>
          <w:bCs/>
          <w:color w:val="auto"/>
          <w:sz w:val="24"/>
          <w:szCs w:val="24"/>
          <w:lang w:val="en-US" w:eastAsia="zh-CN"/>
        </w:rPr>
      </w:pPr>
    </w:p>
    <w:p w14:paraId="11D6DE4F">
      <w:pPr>
        <w:rPr>
          <w:rFonts w:hint="default" w:ascii="Times New Roman" w:hAnsi="Times New Roman" w:eastAsia="宋体" w:cs="Times New Roman"/>
          <w:b/>
          <w:bCs/>
          <w:color w:val="auto"/>
          <w:sz w:val="24"/>
          <w:szCs w:val="24"/>
          <w:lang w:val="en-US" w:eastAsia="zh-CN"/>
        </w:rPr>
      </w:pPr>
      <w:r>
        <w:rPr>
          <w:color w:val="auto"/>
        </w:rPr>
        <mc:AlternateContent>
          <mc:Choice Requires="wps">
            <w:drawing>
              <wp:anchor distT="0" distB="0" distL="114300" distR="114300" simplePos="0" relativeHeight="251712512" behindDoc="0" locked="0" layoutInCell="1" allowOverlap="1">
                <wp:simplePos x="0" y="0"/>
                <wp:positionH relativeFrom="column">
                  <wp:posOffset>3935730</wp:posOffset>
                </wp:positionH>
                <wp:positionV relativeFrom="paragraph">
                  <wp:posOffset>2936875</wp:posOffset>
                </wp:positionV>
                <wp:extent cx="724535" cy="266065"/>
                <wp:effectExtent l="12700" t="12700" r="24765" b="483235"/>
                <wp:wrapNone/>
                <wp:docPr id="87" name="矩形标注 87"/>
                <wp:cNvGraphicFramePr/>
                <a:graphic xmlns:a="http://schemas.openxmlformats.org/drawingml/2006/main">
                  <a:graphicData uri="http://schemas.microsoft.com/office/word/2010/wordprocessingShape">
                    <wps:wsp>
                      <wps:cNvSpPr/>
                      <wps:spPr>
                        <a:xfrm>
                          <a:off x="0" y="0"/>
                          <a:ext cx="724535" cy="266065"/>
                        </a:xfrm>
                        <a:prstGeom prst="wedgeRectCallout">
                          <a:avLst>
                            <a:gd name="adj1" fmla="val -30981"/>
                            <a:gd name="adj2" fmla="val 22589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EFB236">
                            <w:pPr>
                              <w:jc w:val="center"/>
                              <w:rPr>
                                <w:rFonts w:hint="eastAsia" w:eastAsiaTheme="minorEastAsia"/>
                                <w:color w:val="FF0000"/>
                                <w:lang w:val="en-US" w:eastAsia="zh-CN"/>
                              </w:rPr>
                            </w:pPr>
                            <w:r>
                              <w:rPr>
                                <w:rFonts w:hint="eastAsia"/>
                                <w:color w:val="FF0000"/>
                                <w:lang w:val="en-US"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9.9pt;margin-top:231.25pt;height:20.95pt;width:57.05pt;z-index:251712512;v-text-anchor:middle;mso-width-relative:page;mso-height-relative:page;" filled="f" stroked="t" coordsize="21600,21600" o:gfxdata="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BGrwaj2wAAAAsBAAAPAAAAAAAAAAEAIAAAACIAAABkcnMvZG93bnJldi54bWxQ&#10;SwECFAAUAAAACACHTuJAGH5Cyp8CAAAlBQAADgAAAAAAAAABACAAAAAqAQAAZHJzL2Uyb0RvYy54&#10;bWxQSwUGAAAAAAYABgBZAQAAOwYAAAAA&#10;" adj="4108,59593">
                <v:fill on="f" focussize="0,0"/>
                <v:stroke weight="2pt" color="#FF0000 [3204]" joinstyle="round"/>
                <v:imagedata o:title=""/>
                <o:lock v:ext="edit" aspectratio="f"/>
                <v:textbox>
                  <w:txbxContent>
                    <w:p w14:paraId="3BEFB236">
                      <w:pPr>
                        <w:jc w:val="center"/>
                        <w:rPr>
                          <w:rFonts w:hint="eastAsia" w:eastAsiaTheme="minorEastAsia"/>
                          <w:color w:val="FF0000"/>
                          <w:lang w:val="en-US" w:eastAsia="zh-CN"/>
                        </w:rPr>
                      </w:pPr>
                      <w:r>
                        <w:rPr>
                          <w:rFonts w:hint="eastAsia"/>
                          <w:color w:val="FF0000"/>
                          <w:lang w:val="en-US" w:eastAsia="zh-CN"/>
                        </w:rPr>
                        <w:t>项目地</w:t>
                      </w:r>
                    </w:p>
                  </w:txbxContent>
                </v:textbox>
              </v:shape>
            </w:pict>
          </mc:Fallback>
        </mc:AlternateContent>
      </w:r>
      <w:r>
        <w:rPr>
          <w:color w:val="auto"/>
          <w:sz w:val="21"/>
        </w:rPr>
        <mc:AlternateContent>
          <mc:Choice Requires="wps">
            <w:drawing>
              <wp:anchor distT="0" distB="0" distL="114300" distR="114300" simplePos="0" relativeHeight="251711488" behindDoc="0" locked="0" layoutInCell="1" allowOverlap="1">
                <wp:simplePos x="0" y="0"/>
                <wp:positionH relativeFrom="column">
                  <wp:posOffset>4011295</wp:posOffset>
                </wp:positionH>
                <wp:positionV relativeFrom="paragraph">
                  <wp:posOffset>3702050</wp:posOffset>
                </wp:positionV>
                <wp:extent cx="76200" cy="76200"/>
                <wp:effectExtent l="12700" t="12700" r="25400" b="25400"/>
                <wp:wrapNone/>
                <wp:docPr id="88" name="椭圆 88"/>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5.85pt;margin-top:291.5pt;height:6pt;width:6pt;z-index:251711488;v-text-anchor:middle;mso-width-relative:page;mso-height-relative:page;" fillcolor="#FF0000" filled="t" stroked="t" coordsize="21600,21600" o:gfxdata="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M9D0&#10;otYAAAALAQAADwAAAAAAAAABACAAAAAiAAAAZHJzL2Rvd25yZXYueG1sUEsBAhQAFAAAAAgAh07i&#10;QGo+N+ddAgAA3wQAAA4AAAAAAAAAAQAgAAAAJQEAAGRycy9lMm9Eb2MueG1sUEsFBgAAAAAGAAYA&#10;WQEAAPQFAAAAAA==&#10;">
                <v:fill on="t" focussize="0,0"/>
                <v:stroke weight="2pt" color="#FF0000 [2404]" joinstyle="round"/>
                <v:imagedata o:title=""/>
                <o:lock v:ext="edit" aspectratio="f"/>
              </v:shape>
            </w:pict>
          </mc:Fallback>
        </mc:AlternateContent>
      </w:r>
      <w:r>
        <w:rPr>
          <w:color w:val="auto"/>
        </w:rPr>
        <w:drawing>
          <wp:anchor distT="0" distB="0" distL="114300" distR="114300" simplePos="0" relativeHeight="251710464" behindDoc="0" locked="0" layoutInCell="1" allowOverlap="1">
            <wp:simplePos x="0" y="0"/>
            <wp:positionH relativeFrom="column">
              <wp:posOffset>3180080</wp:posOffset>
            </wp:positionH>
            <wp:positionV relativeFrom="paragraph">
              <wp:posOffset>2872105</wp:posOffset>
            </wp:positionV>
            <wp:extent cx="1543050" cy="1305560"/>
            <wp:effectExtent l="9525" t="9525" r="9525" b="18415"/>
            <wp:wrapNone/>
            <wp:docPr id="89" name="图片 89" descr="C:/Users/admin/Desktop/111222.png11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Users/admin/Desktop/111222.png111222"/>
                    <pic:cNvPicPr>
                      <a:picLocks noChangeAspect="1"/>
                    </pic:cNvPicPr>
                  </pic:nvPicPr>
                  <pic:blipFill>
                    <a:blip r:embed="rId56"/>
                    <a:srcRect t="4156" b="4156"/>
                    <a:stretch>
                      <a:fillRect/>
                    </a:stretch>
                  </pic:blipFill>
                  <pic:spPr>
                    <a:xfrm>
                      <a:off x="0" y="0"/>
                      <a:ext cx="1543050" cy="1305560"/>
                    </a:xfrm>
                    <a:prstGeom prst="rect">
                      <a:avLst/>
                    </a:prstGeom>
                    <a:noFill/>
                    <a:ln>
                      <a:solidFill>
                        <a:schemeClr val="tx1"/>
                      </a:solidFill>
                    </a:ln>
                  </pic:spPr>
                </pic:pic>
              </a:graphicData>
            </a:graphic>
          </wp:anchor>
        </w:drawing>
      </w:r>
      <w:r>
        <w:rPr>
          <w:color w:val="auto"/>
        </w:rPr>
        <mc:AlternateContent>
          <mc:Choice Requires="wps">
            <w:drawing>
              <wp:anchor distT="0" distB="0" distL="114300" distR="114300" simplePos="0" relativeHeight="251709440" behindDoc="0" locked="0" layoutInCell="1" allowOverlap="1">
                <wp:simplePos x="0" y="0"/>
                <wp:positionH relativeFrom="column">
                  <wp:posOffset>1261745</wp:posOffset>
                </wp:positionH>
                <wp:positionV relativeFrom="paragraph">
                  <wp:posOffset>2187575</wp:posOffset>
                </wp:positionV>
                <wp:extent cx="724535" cy="266065"/>
                <wp:effectExtent l="12700" t="12700" r="291465" b="616585"/>
                <wp:wrapNone/>
                <wp:docPr id="90" name="矩形标注 90"/>
                <wp:cNvGraphicFramePr/>
                <a:graphic xmlns:a="http://schemas.openxmlformats.org/drawingml/2006/main">
                  <a:graphicData uri="http://schemas.microsoft.com/office/word/2010/wordprocessingShape">
                    <wps:wsp>
                      <wps:cNvSpPr/>
                      <wps:spPr>
                        <a:xfrm>
                          <a:off x="0" y="0"/>
                          <a:ext cx="724535" cy="266065"/>
                        </a:xfrm>
                        <a:prstGeom prst="wedgeRectCallout">
                          <a:avLst>
                            <a:gd name="adj1" fmla="val 86371"/>
                            <a:gd name="adj2" fmla="val 27434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BB3536">
                            <w:pPr>
                              <w:jc w:val="center"/>
                              <w:rPr>
                                <w:rFonts w:hint="eastAsia" w:eastAsiaTheme="minorEastAsia"/>
                                <w:color w:val="FF0000"/>
                                <w:lang w:val="en-US" w:eastAsia="zh-CN"/>
                              </w:rPr>
                            </w:pPr>
                            <w:r>
                              <w:rPr>
                                <w:rFonts w:hint="eastAsia"/>
                                <w:color w:val="FF0000"/>
                                <w:lang w:val="en-US"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9.35pt;margin-top:172.25pt;height:20.95pt;width:57.05pt;z-index:251709440;v-text-anchor:middle;mso-width-relative:page;mso-height-relative:page;" filled="f" stroked="t" coordsize="21600,21600" o:gfxdata="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vje2ytgAAAALAQAADwAAAAAAAAABACAAAAAiAAAAZHJzL2Rvd25yZXYueG1sUEsBAhQA&#10;FAAAAAgAh07iQHxZF4qdAgAAJAUAAA4AAAAAAAAAAQAgAAAAJwEAAGRycy9lMm9Eb2MueG1sUEsF&#10;BgAAAAAGAAYAWQEAADYGAAAAAA==&#10;" adj="29456,70058">
                <v:fill on="f" focussize="0,0"/>
                <v:stroke weight="2pt" color="#FF0000 [3204]" joinstyle="round"/>
                <v:imagedata o:title=""/>
                <o:lock v:ext="edit" aspectratio="f"/>
                <v:textbox>
                  <w:txbxContent>
                    <w:p w14:paraId="08BB3536">
                      <w:pPr>
                        <w:jc w:val="center"/>
                        <w:rPr>
                          <w:rFonts w:hint="eastAsia" w:eastAsiaTheme="minorEastAsia"/>
                          <w:color w:val="FF0000"/>
                          <w:lang w:val="en-US" w:eastAsia="zh-CN"/>
                        </w:rPr>
                      </w:pPr>
                      <w:r>
                        <w:rPr>
                          <w:rFonts w:hint="eastAsia"/>
                          <w:color w:val="FF0000"/>
                          <w:lang w:val="en-US" w:eastAsia="zh-CN"/>
                        </w:rPr>
                        <w:t>项目地</w:t>
                      </w:r>
                    </w:p>
                  </w:txbxContent>
                </v:textbox>
              </v:shape>
            </w:pict>
          </mc:Fallback>
        </mc:AlternateContent>
      </w:r>
      <w:r>
        <w:rPr>
          <w:color w:val="auto"/>
          <w:sz w:val="21"/>
        </w:rPr>
        <mc:AlternateContent>
          <mc:Choice Requires="wps">
            <w:drawing>
              <wp:anchor distT="0" distB="0" distL="114300" distR="114300" simplePos="0" relativeHeight="251708416" behindDoc="0" locked="0" layoutInCell="1" allowOverlap="1">
                <wp:simplePos x="0" y="0"/>
                <wp:positionH relativeFrom="column">
                  <wp:posOffset>2277745</wp:posOffset>
                </wp:positionH>
                <wp:positionV relativeFrom="paragraph">
                  <wp:posOffset>3036570</wp:posOffset>
                </wp:positionV>
                <wp:extent cx="76200" cy="76200"/>
                <wp:effectExtent l="12700" t="12700" r="25400" b="25400"/>
                <wp:wrapNone/>
                <wp:docPr id="91" name="椭圆 91"/>
                <wp:cNvGraphicFramePr/>
                <a:graphic xmlns:a="http://schemas.openxmlformats.org/drawingml/2006/main">
                  <a:graphicData uri="http://schemas.microsoft.com/office/word/2010/wordprocessingShape">
                    <wps:wsp>
                      <wps:cNvSpPr/>
                      <wps:spPr>
                        <a:xfrm rot="20760000">
                          <a:off x="2831465" y="4003675"/>
                          <a:ext cx="76200" cy="762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9.35pt;margin-top:239.1pt;height:6pt;width:6pt;rotation:-917504f;z-index:251708416;v-text-anchor:middle;mso-width-relative:page;mso-height-relative:page;" fillcolor="#FF0000" filled="t" stroked="t" coordsize="21600,21600" o:gfxdata="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ENZjCdsAAAALAQAADwAAAAAAAAABACAAAAAiAAAAZHJz&#10;L2Rvd25yZXYueG1sUEsBAhQAFAAAAAgAh07iQHLaJiJzAgAA+gQAAA4AAAAAAAAAAQAgAAAAKgEA&#10;AGRycy9lMm9Eb2MueG1sUEsFBgAAAAAGAAYAWQEAAA8GAAAAAA==&#10;">
                <v:fill on="t" focussize="0,0"/>
                <v:stroke weight="2pt" color="#FF0000 [2404]" joinstyle="round"/>
                <v:imagedata o:title=""/>
                <o:lock v:ext="edit" aspectratio="f"/>
              </v:shape>
            </w:pict>
          </mc:Fallback>
        </mc:AlternateContent>
      </w:r>
      <w:r>
        <w:rPr>
          <w:color w:val="auto"/>
          <w:sz w:val="21"/>
        </w:rPr>
        <mc:AlternateContent>
          <mc:Choice Requires="wps">
            <w:drawing>
              <wp:anchor distT="0" distB="0" distL="114300" distR="114300" simplePos="0" relativeHeight="251713536" behindDoc="0" locked="0" layoutInCell="1" allowOverlap="1">
                <wp:simplePos x="0" y="0"/>
                <wp:positionH relativeFrom="column">
                  <wp:posOffset>2352675</wp:posOffset>
                </wp:positionH>
                <wp:positionV relativeFrom="paragraph">
                  <wp:posOffset>2840990</wp:posOffset>
                </wp:positionV>
                <wp:extent cx="826770" cy="224155"/>
                <wp:effectExtent l="3175" t="29210" r="8255" b="13335"/>
                <wp:wrapNone/>
                <wp:docPr id="92" name="直接箭头连接符 92"/>
                <wp:cNvGraphicFramePr/>
                <a:graphic xmlns:a="http://schemas.openxmlformats.org/drawingml/2006/main">
                  <a:graphicData uri="http://schemas.microsoft.com/office/word/2010/wordprocessingShape">
                    <wps:wsp>
                      <wps:cNvCnPr>
                        <a:stCxn id="91" idx="6"/>
                      </wps:cNvCnPr>
                      <wps:spPr>
                        <a:xfrm flipV="1">
                          <a:off x="3569970" y="4679950"/>
                          <a:ext cx="826770" cy="22415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85.25pt;margin-top:223.7pt;height:17.65pt;width:65.1pt;z-index:251713536;mso-width-relative:page;mso-height-relative:page;" filled="f" stroked="t" coordsize="21600,21600" o:gfxdata="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pQOW&#10;OtkAAAALAQAADwAAAAAAAAABACAAAAAiAAAAZHJzL2Rvd25yZXYueG1sUEsBAhQAFAAAAAgAh07i&#10;QJvKAs8hAgAACwQAAA4AAAAAAAAAAQAgAAAAKAEAAGRycy9lMm9Eb2MueG1sUEsFBgAAAAAGAAYA&#10;WQEAALsFAAAAAA==&#10;">
                <v:fill on="f" focussize="0,0"/>
                <v:stroke weight="2pt" color="#000000 [3213]" joinstyle="round" endarrow="open"/>
                <v:imagedata o:title=""/>
                <o:lock v:ext="edit" aspectratio="f"/>
              </v:shape>
            </w:pict>
          </mc:Fallback>
        </mc:AlternateContent>
      </w:r>
      <w:r>
        <w:rPr>
          <w:rFonts w:hint="default" w:ascii="Times New Roman" w:hAnsi="Times New Roman" w:eastAsia="宋体" w:cs="Times New Roman"/>
          <w:b/>
          <w:bCs/>
          <w:color w:val="auto"/>
          <w:sz w:val="24"/>
          <w:szCs w:val="24"/>
          <w:lang w:val="en-US" w:eastAsia="zh-CN"/>
        </w:rPr>
        <w:drawing>
          <wp:inline distT="0" distB="0" distL="114300" distR="114300">
            <wp:extent cx="5266055" cy="7458710"/>
            <wp:effectExtent l="0" t="0" r="10795" b="8890"/>
            <wp:docPr id="93" name="图片 93" descr="国土空间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国土空间规划"/>
                    <pic:cNvPicPr>
                      <a:picLocks noChangeAspect="1"/>
                    </pic:cNvPicPr>
                  </pic:nvPicPr>
                  <pic:blipFill>
                    <a:blip r:embed="rId57"/>
                    <a:stretch>
                      <a:fillRect/>
                    </a:stretch>
                  </pic:blipFill>
                  <pic:spPr>
                    <a:xfrm>
                      <a:off x="0" y="0"/>
                      <a:ext cx="5266055" cy="7458710"/>
                    </a:xfrm>
                    <a:prstGeom prst="rect">
                      <a:avLst/>
                    </a:prstGeom>
                  </pic:spPr>
                </pic:pic>
              </a:graphicData>
            </a:graphic>
          </wp:inline>
        </w:drawing>
      </w:r>
      <w:r>
        <w:rPr>
          <w:color w:val="auto"/>
          <w:sz w:val="21"/>
        </w:rPr>
        <mc:AlternateContent>
          <mc:Choice Requires="wps">
            <w:drawing>
              <wp:anchor distT="0" distB="0" distL="114300" distR="114300" simplePos="0" relativeHeight="251714560" behindDoc="0" locked="0" layoutInCell="1" allowOverlap="1">
                <wp:simplePos x="0" y="0"/>
                <wp:positionH relativeFrom="column">
                  <wp:posOffset>2352675</wp:posOffset>
                </wp:positionH>
                <wp:positionV relativeFrom="paragraph">
                  <wp:posOffset>3065145</wp:posOffset>
                </wp:positionV>
                <wp:extent cx="812800" cy="1061720"/>
                <wp:effectExtent l="10160" t="7620" r="15240" b="16510"/>
                <wp:wrapNone/>
                <wp:docPr id="94" name="直接箭头连接符 94"/>
                <wp:cNvGraphicFramePr/>
                <a:graphic xmlns:a="http://schemas.openxmlformats.org/drawingml/2006/main">
                  <a:graphicData uri="http://schemas.microsoft.com/office/word/2010/wordprocessingShape">
                    <wps:wsp>
                      <wps:cNvCnPr>
                        <a:stCxn id="91" idx="6"/>
                      </wps:cNvCnPr>
                      <wps:spPr>
                        <a:xfrm>
                          <a:off x="0" y="0"/>
                          <a:ext cx="812800" cy="106172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85.25pt;margin-top:241.35pt;height:83.6pt;width:64pt;z-index:251714560;mso-width-relative:page;mso-height-relative:page;" filled="f" stroked="t" coordsize="21600,21600" o:gfxdata="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efb3ltwAAAALAQAADwAAAAAA&#10;AAABACAAAAAiAAAAZHJzL2Rvd25yZXYueG1sUEsBAhQAFAAAAAgAh07iQGHPzYQPAgAA9gMAAA4A&#10;AAAAAAAAAQAgAAAAKwEAAGRycy9lMm9Eb2MueG1sUEsFBgAAAAAGAAYAWQEAAKwFAAAAAA==&#10;">
                <v:fill on="f" focussize="0,0"/>
                <v:stroke weight="2pt" color="#000000 [3213]" joinstyle="round" endarrow="open"/>
                <v:imagedata o:title=""/>
                <o:lock v:ext="edit" aspectratio="f"/>
              </v:shape>
            </w:pict>
          </mc:Fallback>
        </mc:AlternateContent>
      </w:r>
    </w:p>
    <w:p w14:paraId="18CC3BB8">
      <w:pPr>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附图</w:t>
      </w:r>
      <w:r>
        <w:rPr>
          <w:rFonts w:hint="eastAsia" w:ascii="Times New Roman" w:hAnsi="Times New Roman" w:cs="Times New Roman"/>
          <w:b/>
          <w:bCs/>
          <w:color w:val="auto"/>
          <w:lang w:val="en-US" w:eastAsia="zh-CN"/>
        </w:rPr>
        <w:t>5</w:t>
      </w:r>
      <w:r>
        <w:rPr>
          <w:rFonts w:hint="default" w:ascii="Times New Roman" w:hAnsi="Times New Roman" w:cs="Times New Roman"/>
          <w:b/>
          <w:bCs/>
          <w:color w:val="auto"/>
          <w:lang w:val="en-US" w:eastAsia="zh-CN"/>
        </w:rPr>
        <w:t>淄博市国土空间总体规划(2021-2035年)</w:t>
      </w:r>
    </w:p>
    <w:p w14:paraId="534DDD98">
      <w:pPr>
        <w:pStyle w:val="2"/>
        <w:rPr>
          <w:rFonts w:hint="default" w:ascii="Times New Roman" w:hAnsi="Times New Roman" w:cs="Times New Roman"/>
          <w:b/>
          <w:bCs/>
          <w:color w:val="auto"/>
          <w:lang w:val="en-US" w:eastAsia="zh-CN"/>
        </w:rPr>
      </w:pPr>
    </w:p>
    <w:p w14:paraId="00443518">
      <w:pPr>
        <w:jc w:val="center"/>
        <w:rPr>
          <w:rFonts w:hint="default" w:ascii="Times New Roman" w:hAnsi="Times New Roman" w:cs="Times New Roman"/>
          <w:b/>
          <w:bCs/>
          <w:color w:val="auto"/>
          <w:lang w:val="en-US" w:eastAsia="zh-CN"/>
        </w:rPr>
      </w:pPr>
    </w:p>
    <w:p w14:paraId="42EB48C0">
      <w:pPr>
        <w:jc w:val="center"/>
        <w:rPr>
          <w:rFonts w:hint="default" w:ascii="Times New Roman" w:hAnsi="Times New Roman" w:cs="Times New Roman"/>
          <w:b/>
          <w:bCs/>
          <w:color w:val="auto"/>
          <w:lang w:val="en-US" w:eastAsia="zh-CN"/>
        </w:rPr>
      </w:pPr>
    </w:p>
    <w:p w14:paraId="47613DBB">
      <w:pPr>
        <w:jc w:val="center"/>
        <w:rPr>
          <w:rFonts w:hint="default" w:ascii="Times New Roman" w:hAnsi="Times New Roman" w:cs="Times New Roman"/>
          <w:b/>
          <w:bCs/>
          <w:color w:val="auto"/>
          <w:lang w:val="en-US" w:eastAsia="zh-CN"/>
        </w:rPr>
      </w:pPr>
    </w:p>
    <w:p w14:paraId="7EC3F8B0">
      <w:pPr>
        <w:jc w:val="center"/>
        <w:rPr>
          <w:rFonts w:hint="default" w:ascii="Times New Roman" w:hAnsi="Times New Roman" w:cs="Times New Roman"/>
          <w:b/>
          <w:bCs/>
          <w:color w:val="auto"/>
          <w:lang w:val="en-US" w:eastAsia="zh-CN"/>
        </w:rPr>
        <w:sectPr>
          <w:pgSz w:w="11906" w:h="16838"/>
          <w:pgMar w:top="1440" w:right="1803" w:bottom="1440" w:left="1803" w:header="851" w:footer="992" w:gutter="0"/>
          <w:cols w:space="0" w:num="1"/>
          <w:rtlGutter w:val="0"/>
          <w:docGrid w:type="lines" w:linePitch="319" w:charSpace="0"/>
        </w:sectPr>
      </w:pPr>
    </w:p>
    <w:p w14:paraId="7FB7DCF7">
      <w:pPr>
        <w:jc w:val="center"/>
        <w:rPr>
          <w:rFonts w:hint="default" w:ascii="Times New Roman" w:hAnsi="Times New Roman" w:cs="Times New Roman"/>
          <w:color w:val="auto"/>
          <w:sz w:val="21"/>
          <w:highlight w:val="none"/>
        </w:rPr>
      </w:pPr>
      <w:r>
        <w:rPr>
          <w:color w:val="auto"/>
          <w:sz w:val="21"/>
        </w:rPr>
        <mc:AlternateContent>
          <mc:Choice Requires="wps">
            <w:drawing>
              <wp:anchor distT="0" distB="0" distL="114300" distR="114300" simplePos="0" relativeHeight="251724800" behindDoc="0" locked="0" layoutInCell="1" allowOverlap="1">
                <wp:simplePos x="0" y="0"/>
                <wp:positionH relativeFrom="column">
                  <wp:posOffset>4726940</wp:posOffset>
                </wp:positionH>
                <wp:positionV relativeFrom="paragraph">
                  <wp:posOffset>1546860</wp:posOffset>
                </wp:positionV>
                <wp:extent cx="1492250" cy="603250"/>
                <wp:effectExtent l="482600" t="12700" r="25400" b="927100"/>
                <wp:wrapNone/>
                <wp:docPr id="106" name="矩形标注 106"/>
                <wp:cNvGraphicFramePr/>
                <a:graphic xmlns:a="http://schemas.openxmlformats.org/drawingml/2006/main">
                  <a:graphicData uri="http://schemas.microsoft.com/office/word/2010/wordprocessingShape">
                    <wps:wsp>
                      <wps:cNvSpPr/>
                      <wps:spPr>
                        <a:xfrm>
                          <a:off x="0" y="0"/>
                          <a:ext cx="1492250" cy="603250"/>
                        </a:xfrm>
                        <a:prstGeom prst="wedgeRectCallout">
                          <a:avLst>
                            <a:gd name="adj1" fmla="val -81489"/>
                            <a:gd name="adj2" fmla="val 199368"/>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949BA1F">
                            <w:pPr>
                              <w:jc w:val="center"/>
                              <w:rPr>
                                <w:rFonts w:hint="default" w:eastAsiaTheme="minorEastAsia"/>
                                <w:b/>
                                <w:bCs/>
                                <w:color w:val="FF0000"/>
                                <w:sz w:val="32"/>
                                <w:szCs w:val="40"/>
                                <w:lang w:val="en-US" w:eastAsia="zh-CN"/>
                              </w:rPr>
                            </w:pPr>
                            <w:r>
                              <w:rPr>
                                <w:rFonts w:hint="eastAsia"/>
                                <w:b/>
                                <w:bCs/>
                                <w:color w:val="FF0000"/>
                                <w:sz w:val="32"/>
                                <w:szCs w:val="4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2.2pt;margin-top:121.8pt;height:47.5pt;width:117.5pt;z-index:251724800;v-text-anchor:middle;mso-width-relative:page;mso-height-relative:page;" filled="f" stroked="t" coordsize="21600,21600" o:gfxdata="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An7uAo2QAAAAsBAAAPAAAAAAAAAAEAIAAAACIAAABkcnMvZG93bnJldi54bWxQSwEC&#10;FAAUAAAACACHTuJAoTC+y54CAAAoBQAADgAAAAAAAAABACAAAAAoAQAAZHJzL2Uyb0RvYy54bWxQ&#10;SwUGAAAAAAYABgBZAQAAOAYAAAAA&#10;" adj="-6802,53863">
                <v:fill on="f" focussize="0,0"/>
                <v:stroke weight="2pt" color="#FF0000 [2404]" joinstyle="round"/>
                <v:imagedata o:title=""/>
                <o:lock v:ext="edit" aspectratio="f"/>
                <v:textbox>
                  <w:txbxContent>
                    <w:p w14:paraId="0949BA1F">
                      <w:pPr>
                        <w:jc w:val="center"/>
                        <w:rPr>
                          <w:rFonts w:hint="default" w:eastAsiaTheme="minorEastAsia"/>
                          <w:b/>
                          <w:bCs/>
                          <w:color w:val="FF0000"/>
                          <w:sz w:val="32"/>
                          <w:szCs w:val="40"/>
                          <w:lang w:val="en-US" w:eastAsia="zh-CN"/>
                        </w:rPr>
                      </w:pPr>
                      <w:r>
                        <w:rPr>
                          <w:rFonts w:hint="eastAsia"/>
                          <w:b/>
                          <w:bCs/>
                          <w:color w:val="FF0000"/>
                          <w:sz w:val="32"/>
                          <w:szCs w:val="40"/>
                          <w:lang w:val="en-US" w:eastAsia="zh-CN"/>
                        </w:rPr>
                        <w:t>项目所在地</w:t>
                      </w:r>
                    </w:p>
                  </w:txbxContent>
                </v:textbox>
              </v:shape>
            </w:pict>
          </mc:Fallback>
        </mc:AlternateContent>
      </w:r>
      <w:r>
        <w:rPr>
          <w:color w:val="auto"/>
          <w:sz w:val="21"/>
        </w:rPr>
        <mc:AlternateContent>
          <mc:Choice Requires="wps">
            <w:drawing>
              <wp:anchor distT="0" distB="0" distL="114300" distR="114300" simplePos="0" relativeHeight="251723776" behindDoc="0" locked="0" layoutInCell="1" allowOverlap="1">
                <wp:simplePos x="0" y="0"/>
                <wp:positionH relativeFrom="column">
                  <wp:posOffset>4192905</wp:posOffset>
                </wp:positionH>
                <wp:positionV relativeFrom="paragraph">
                  <wp:posOffset>3136265</wp:posOffset>
                </wp:positionV>
                <wp:extent cx="94615" cy="187960"/>
                <wp:effectExtent l="32385" t="20955" r="44450" b="38735"/>
                <wp:wrapNone/>
                <wp:docPr id="107" name="矩形 107"/>
                <wp:cNvGraphicFramePr/>
                <a:graphic xmlns:a="http://schemas.openxmlformats.org/drawingml/2006/main">
                  <a:graphicData uri="http://schemas.microsoft.com/office/word/2010/wordprocessingShape">
                    <wps:wsp>
                      <wps:cNvSpPr/>
                      <wps:spPr>
                        <a:xfrm rot="780000">
                          <a:off x="0" y="0"/>
                          <a:ext cx="94615" cy="18796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0.15pt;margin-top:246.95pt;height:14.8pt;width:7.45pt;rotation:851968f;z-index:251723776;v-text-anchor:middle;mso-width-relative:page;mso-height-relative:page;" fillcolor="#FF0000" filled="t" stroked="t" coordsize="21600,21600" o:gfxdata="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ZCIRN2gAAAAsBAAAPAAAAAAAAAAEAIAAAACIAAABkcnMvZG93bnJl&#10;di54bWxQSwECFAAUAAAACACHTuJAf++nHG0CAADsBAAADgAAAAAAAAABACAAAAApAQAAZHJzL2Uy&#10;b0RvYy54bWxQSwUGAAAAAAYABgBZAQAACAYAAAAA&#10;">
                <v:fill on="t" focussize="0,0"/>
                <v:stroke weight="2pt" color="#000000 [3213]" joinstyle="round"/>
                <v:imagedata o:title=""/>
                <o:lock v:ext="edit" aspectratio="f"/>
              </v:rect>
            </w:pict>
          </mc:Fallback>
        </mc:AlternateContent>
      </w:r>
      <w:r>
        <w:rPr>
          <w:rFonts w:hint="default" w:ascii="Times New Roman" w:hAnsi="Times New Roman" w:cs="Times New Roman"/>
          <w:color w:val="auto"/>
          <w:sz w:val="21"/>
          <w:highlight w:val="none"/>
        </w:rPr>
        <w:drawing>
          <wp:inline distT="0" distB="0" distL="114300" distR="114300">
            <wp:extent cx="7825105" cy="4928870"/>
            <wp:effectExtent l="0" t="0" r="4445" b="5080"/>
            <wp:docPr id="95" name="图片 95" descr="174844008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1748440081059"/>
                    <pic:cNvPicPr>
                      <a:picLocks noChangeAspect="1"/>
                    </pic:cNvPicPr>
                  </pic:nvPicPr>
                  <pic:blipFill>
                    <a:blip r:embed="rId58"/>
                    <a:stretch>
                      <a:fillRect/>
                    </a:stretch>
                  </pic:blipFill>
                  <pic:spPr>
                    <a:xfrm>
                      <a:off x="0" y="0"/>
                      <a:ext cx="7825105" cy="4928870"/>
                    </a:xfrm>
                    <a:prstGeom prst="rect">
                      <a:avLst/>
                    </a:prstGeom>
                  </pic:spPr>
                </pic:pic>
              </a:graphicData>
            </a:graphic>
          </wp:inline>
        </w:drawing>
      </w:r>
    </w:p>
    <w:p w14:paraId="538A57DF">
      <w:pPr>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 xml:space="preserve">附图 </w:t>
      </w:r>
      <w:r>
        <w:rPr>
          <w:rFonts w:hint="eastAsia" w:ascii="Times New Roman" w:hAnsi="Times New Roman" w:cs="Times New Roman"/>
          <w:b/>
          <w:bCs/>
          <w:color w:val="auto"/>
          <w:lang w:val="en-US" w:eastAsia="zh-CN"/>
        </w:rPr>
        <w:t>6</w:t>
      </w:r>
      <w:r>
        <w:rPr>
          <w:rFonts w:hint="default" w:ascii="Times New Roman" w:hAnsi="Times New Roman" w:cs="Times New Roman"/>
          <w:b/>
          <w:bCs/>
          <w:color w:val="auto"/>
          <w:lang w:val="en-US" w:eastAsia="zh-CN"/>
        </w:rPr>
        <w:t xml:space="preserve"> 淄博市国土空间总体规划（2021-2035年）-中心城区土地使用规划图</w:t>
      </w:r>
    </w:p>
    <w:p w14:paraId="7808DD32">
      <w:pPr>
        <w:pStyle w:val="34"/>
        <w:jc w:val="center"/>
        <w:rPr>
          <w:color w:val="auto"/>
          <w:highlight w:val="none"/>
        </w:rPr>
      </w:pPr>
      <w:r>
        <w:rPr>
          <w:color w:val="auto"/>
          <w:sz w:val="21"/>
        </w:rPr>
        <mc:AlternateContent>
          <mc:Choice Requires="wps">
            <w:drawing>
              <wp:anchor distT="0" distB="0" distL="114300" distR="114300" simplePos="0" relativeHeight="251726848" behindDoc="0" locked="0" layoutInCell="1" allowOverlap="1">
                <wp:simplePos x="0" y="0"/>
                <wp:positionH relativeFrom="column">
                  <wp:posOffset>5036820</wp:posOffset>
                </wp:positionH>
                <wp:positionV relativeFrom="paragraph">
                  <wp:posOffset>514985</wp:posOffset>
                </wp:positionV>
                <wp:extent cx="1492250" cy="603250"/>
                <wp:effectExtent l="482600" t="12700" r="25400" b="927100"/>
                <wp:wrapNone/>
                <wp:docPr id="108" name="矩形标注 108"/>
                <wp:cNvGraphicFramePr/>
                <a:graphic xmlns:a="http://schemas.openxmlformats.org/drawingml/2006/main">
                  <a:graphicData uri="http://schemas.microsoft.com/office/word/2010/wordprocessingShape">
                    <wps:wsp>
                      <wps:cNvSpPr/>
                      <wps:spPr>
                        <a:xfrm>
                          <a:off x="0" y="0"/>
                          <a:ext cx="1492250" cy="603250"/>
                        </a:xfrm>
                        <a:prstGeom prst="wedgeRectCallout">
                          <a:avLst>
                            <a:gd name="adj1" fmla="val -81489"/>
                            <a:gd name="adj2" fmla="val 199368"/>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2001FBD">
                            <w:pPr>
                              <w:jc w:val="center"/>
                              <w:rPr>
                                <w:rFonts w:hint="default" w:eastAsiaTheme="minorEastAsia"/>
                                <w:b/>
                                <w:bCs/>
                                <w:color w:val="FF0000"/>
                                <w:sz w:val="32"/>
                                <w:szCs w:val="40"/>
                                <w:lang w:val="en-US" w:eastAsia="zh-CN"/>
                              </w:rPr>
                            </w:pPr>
                            <w:r>
                              <w:rPr>
                                <w:rFonts w:hint="eastAsia"/>
                                <w:b/>
                                <w:bCs/>
                                <w:color w:val="FF0000"/>
                                <w:sz w:val="32"/>
                                <w:szCs w:val="4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6.6pt;margin-top:40.55pt;height:47.5pt;width:117.5pt;z-index:251726848;v-text-anchor:middle;mso-width-relative:page;mso-height-relative:page;" filled="f" stroked="t" coordsize="21600,21600" o:gfxdata="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C0k7g9cAAAALAQAADwAAAAAAAAABACAAAAAiAAAAZHJzL2Rvd25yZXYueG1sUEsBAhQA&#10;FAAAAAgAh07iQJeSoCSeAgAAKAUAAA4AAAAAAAAAAQAgAAAAJgEAAGRycy9lMm9Eb2MueG1sUEsF&#10;BgAAAAAGAAYAWQEAADYGAAAAAA==&#10;" adj="-6802,53863">
                <v:fill on="f" focussize="0,0"/>
                <v:stroke weight="2pt" color="#FF0000 [2404]" joinstyle="round"/>
                <v:imagedata o:title=""/>
                <o:lock v:ext="edit" aspectratio="f"/>
                <v:textbox>
                  <w:txbxContent>
                    <w:p w14:paraId="62001FBD">
                      <w:pPr>
                        <w:jc w:val="center"/>
                        <w:rPr>
                          <w:rFonts w:hint="default" w:eastAsiaTheme="minorEastAsia"/>
                          <w:b/>
                          <w:bCs/>
                          <w:color w:val="FF0000"/>
                          <w:sz w:val="32"/>
                          <w:szCs w:val="40"/>
                          <w:lang w:val="en-US" w:eastAsia="zh-CN"/>
                        </w:rPr>
                      </w:pPr>
                      <w:r>
                        <w:rPr>
                          <w:rFonts w:hint="eastAsia"/>
                          <w:b/>
                          <w:bCs/>
                          <w:color w:val="FF0000"/>
                          <w:sz w:val="32"/>
                          <w:szCs w:val="40"/>
                          <w:lang w:val="en-US" w:eastAsia="zh-CN"/>
                        </w:rPr>
                        <w:t>项目所在地</w:t>
                      </w:r>
                    </w:p>
                  </w:txbxContent>
                </v:textbox>
              </v:shape>
            </w:pict>
          </mc:Fallback>
        </mc:AlternateContent>
      </w:r>
      <w:r>
        <w:rPr>
          <w:color w:val="auto"/>
          <w:sz w:val="21"/>
        </w:rPr>
        <mc:AlternateContent>
          <mc:Choice Requires="wps">
            <w:drawing>
              <wp:anchor distT="0" distB="0" distL="114300" distR="114300" simplePos="0" relativeHeight="251725824" behindDoc="0" locked="0" layoutInCell="1" allowOverlap="1">
                <wp:simplePos x="0" y="0"/>
                <wp:positionH relativeFrom="column">
                  <wp:posOffset>4462145</wp:posOffset>
                </wp:positionH>
                <wp:positionV relativeFrom="paragraph">
                  <wp:posOffset>2058035</wp:posOffset>
                </wp:positionV>
                <wp:extent cx="76200" cy="76200"/>
                <wp:effectExtent l="20320" t="635" r="36830" b="37465"/>
                <wp:wrapNone/>
                <wp:docPr id="109" name="矩形 109"/>
                <wp:cNvGraphicFramePr/>
                <a:graphic xmlns:a="http://schemas.openxmlformats.org/drawingml/2006/main">
                  <a:graphicData uri="http://schemas.microsoft.com/office/word/2010/wordprocessingShape">
                    <wps:wsp>
                      <wps:cNvSpPr/>
                      <wps:spPr>
                        <a:xfrm rot="780000" flipH="1">
                          <a:off x="0" y="0"/>
                          <a:ext cx="76200" cy="7620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margin-left:351.35pt;margin-top:162.05pt;height:6pt;width:6pt;rotation:-851968f;z-index:251725824;v-text-anchor:middle;mso-width-relative:page;mso-height-relative:page;" fillcolor="#FF0000" filled="t" stroked="t" coordsize="21600,21600" o:gfxdata="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EY71vdcAAAALAQAADwAAAAAAAAABACAAAAAiAAAAZHJzL2Rvd25yZXYueG1s&#10;UEsBAhQAFAAAAAgAh07iQIT9ucZrAgAA9QQAAA4AAAAAAAAAAQAgAAAAJgEAAGRycy9lMm9Eb2Mu&#10;eG1sUEsFBgAAAAAGAAYAWQEAAAMGAAAAAA==&#10;">
                <v:fill on="t" focussize="0,0"/>
                <v:stroke weight="2pt" color="#000000 [3213]" joinstyle="round"/>
                <v:imagedata o:title=""/>
                <o:lock v:ext="edit" aspectratio="f"/>
              </v:rect>
            </w:pict>
          </mc:Fallback>
        </mc:AlternateContent>
      </w:r>
      <w:r>
        <w:rPr>
          <w:color w:val="auto"/>
          <w:highlight w:val="none"/>
        </w:rPr>
        <w:drawing>
          <wp:inline distT="0" distB="0" distL="114300" distR="114300">
            <wp:extent cx="7829550" cy="5080635"/>
            <wp:effectExtent l="0" t="0" r="0" b="5715"/>
            <wp:docPr id="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
                    <pic:cNvPicPr>
                      <a:picLocks noChangeAspect="1"/>
                    </pic:cNvPicPr>
                  </pic:nvPicPr>
                  <pic:blipFill>
                    <a:blip r:embed="rId59"/>
                    <a:stretch>
                      <a:fillRect/>
                    </a:stretch>
                  </pic:blipFill>
                  <pic:spPr>
                    <a:xfrm>
                      <a:off x="0" y="0"/>
                      <a:ext cx="7829550" cy="5080635"/>
                    </a:xfrm>
                    <a:prstGeom prst="rect">
                      <a:avLst/>
                    </a:prstGeom>
                    <a:noFill/>
                    <a:ln>
                      <a:noFill/>
                    </a:ln>
                  </pic:spPr>
                </pic:pic>
              </a:graphicData>
            </a:graphic>
          </wp:inline>
        </w:drawing>
      </w:r>
    </w:p>
    <w:p w14:paraId="2FC46E47">
      <w:pPr>
        <w:pStyle w:val="34"/>
        <w:jc w:val="center"/>
        <w:rPr>
          <w:rFonts w:hint="default" w:ascii="Times New Roman" w:hAnsi="Times New Roman" w:eastAsia="宋体" w:cs="Times New Roman"/>
          <w:b/>
          <w:bCs/>
          <w:snapToGrid w:val="0"/>
          <w:color w:val="auto"/>
          <w:spacing w:val="-3"/>
          <w:kern w:val="0"/>
          <w:sz w:val="24"/>
          <w:szCs w:val="24"/>
          <w:highlight w:val="none"/>
          <w:lang w:val="en-US" w:eastAsia="zh-CN" w:bidi="ar-SA"/>
        </w:rPr>
      </w:pPr>
      <w:r>
        <w:rPr>
          <w:rFonts w:hint="eastAsia" w:ascii="Times New Roman" w:hAnsi="Times New Roman" w:eastAsia="宋体" w:cs="Times New Roman"/>
          <w:b/>
          <w:bCs/>
          <w:snapToGrid w:val="0"/>
          <w:color w:val="auto"/>
          <w:spacing w:val="-3"/>
          <w:kern w:val="0"/>
          <w:sz w:val="24"/>
          <w:szCs w:val="24"/>
          <w:highlight w:val="none"/>
          <w:lang w:val="en-US" w:eastAsia="zh-CN" w:bidi="ar-SA"/>
        </w:rPr>
        <w:t>附图7项目所在区域声功能区划图</w:t>
      </w:r>
    </w:p>
    <w:p w14:paraId="2D409172">
      <w:pPr>
        <w:pStyle w:val="6"/>
        <w:jc w:val="center"/>
        <w:rPr>
          <w:rFonts w:hint="default"/>
          <w:color w:val="auto"/>
          <w:lang w:val="en-US" w:eastAsia="zh-CN"/>
        </w:rPr>
        <w:sectPr>
          <w:pgSz w:w="16838" w:h="11906" w:orient="landscape"/>
          <w:pgMar w:top="1440" w:right="1080" w:bottom="1440" w:left="1080" w:header="851" w:footer="992" w:gutter="0"/>
          <w:cols w:space="0" w:num="1"/>
          <w:rtlGutter w:val="0"/>
          <w:docGrid w:type="lines" w:linePitch="319" w:charSpace="0"/>
        </w:sectPr>
      </w:pPr>
    </w:p>
    <w:p w14:paraId="6B060E0A">
      <w:pPr>
        <w:rPr>
          <w:color w:val="auto"/>
          <w:highlight w:val="none"/>
        </w:rPr>
      </w:pPr>
      <w:r>
        <w:rPr>
          <w:color w:val="auto"/>
          <w:sz w:val="21"/>
        </w:rPr>
        <mc:AlternateContent>
          <mc:Choice Requires="wps">
            <w:drawing>
              <wp:anchor distT="0" distB="0" distL="114300" distR="114300" simplePos="0" relativeHeight="251716608" behindDoc="0" locked="0" layoutInCell="1" allowOverlap="1">
                <wp:simplePos x="0" y="0"/>
                <wp:positionH relativeFrom="column">
                  <wp:posOffset>2593340</wp:posOffset>
                </wp:positionH>
                <wp:positionV relativeFrom="paragraph">
                  <wp:posOffset>1868805</wp:posOffset>
                </wp:positionV>
                <wp:extent cx="1492250" cy="603250"/>
                <wp:effectExtent l="12700" t="12700" r="190500" b="1193800"/>
                <wp:wrapNone/>
                <wp:docPr id="98" name="矩形标注 98"/>
                <wp:cNvGraphicFramePr/>
                <a:graphic xmlns:a="http://schemas.openxmlformats.org/drawingml/2006/main">
                  <a:graphicData uri="http://schemas.microsoft.com/office/word/2010/wordprocessingShape">
                    <wps:wsp>
                      <wps:cNvSpPr/>
                      <wps:spPr>
                        <a:xfrm>
                          <a:off x="3333115" y="4064635"/>
                          <a:ext cx="1492250" cy="603250"/>
                        </a:xfrm>
                        <a:prstGeom prst="wedgeRectCallout">
                          <a:avLst>
                            <a:gd name="adj1" fmla="val 61063"/>
                            <a:gd name="adj2" fmla="val 244105"/>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AC6EE8E">
                            <w:pPr>
                              <w:jc w:val="center"/>
                              <w:rPr>
                                <w:rFonts w:hint="default" w:eastAsiaTheme="minorEastAsia"/>
                                <w:b/>
                                <w:bCs/>
                                <w:color w:val="FF0000"/>
                                <w:sz w:val="32"/>
                                <w:szCs w:val="40"/>
                                <w:lang w:val="en-US" w:eastAsia="zh-CN"/>
                              </w:rPr>
                            </w:pPr>
                            <w:r>
                              <w:rPr>
                                <w:rFonts w:hint="eastAsia"/>
                                <w:b/>
                                <w:bCs/>
                                <w:color w:val="FF0000"/>
                                <w:sz w:val="32"/>
                                <w:szCs w:val="4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4.2pt;margin-top:147.15pt;height:47.5pt;width:117.5pt;z-index:251716608;v-text-anchor:middle;mso-width-relative:page;mso-height-relative:page;" filled="f" stroked="t" coordsize="21600,21600" o:gfxdata="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MK4PNtsAAAALAQAADwAAAAAAAAABACAAAAAiAAAAZHJzL2Rv&#10;d25yZXYueG1sUEsBAhQAFAAAAAgAh07iQKI98z6pAgAAMQUAAA4AAAAAAAAAAQAgAAAAKgEAAGRy&#10;cy9lMm9Eb2MueG1sUEsFBgAAAAAGAAYAWQEAAEUGAAAAAA==&#10;" adj="23990,63527">
                <v:fill on="f" focussize="0,0"/>
                <v:stroke weight="2pt" color="#FF0000 [2404]" joinstyle="round"/>
                <v:imagedata o:title=""/>
                <o:lock v:ext="edit" aspectratio="f"/>
                <v:textbox>
                  <w:txbxContent>
                    <w:p w14:paraId="4AC6EE8E">
                      <w:pPr>
                        <w:jc w:val="center"/>
                        <w:rPr>
                          <w:rFonts w:hint="default" w:eastAsiaTheme="minorEastAsia"/>
                          <w:b/>
                          <w:bCs/>
                          <w:color w:val="FF0000"/>
                          <w:sz w:val="32"/>
                          <w:szCs w:val="40"/>
                          <w:lang w:val="en-US" w:eastAsia="zh-CN"/>
                        </w:rPr>
                      </w:pPr>
                      <w:r>
                        <w:rPr>
                          <w:rFonts w:hint="eastAsia"/>
                          <w:b/>
                          <w:bCs/>
                          <w:color w:val="FF0000"/>
                          <w:sz w:val="32"/>
                          <w:szCs w:val="40"/>
                          <w:lang w:val="en-US" w:eastAsia="zh-CN"/>
                        </w:rPr>
                        <w:t>项目所在地</w:t>
                      </w:r>
                    </w:p>
                  </w:txbxContent>
                </v:textbox>
              </v:shape>
            </w:pict>
          </mc:Fallback>
        </mc:AlternateContent>
      </w:r>
      <w:r>
        <w:rPr>
          <w:color w:val="auto"/>
          <w:sz w:val="21"/>
        </w:rPr>
        <mc:AlternateContent>
          <mc:Choice Requires="wps">
            <w:drawing>
              <wp:anchor distT="0" distB="0" distL="114300" distR="114300" simplePos="0" relativeHeight="251715584" behindDoc="0" locked="0" layoutInCell="1" allowOverlap="1">
                <wp:simplePos x="0" y="0"/>
                <wp:positionH relativeFrom="column">
                  <wp:posOffset>4255770</wp:posOffset>
                </wp:positionH>
                <wp:positionV relativeFrom="paragraph">
                  <wp:posOffset>3612515</wp:posOffset>
                </wp:positionV>
                <wp:extent cx="114300" cy="356870"/>
                <wp:effectExtent l="57150" t="21590" r="57150" b="21590"/>
                <wp:wrapNone/>
                <wp:docPr id="97" name="矩形 97"/>
                <wp:cNvGraphicFramePr/>
                <a:graphic xmlns:a="http://schemas.openxmlformats.org/drawingml/2006/main">
                  <a:graphicData uri="http://schemas.microsoft.com/office/word/2010/wordprocessingShape">
                    <wps:wsp>
                      <wps:cNvSpPr/>
                      <wps:spPr>
                        <a:xfrm rot="900000">
                          <a:off x="5219700" y="4314190"/>
                          <a:ext cx="114300" cy="35687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5.1pt;margin-top:284.45pt;height:28.1pt;width:9pt;rotation:983040f;z-index:251715584;v-text-anchor:middle;mso-width-relative:page;mso-height-relative:page;" fillcolor="#FF0000" filled="t" stroked="t" coordsize="21600,21600" o:gfxdata="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&#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MxOem9gAAAALAQAADwAAAAAAAAABACAAAAAiAAAA&#10;ZHJzL2Rvd25yZXYueG1sUEsBAhQAFAAAAAgAh07iQLC0mKl5AgAA9wQAAA4AAAAAAAAAAQAgAAAA&#10;JwEAAGRycy9lMm9Eb2MueG1sUEsFBgAAAAAGAAYAWQEAABIGAAAAAA==&#10;">
                <v:fill on="t" focussize="0,0"/>
                <v:stroke weight="2pt" color="#000000 [3213]" joinstyle="round"/>
                <v:imagedata o:title=""/>
                <o:lock v:ext="edit" aspectratio="f"/>
              </v:rect>
            </w:pict>
          </mc:Fallback>
        </mc:AlternateContent>
      </w:r>
      <w:r>
        <w:rPr>
          <w:color w:val="auto"/>
          <w:highlight w:val="none"/>
        </w:rPr>
        <w:drawing>
          <wp:inline distT="0" distB="0" distL="114300" distR="114300">
            <wp:extent cx="5798820" cy="7117715"/>
            <wp:effectExtent l="9525" t="9525" r="20955" b="16510"/>
            <wp:docPr id="99" name="图片 8" descr="微信图片_2025010811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 descr="微信图片_20250108111137"/>
                    <pic:cNvPicPr>
                      <a:picLocks noChangeAspect="1"/>
                    </pic:cNvPicPr>
                  </pic:nvPicPr>
                  <pic:blipFill>
                    <a:blip r:embed="rId60"/>
                    <a:srcRect l="1271" t="11682" r="2048" b="1756"/>
                    <a:stretch>
                      <a:fillRect/>
                    </a:stretch>
                  </pic:blipFill>
                  <pic:spPr>
                    <a:xfrm>
                      <a:off x="0" y="0"/>
                      <a:ext cx="5798820" cy="711771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5552EED5">
      <w:pPr>
        <w:pStyle w:val="2"/>
        <w:ind w:left="0" w:leftChars="0" w:firstLine="0" w:firstLineChars="0"/>
        <w:jc w:val="center"/>
        <w:rPr>
          <w:rFonts w:hint="default"/>
          <w:color w:val="auto"/>
          <w:lang w:val="en-US" w:eastAsia="zh-CN"/>
        </w:rPr>
      </w:pPr>
      <w:r>
        <w:rPr>
          <w:rFonts w:hint="eastAsia" w:ascii="Times New Roman" w:hAnsi="Times New Roman" w:eastAsia="宋体" w:cs="Times New Roman"/>
          <w:b/>
          <w:bCs/>
          <w:snapToGrid w:val="0"/>
          <w:color w:val="auto"/>
          <w:spacing w:val="-3"/>
          <w:kern w:val="0"/>
          <w:sz w:val="24"/>
          <w:szCs w:val="24"/>
          <w:highlight w:val="none"/>
          <w:lang w:val="en-US" w:eastAsia="zh-CN" w:bidi="ar-SA"/>
        </w:rPr>
        <w:t>附图8</w:t>
      </w:r>
      <w:r>
        <w:rPr>
          <w:rFonts w:hint="eastAsia" w:ascii="Times New Roman" w:hAnsi="Times New Roman" w:cs="Times New Roman"/>
          <w:b/>
          <w:bCs/>
          <w:snapToGrid w:val="0"/>
          <w:color w:val="auto"/>
          <w:spacing w:val="-3"/>
          <w:kern w:val="0"/>
          <w:sz w:val="24"/>
          <w:szCs w:val="24"/>
          <w:highlight w:val="none"/>
          <w:lang w:val="en-US" w:eastAsia="zh-CN" w:bidi="ar-SA"/>
        </w:rPr>
        <w:t>a</w:t>
      </w:r>
      <w:r>
        <w:rPr>
          <w:b/>
          <w:bCs/>
          <w:color w:val="auto"/>
          <w:kern w:val="0"/>
          <w:sz w:val="24"/>
          <w:szCs w:val="24"/>
          <w:highlight w:val="none"/>
          <w:lang w:bidi="ar"/>
        </w:rPr>
        <w:t>园区空间管制图</w:t>
      </w:r>
    </w:p>
    <w:p w14:paraId="6983BD15">
      <w:pPr>
        <w:pStyle w:val="2"/>
        <w:rPr>
          <w:rFonts w:hint="default"/>
          <w:color w:val="auto"/>
          <w:lang w:val="en-US" w:eastAsia="zh-CN"/>
        </w:rPr>
      </w:pPr>
    </w:p>
    <w:p w14:paraId="7F562427">
      <w:pPr>
        <w:rPr>
          <w:rFonts w:hint="default"/>
          <w:color w:val="auto"/>
          <w:lang w:val="en-US" w:eastAsia="zh-CN"/>
        </w:rPr>
      </w:pPr>
    </w:p>
    <w:p w14:paraId="1B438DF4">
      <w:pPr>
        <w:pStyle w:val="2"/>
        <w:rPr>
          <w:rFonts w:hint="default"/>
          <w:color w:val="auto"/>
          <w:lang w:val="en-US" w:eastAsia="zh-CN"/>
        </w:rPr>
      </w:pPr>
    </w:p>
    <w:p w14:paraId="76AAC527">
      <w:pPr>
        <w:rPr>
          <w:rFonts w:hint="default"/>
          <w:color w:val="auto"/>
          <w:lang w:val="en-US" w:eastAsia="zh-CN"/>
        </w:rPr>
      </w:pPr>
    </w:p>
    <w:p w14:paraId="738EB302">
      <w:pPr>
        <w:pStyle w:val="2"/>
        <w:rPr>
          <w:rFonts w:hint="default"/>
          <w:color w:val="auto"/>
          <w:lang w:val="en-US" w:eastAsia="zh-CN"/>
        </w:rPr>
      </w:pPr>
    </w:p>
    <w:p w14:paraId="5813AF38">
      <w:pPr>
        <w:rPr>
          <w:rFonts w:hint="default"/>
          <w:color w:val="auto"/>
          <w:lang w:val="en-US" w:eastAsia="zh-CN"/>
        </w:rPr>
      </w:pPr>
    </w:p>
    <w:p w14:paraId="4A6DB024">
      <w:pPr>
        <w:pStyle w:val="2"/>
        <w:rPr>
          <w:rFonts w:hint="default"/>
          <w:color w:val="auto"/>
          <w:lang w:val="en-US" w:eastAsia="zh-CN"/>
        </w:rPr>
      </w:pPr>
    </w:p>
    <w:p w14:paraId="68F5B68A">
      <w:pPr>
        <w:rPr>
          <w:rFonts w:hint="default"/>
          <w:color w:val="auto"/>
          <w:lang w:val="en-US" w:eastAsia="zh-CN"/>
        </w:rPr>
        <w:sectPr>
          <w:pgSz w:w="11906" w:h="16838"/>
          <w:pgMar w:top="1083" w:right="1440" w:bottom="1083" w:left="1440" w:header="851" w:footer="992" w:gutter="0"/>
          <w:cols w:space="0" w:num="1"/>
          <w:rtlGutter w:val="0"/>
          <w:docGrid w:type="lines" w:linePitch="319" w:charSpace="0"/>
        </w:sectPr>
      </w:pPr>
    </w:p>
    <w:p w14:paraId="51263C1E">
      <w:pPr>
        <w:pStyle w:val="2"/>
        <w:ind w:left="0" w:leftChars="0" w:firstLine="0" w:firstLineChars="0"/>
        <w:jc w:val="center"/>
        <w:rPr>
          <w:b/>
          <w:bCs/>
          <w:color w:val="auto"/>
          <w:kern w:val="0"/>
          <w:sz w:val="24"/>
          <w:szCs w:val="24"/>
          <w:highlight w:val="none"/>
          <w:lang w:bidi="ar"/>
        </w:rPr>
      </w:pPr>
      <w:r>
        <w:rPr>
          <w:rFonts w:hint="default" w:ascii="Times New Roman" w:hAnsi="Times New Roman" w:cs="Times New Roman"/>
          <w:color w:val="auto"/>
          <w:highlight w:val="none"/>
        </w:rPr>
        <w:drawing>
          <wp:anchor distT="0" distB="0" distL="114300" distR="114300" simplePos="0" relativeHeight="251727872" behindDoc="0" locked="0" layoutInCell="1" allowOverlap="1">
            <wp:simplePos x="0" y="0"/>
            <wp:positionH relativeFrom="column">
              <wp:posOffset>7808595</wp:posOffset>
            </wp:positionH>
            <wp:positionV relativeFrom="paragraph">
              <wp:posOffset>97790</wp:posOffset>
            </wp:positionV>
            <wp:extent cx="948055" cy="927735"/>
            <wp:effectExtent l="0" t="0" r="4445" b="5715"/>
            <wp:wrapNone/>
            <wp:docPr id="1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
                    <pic:cNvPicPr>
                      <a:picLocks noChangeAspect="1"/>
                    </pic:cNvPicPr>
                  </pic:nvPicPr>
                  <pic:blipFill>
                    <a:blip r:embed="rId48"/>
                    <a:stretch>
                      <a:fillRect/>
                    </a:stretch>
                  </pic:blipFill>
                  <pic:spPr>
                    <a:xfrm>
                      <a:off x="0" y="0"/>
                      <a:ext cx="948055" cy="92773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718656" behindDoc="0" locked="0" layoutInCell="1" allowOverlap="1">
                <wp:simplePos x="0" y="0"/>
                <wp:positionH relativeFrom="column">
                  <wp:posOffset>5195570</wp:posOffset>
                </wp:positionH>
                <wp:positionV relativeFrom="paragraph">
                  <wp:posOffset>1776730</wp:posOffset>
                </wp:positionV>
                <wp:extent cx="1492250" cy="603250"/>
                <wp:effectExtent l="368935" t="12700" r="24765" b="889000"/>
                <wp:wrapNone/>
                <wp:docPr id="100" name="矩形标注 100"/>
                <wp:cNvGraphicFramePr/>
                <a:graphic xmlns:a="http://schemas.openxmlformats.org/drawingml/2006/main">
                  <a:graphicData uri="http://schemas.microsoft.com/office/word/2010/wordprocessingShape">
                    <wps:wsp>
                      <wps:cNvSpPr/>
                      <wps:spPr>
                        <a:xfrm>
                          <a:off x="0" y="0"/>
                          <a:ext cx="1492250" cy="603250"/>
                        </a:xfrm>
                        <a:prstGeom prst="wedgeRectCallout">
                          <a:avLst>
                            <a:gd name="adj1" fmla="val -73872"/>
                            <a:gd name="adj2" fmla="val 194526"/>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39D6F6F">
                            <w:pPr>
                              <w:jc w:val="center"/>
                              <w:rPr>
                                <w:rFonts w:hint="default" w:eastAsiaTheme="minorEastAsia"/>
                                <w:b/>
                                <w:bCs/>
                                <w:color w:val="FF0000"/>
                                <w:sz w:val="32"/>
                                <w:szCs w:val="40"/>
                                <w:lang w:val="en-US" w:eastAsia="zh-CN"/>
                              </w:rPr>
                            </w:pPr>
                            <w:r>
                              <w:rPr>
                                <w:rFonts w:hint="eastAsia"/>
                                <w:b/>
                                <w:bCs/>
                                <w:color w:val="FF0000"/>
                                <w:sz w:val="32"/>
                                <w:szCs w:val="4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9.1pt;margin-top:139.9pt;height:47.5pt;width:117.5pt;z-index:251718656;v-text-anchor:middle;mso-width-relative:page;mso-height-relative:page;" filled="f" stroked="t" coordsize="21600,21600" o:gfxdata="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eUvzP3QAAAAwBAAAPAAAAAAAAAAEAIAAAACIAAABkcnMvZG93bnJldi54bWxQ&#10;SwECFAAUAAAACACHTuJAGzIkxJ0CAAAoBQAADgAAAAAAAAABACAAAAAsAQAAZHJzL2Uyb0RvYy54&#10;bWxQSwUGAAAAAAYABgBZAQAAOwYAAAAA&#10;" adj="-5156,52818">
                <v:fill on="f" focussize="0,0"/>
                <v:stroke weight="2pt" color="#FF0000 [2404]" joinstyle="round"/>
                <v:imagedata o:title=""/>
                <o:lock v:ext="edit" aspectratio="f"/>
                <v:textbox>
                  <w:txbxContent>
                    <w:p w14:paraId="139D6F6F">
                      <w:pPr>
                        <w:jc w:val="center"/>
                        <w:rPr>
                          <w:rFonts w:hint="default" w:eastAsiaTheme="minorEastAsia"/>
                          <w:b/>
                          <w:bCs/>
                          <w:color w:val="FF0000"/>
                          <w:sz w:val="32"/>
                          <w:szCs w:val="40"/>
                          <w:lang w:val="en-US" w:eastAsia="zh-CN"/>
                        </w:rPr>
                      </w:pPr>
                      <w:r>
                        <w:rPr>
                          <w:rFonts w:hint="eastAsia"/>
                          <w:b/>
                          <w:bCs/>
                          <w:color w:val="FF0000"/>
                          <w:sz w:val="32"/>
                          <w:szCs w:val="40"/>
                          <w:lang w:val="en-US" w:eastAsia="zh-CN"/>
                        </w:rPr>
                        <w:t>项目所在地</w:t>
                      </w:r>
                    </w:p>
                  </w:txbxContent>
                </v:textbox>
              </v:shape>
            </w:pict>
          </mc:Fallback>
        </mc:AlternateContent>
      </w:r>
      <w:r>
        <w:rPr>
          <w:color w:val="auto"/>
          <w:sz w:val="21"/>
        </w:rPr>
        <mc:AlternateContent>
          <mc:Choice Requires="wps">
            <w:drawing>
              <wp:anchor distT="0" distB="0" distL="114300" distR="114300" simplePos="0" relativeHeight="251717632" behindDoc="0" locked="0" layoutInCell="1" allowOverlap="1">
                <wp:simplePos x="0" y="0"/>
                <wp:positionH relativeFrom="column">
                  <wp:posOffset>4769485</wp:posOffset>
                </wp:positionH>
                <wp:positionV relativeFrom="paragraph">
                  <wp:posOffset>3271520</wp:posOffset>
                </wp:positionV>
                <wp:extent cx="83820" cy="220345"/>
                <wp:effectExtent l="40005" t="19685" r="47625" b="26670"/>
                <wp:wrapNone/>
                <wp:docPr id="101" name="矩形 101"/>
                <wp:cNvGraphicFramePr/>
                <a:graphic xmlns:a="http://schemas.openxmlformats.org/drawingml/2006/main">
                  <a:graphicData uri="http://schemas.microsoft.com/office/word/2010/wordprocessingShape">
                    <wps:wsp>
                      <wps:cNvSpPr/>
                      <wps:spPr>
                        <a:xfrm rot="900000">
                          <a:off x="0" y="0"/>
                          <a:ext cx="83820" cy="220345"/>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55pt;margin-top:257.6pt;height:17.35pt;width:6.6pt;rotation:983040f;z-index:251717632;v-text-anchor:middle;mso-width-relative:page;mso-height-relative:page;" fillcolor="#FF0000" filled="t" stroked="t" coordsize="21600,21600" o:gfxdata="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RcNAB2gAAAAsBAAAPAAAAAAAAAAEAIAAAACIAAABkcnMvZG93bnJl&#10;di54bWxQSwECFAAUAAAACACHTuJAmliKaG0CAADsBAAADgAAAAAAAAABACAAAAApAQAAZHJzL2Uy&#10;b0RvYy54bWxQSwUGAAAAAAYABgBZAQAACAYAAAAA&#10;">
                <v:fill on="t" focussize="0,0"/>
                <v:stroke weight="2pt" color="#000000 [3213]" joinstyle="round"/>
                <v:imagedata o:title=""/>
                <o:lock v:ext="edit" aspectratio="f"/>
              </v:rect>
            </w:pict>
          </mc:Fallback>
        </mc:AlternateContent>
      </w:r>
      <w:r>
        <w:rPr>
          <w:b/>
          <w:bCs/>
          <w:color w:val="auto"/>
          <w:kern w:val="0"/>
          <w:sz w:val="24"/>
          <w:szCs w:val="24"/>
          <w:highlight w:val="none"/>
          <w:lang w:bidi="ar"/>
        </w:rPr>
        <w:drawing>
          <wp:inline distT="0" distB="0" distL="114300" distR="114300">
            <wp:extent cx="8126730" cy="4909820"/>
            <wp:effectExtent l="9525" t="9525" r="17145" b="14605"/>
            <wp:docPr id="102" name="图片 9" descr="微信图片_2025010811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descr="微信图片_20250108111142"/>
                    <pic:cNvPicPr>
                      <a:picLocks noChangeAspect="1"/>
                    </pic:cNvPicPr>
                  </pic:nvPicPr>
                  <pic:blipFill>
                    <a:blip r:embed="rId61"/>
                    <a:srcRect t="3821" b="2536"/>
                    <a:stretch>
                      <a:fillRect/>
                    </a:stretch>
                  </pic:blipFill>
                  <pic:spPr>
                    <a:xfrm>
                      <a:off x="0" y="0"/>
                      <a:ext cx="8126730" cy="490982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15201EBC">
      <w:pPr>
        <w:pStyle w:val="2"/>
        <w:ind w:left="0" w:leftChars="0" w:firstLine="0" w:firstLineChars="0"/>
        <w:jc w:val="center"/>
        <w:rPr>
          <w:b/>
          <w:bCs/>
          <w:color w:val="auto"/>
          <w:kern w:val="0"/>
          <w:sz w:val="24"/>
          <w:szCs w:val="24"/>
          <w:highlight w:val="none"/>
          <w:lang w:bidi="ar"/>
        </w:rPr>
      </w:pPr>
      <w:r>
        <w:rPr>
          <w:b/>
          <w:bCs/>
          <w:color w:val="auto"/>
          <w:kern w:val="0"/>
          <w:sz w:val="24"/>
          <w:szCs w:val="24"/>
          <w:highlight w:val="none"/>
          <w:lang w:bidi="ar"/>
        </w:rPr>
        <w:t>附图</w:t>
      </w:r>
      <w:r>
        <w:rPr>
          <w:rFonts w:hint="eastAsia"/>
          <w:b/>
          <w:bCs/>
          <w:color w:val="auto"/>
          <w:kern w:val="0"/>
          <w:sz w:val="24"/>
          <w:szCs w:val="24"/>
          <w:highlight w:val="none"/>
          <w:lang w:val="en-US" w:eastAsia="zh-CN" w:bidi="ar"/>
        </w:rPr>
        <w:t>8b</w:t>
      </w:r>
      <w:r>
        <w:rPr>
          <w:b/>
          <w:bCs/>
          <w:color w:val="auto"/>
          <w:kern w:val="0"/>
          <w:sz w:val="24"/>
          <w:szCs w:val="24"/>
          <w:highlight w:val="none"/>
          <w:lang w:bidi="ar"/>
        </w:rPr>
        <w:t>园区空间管制图</w:t>
      </w:r>
    </w:p>
    <w:p w14:paraId="5CBE6EA6">
      <w:pPr>
        <w:pStyle w:val="2"/>
        <w:rPr>
          <w:rFonts w:hint="default"/>
          <w:color w:val="auto"/>
          <w:lang w:val="en-US" w:eastAsia="zh-CN"/>
        </w:rPr>
      </w:pPr>
    </w:p>
    <w:p w14:paraId="1EE6521D">
      <w:pPr>
        <w:pStyle w:val="2"/>
        <w:ind w:left="0" w:leftChars="0" w:firstLine="0" w:firstLineChars="0"/>
        <w:rPr>
          <w:rFonts w:hint="default"/>
          <w:color w:val="auto"/>
          <w:lang w:val="en-US" w:eastAsia="zh-CN"/>
        </w:rPr>
        <w:sectPr>
          <w:pgSz w:w="16838" w:h="11906" w:orient="landscape"/>
          <w:pgMar w:top="1440" w:right="1083" w:bottom="1440" w:left="1083" w:header="851" w:footer="992" w:gutter="0"/>
          <w:cols w:space="0" w:num="1"/>
          <w:rtlGutter w:val="0"/>
          <w:docGrid w:type="lines" w:linePitch="322" w:charSpace="0"/>
        </w:sectPr>
      </w:pPr>
    </w:p>
    <w:p w14:paraId="7F9E338C">
      <w:pPr>
        <w:rPr>
          <w:rFonts w:hint="default"/>
          <w:color w:val="auto"/>
          <w:highlight w:val="none"/>
          <w:lang w:val="en-US" w:eastAsia="zh-CN"/>
        </w:rPr>
      </w:pPr>
      <w:r>
        <w:rPr>
          <w:rFonts w:hint="default" w:ascii="Times New Roman" w:hAnsi="Times New Roman" w:cs="Times New Roman"/>
          <w:color w:val="auto"/>
          <w:highlight w:val="none"/>
        </w:rPr>
        <w:drawing>
          <wp:anchor distT="0" distB="0" distL="114300" distR="114300" simplePos="0" relativeHeight="251728896" behindDoc="0" locked="0" layoutInCell="1" allowOverlap="1">
            <wp:simplePos x="0" y="0"/>
            <wp:positionH relativeFrom="column">
              <wp:posOffset>4724400</wp:posOffset>
            </wp:positionH>
            <wp:positionV relativeFrom="paragraph">
              <wp:posOffset>109220</wp:posOffset>
            </wp:positionV>
            <wp:extent cx="948055" cy="927735"/>
            <wp:effectExtent l="0" t="0" r="4445" b="5715"/>
            <wp:wrapNone/>
            <wp:docPr id="1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
                    <pic:cNvPicPr>
                      <a:picLocks noChangeAspect="1"/>
                    </pic:cNvPicPr>
                  </pic:nvPicPr>
                  <pic:blipFill>
                    <a:blip r:embed="rId48"/>
                    <a:stretch>
                      <a:fillRect/>
                    </a:stretch>
                  </pic:blipFill>
                  <pic:spPr>
                    <a:xfrm>
                      <a:off x="0" y="0"/>
                      <a:ext cx="948055" cy="92773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720704" behindDoc="0" locked="0" layoutInCell="1" allowOverlap="1">
                <wp:simplePos x="0" y="0"/>
                <wp:positionH relativeFrom="column">
                  <wp:posOffset>4024630</wp:posOffset>
                </wp:positionH>
                <wp:positionV relativeFrom="paragraph">
                  <wp:posOffset>5008245</wp:posOffset>
                </wp:positionV>
                <wp:extent cx="1492250" cy="603250"/>
                <wp:effectExtent l="83185" t="304165" r="24765" b="26035"/>
                <wp:wrapNone/>
                <wp:docPr id="103" name="矩形标注 103"/>
                <wp:cNvGraphicFramePr/>
                <a:graphic xmlns:a="http://schemas.openxmlformats.org/drawingml/2006/main">
                  <a:graphicData uri="http://schemas.microsoft.com/office/word/2010/wordprocessingShape">
                    <wps:wsp>
                      <wps:cNvSpPr/>
                      <wps:spPr>
                        <a:xfrm>
                          <a:off x="0" y="0"/>
                          <a:ext cx="1492250" cy="603250"/>
                        </a:xfrm>
                        <a:prstGeom prst="wedgeRectCallout">
                          <a:avLst>
                            <a:gd name="adj1" fmla="val -54723"/>
                            <a:gd name="adj2" fmla="val -98315"/>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AC2ADDB">
                            <w:pPr>
                              <w:jc w:val="center"/>
                              <w:rPr>
                                <w:rFonts w:hint="default" w:eastAsiaTheme="minorEastAsia"/>
                                <w:b/>
                                <w:bCs/>
                                <w:color w:val="FF0000"/>
                                <w:sz w:val="32"/>
                                <w:szCs w:val="40"/>
                                <w:lang w:val="en-US" w:eastAsia="zh-CN"/>
                              </w:rPr>
                            </w:pPr>
                            <w:r>
                              <w:rPr>
                                <w:rFonts w:hint="eastAsia"/>
                                <w:b/>
                                <w:bCs/>
                                <w:color w:val="FF0000"/>
                                <w:sz w:val="32"/>
                                <w:szCs w:val="4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6.9pt;margin-top:394.35pt;height:47.5pt;width:117.5pt;z-index:251720704;v-text-anchor:middle;mso-width-relative:page;mso-height-relative:page;" filled="f" stroked="t" coordsize="21600,21600" o:gfxdata="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BwN9ZbaAAAACwEAAA8AAAAAAAAAAQAgAAAAIgAAAGRycy9kb3ducmV2LnhtbFBL&#10;AQIUABQAAAAIAIdO4kBw/q/OnwIAACgFAAAOAAAAAAAAAAEAIAAAACkBAABkcnMvZTJvRG9jLnht&#10;bFBLBQYAAAAABgAGAFkBAAA6BgAAAAA=&#10;" adj="-1020,-10436">
                <v:fill on="f" focussize="0,0"/>
                <v:stroke weight="2pt" color="#FF0000 [2404]" joinstyle="round"/>
                <v:imagedata o:title=""/>
                <o:lock v:ext="edit" aspectratio="f"/>
                <v:textbox>
                  <w:txbxContent>
                    <w:p w14:paraId="1AC2ADDB">
                      <w:pPr>
                        <w:jc w:val="center"/>
                        <w:rPr>
                          <w:rFonts w:hint="default" w:eastAsiaTheme="minorEastAsia"/>
                          <w:b/>
                          <w:bCs/>
                          <w:color w:val="FF0000"/>
                          <w:sz w:val="32"/>
                          <w:szCs w:val="40"/>
                          <w:lang w:val="en-US" w:eastAsia="zh-CN"/>
                        </w:rPr>
                      </w:pPr>
                      <w:r>
                        <w:rPr>
                          <w:rFonts w:hint="eastAsia"/>
                          <w:b/>
                          <w:bCs/>
                          <w:color w:val="FF0000"/>
                          <w:sz w:val="32"/>
                          <w:szCs w:val="40"/>
                          <w:lang w:val="en-US" w:eastAsia="zh-CN"/>
                        </w:rPr>
                        <w:t>项目所在地</w:t>
                      </w:r>
                    </w:p>
                  </w:txbxContent>
                </v:textbox>
              </v:shape>
            </w:pict>
          </mc:Fallback>
        </mc:AlternateContent>
      </w:r>
      <w:r>
        <w:rPr>
          <w:color w:val="auto"/>
          <w:sz w:val="21"/>
        </w:rPr>
        <mc:AlternateContent>
          <mc:Choice Requires="wps">
            <w:drawing>
              <wp:anchor distT="0" distB="0" distL="114300" distR="114300" simplePos="0" relativeHeight="251719680" behindDoc="0" locked="0" layoutInCell="1" allowOverlap="1">
                <wp:simplePos x="0" y="0"/>
                <wp:positionH relativeFrom="column">
                  <wp:posOffset>3883660</wp:posOffset>
                </wp:positionH>
                <wp:positionV relativeFrom="paragraph">
                  <wp:posOffset>4545965</wp:posOffset>
                </wp:positionV>
                <wp:extent cx="92075" cy="262890"/>
                <wp:effectExtent l="36830" t="19050" r="42545" b="22860"/>
                <wp:wrapNone/>
                <wp:docPr id="112" name="矩形 112"/>
                <wp:cNvGraphicFramePr/>
                <a:graphic xmlns:a="http://schemas.openxmlformats.org/drawingml/2006/main">
                  <a:graphicData uri="http://schemas.microsoft.com/office/word/2010/wordprocessingShape">
                    <wps:wsp>
                      <wps:cNvSpPr/>
                      <wps:spPr>
                        <a:xfrm rot="660000">
                          <a:off x="0" y="0"/>
                          <a:ext cx="92075" cy="26289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8pt;margin-top:357.95pt;height:20.7pt;width:7.25pt;rotation:720896f;z-index:251719680;v-text-anchor:middle;mso-width-relative:page;mso-height-relative:page;" fillcolor="#FF0000" filled="t" stroked="t" coordsize="21600,21600" o:gfxdata="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elkXrNwAAAALAQAADwAAAAAAAAABACAAAAAiAAAAZHJzL2Rvd25y&#10;ZXYueG1sUEsBAhQAFAAAAAgAh07iQCB2BmJsAgAA7AQAAA4AAAAAAAAAAQAgAAAAKwEAAGRycy9l&#10;Mm9Eb2MueG1sUEsFBgAAAAAGAAYAWQEAAAkGAAAAAA==&#10;">
                <v:fill on="t" focussize="0,0"/>
                <v:stroke weight="2pt" color="#000000 [3213]" joinstyle="round"/>
                <v:imagedata o:title=""/>
                <o:lock v:ext="edit" aspectratio="f"/>
              </v:rect>
            </w:pict>
          </mc:Fallback>
        </mc:AlternateContent>
      </w:r>
      <w:r>
        <w:rPr>
          <w:rFonts w:hint="default"/>
          <w:color w:val="auto"/>
          <w:highlight w:val="none"/>
          <w:lang w:val="en-US" w:eastAsia="zh-CN"/>
        </w:rPr>
        <w:drawing>
          <wp:inline distT="0" distB="0" distL="114300" distR="114300">
            <wp:extent cx="5690235" cy="7830820"/>
            <wp:effectExtent l="0" t="0" r="5715" b="17780"/>
            <wp:docPr id="113" name="图片 113" descr="提取自2、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提取自2、附图"/>
                    <pic:cNvPicPr>
                      <a:picLocks noChangeAspect="1"/>
                    </pic:cNvPicPr>
                  </pic:nvPicPr>
                  <pic:blipFill>
                    <a:blip r:embed="rId62"/>
                    <a:srcRect l="3451" t="5496" r="4509" b="4966"/>
                    <a:stretch>
                      <a:fillRect/>
                    </a:stretch>
                  </pic:blipFill>
                  <pic:spPr>
                    <a:xfrm>
                      <a:off x="0" y="0"/>
                      <a:ext cx="5690235" cy="7830820"/>
                    </a:xfrm>
                    <a:prstGeom prst="rect">
                      <a:avLst/>
                    </a:prstGeom>
                  </pic:spPr>
                </pic:pic>
              </a:graphicData>
            </a:graphic>
          </wp:inline>
        </w:drawing>
      </w:r>
    </w:p>
    <w:p w14:paraId="0FD6170E">
      <w:pPr>
        <w:jc w:val="center"/>
        <w:rPr>
          <w:rFonts w:hint="eastAsia" w:eastAsia="宋体"/>
          <w:color w:val="auto"/>
          <w:sz w:val="28"/>
          <w:szCs w:val="28"/>
          <w:lang w:eastAsia="zh-CN"/>
        </w:rPr>
      </w:pPr>
      <w:r>
        <w:rPr>
          <w:rFonts w:hint="default" w:ascii="Times New Roman" w:hAnsi="Times New Roman" w:cs="Times New Roman"/>
          <w:b/>
          <w:bCs/>
          <w:color w:val="auto"/>
          <w:highlight w:val="none"/>
          <w:lang w:val="en-US" w:eastAsia="zh-CN"/>
        </w:rPr>
        <w:t>附图</w:t>
      </w:r>
      <w:r>
        <w:rPr>
          <w:rFonts w:hint="eastAsia" w:ascii="Times New Roman" w:hAnsi="Times New Roman" w:cs="Times New Roman"/>
          <w:b/>
          <w:bCs/>
          <w:color w:val="auto"/>
          <w:highlight w:val="none"/>
          <w:lang w:val="en-US" w:eastAsia="zh-CN"/>
        </w:rPr>
        <w:t xml:space="preserve">9 </w:t>
      </w:r>
      <w:r>
        <w:rPr>
          <w:rFonts w:hint="default" w:ascii="Times New Roman" w:hAnsi="Times New Roman" w:cs="Times New Roman"/>
          <w:b/>
          <w:bCs/>
          <w:color w:val="auto"/>
          <w:highlight w:val="none"/>
          <w:lang w:val="en-US" w:eastAsia="zh-CN"/>
        </w:rPr>
        <w:t>园区土地利用规划图</w:t>
      </w:r>
    </w:p>
    <w:p w14:paraId="0B3A8992">
      <w:pPr>
        <w:rPr>
          <w:rFonts w:hint="default"/>
          <w:color w:val="auto"/>
          <w:lang w:val="en-US" w:eastAsia="zh-CN"/>
        </w:rPr>
      </w:pPr>
    </w:p>
    <w:p w14:paraId="35F343E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lang w:val="en-US"/>
        </w:rPr>
      </w:pPr>
    </w:p>
    <w:p w14:paraId="26EC51FA"/>
    <w:p w14:paraId="79755548"/>
    <w:p w14:paraId="69EC657B"/>
    <w:p w14:paraId="0A1D9A74"/>
    <w:sectPr>
      <w:pgSz w:w="11906" w:h="16838"/>
      <w:pgMar w:top="1701" w:right="1531" w:bottom="1701" w:left="1531" w:header="851" w:footer="851"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0"/>
    <w:family w:val="auto"/>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Cambria">
    <w:altName w:val="FreeSerif"/>
    <w:panose1 w:val="02040503050406030204"/>
    <w:charset w:val="00"/>
    <w:family w:val="roman"/>
    <w:pitch w:val="default"/>
    <w:sig w:usb0="00000000" w:usb1="00000000" w:usb2="02000000" w:usb3="00000000" w:csb0="2000019F" w:csb1="00000000"/>
  </w:font>
  <w:font w:name="FreeSerif">
    <w:panose1 w:val="02020603050405020304"/>
    <w:charset w:val="00"/>
    <w:family w:val="auto"/>
    <w:pitch w:val="default"/>
    <w:sig w:usb0="E59FAFFF" w:usb1="C200FDFF" w:usb2="43501B29" w:usb3="04000043" w:csb0="600101FF" w:csb1="FFFF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MathJax_Vector">
    <w:panose1 w:val="02000603000000000000"/>
    <w:charset w:val="00"/>
    <w:family w:val="auto"/>
    <w:pitch w:val="default"/>
    <w:sig w:usb0="00000001" w:usb1="00000020" w:usb2="00000000" w:usb3="00000000" w:csb0="00000001" w:csb1="00000000"/>
  </w:font>
  <w:font w:name="ˎ̥">
    <w:altName w:val="华文仿宋"/>
    <w:panose1 w:val="00000000000000000000"/>
    <w:charset w:val="00"/>
    <w:family w:val="roman"/>
    <w:pitch w:val="default"/>
    <w:sig w:usb0="00000000" w:usb1="00000000" w:usb2="00000000" w:usb3="00000000" w:csb0="00040001" w:csb1="00000000"/>
  </w:font>
  <w:font w:name="华文仿宋">
    <w:panose1 w:val="02010600040101010101"/>
    <w:charset w:val="86"/>
    <w:family w:val="auto"/>
    <w:pitch w:val="default"/>
    <w:sig w:usb0="00000287" w:usb1="080F0000" w:usb2="00000000" w:usb3="00000000" w:csb0="0004009F" w:csb1="DFD70000"/>
  </w:font>
  <w:font w:name="楷体_GB2312">
    <w:altName w:val="方正楷体_GBK"/>
    <w:panose1 w:val="02010609030101010101"/>
    <w:charset w:val="86"/>
    <w:family w:val="modern"/>
    <w:pitch w:val="default"/>
    <w:sig w:usb0="00000000" w:usb1="00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 w:name="Arial Black">
    <w:altName w:val="DejaVu Sans"/>
    <w:panose1 w:val="020B0A04020102020204"/>
    <w:charset w:val="00"/>
    <w:family w:val="swiss"/>
    <w:pitch w:val="default"/>
    <w:sig w:usb0="00000000" w:usb1="00000000" w:usb2="00000000" w:usb3="00000000" w:csb0="6000009F" w:csb1="DFD70000"/>
  </w:font>
  <w:font w:name="微软雅黑">
    <w:altName w:val="方正黑体_GBK"/>
    <w:panose1 w:val="020B0503020204020204"/>
    <w:charset w:val="86"/>
    <w:family w:val="swiss"/>
    <w:pitch w:val="default"/>
    <w:sig w:usb0="00000000" w:usb1="00000000" w:usb2="00000016" w:usb3="00000000" w:csb0="0004001F" w:csb1="00000000"/>
  </w:font>
  <w:font w:name="TimesNewRomanPS-ItalicMT">
    <w:altName w:val="DejaVu Sans"/>
    <w:panose1 w:val="00000000000000000000"/>
    <w:charset w:val="00"/>
    <w:family w:val="roman"/>
    <w:pitch w:val="default"/>
    <w:sig w:usb0="00000000" w:usb1="00000000" w:usb2="00000000" w:usb3="00000000" w:csb0="00040001" w:csb1="00000000"/>
  </w:font>
  <w:font w:name="Calibri Light">
    <w:altName w:val="DejaVu Sans"/>
    <w:panose1 w:val="020F0302020204030204"/>
    <w:charset w:val="00"/>
    <w:family w:val="swiss"/>
    <w:pitch w:val="default"/>
    <w:sig w:usb0="00000000" w:usb1="00000000" w:usb2="00000009" w:usb3="00000000" w:csb0="200001FF" w:csb1="00000000"/>
  </w:font>
  <w:font w:name="宋体-方正超大字符集">
    <w:altName w:val="方正书宋_GBK"/>
    <w:panose1 w:val="00000000000000000000"/>
    <w:charset w:val="86"/>
    <w:family w:val="script"/>
    <w:pitch w:val="default"/>
    <w:sig w:usb0="00000000" w:usb1="00000000" w:usb2="00000010" w:usb3="00000000" w:csb0="00040000" w:csb1="00000000"/>
  </w:font>
  <w:font w:name="Arial Unicode MS">
    <w:altName w:val="DejaVu Sans"/>
    <w:panose1 w:val="020B0604020202020204"/>
    <w:charset w:val="86"/>
    <w:family w:val="swiss"/>
    <w:pitch w:val="default"/>
    <w:sig w:usb0="00000000" w:usb1="00000000" w:usb2="0000003F" w:usb3="00000000" w:csb0="603F01FF" w:csb1="FFFF0000"/>
  </w:font>
  <w:font w:name="华文细黑">
    <w:panose1 w:val="02010600040101010101"/>
    <w:charset w:val="86"/>
    <w:family w:val="auto"/>
    <w:pitch w:val="default"/>
    <w:sig w:usb0="00000287" w:usb1="080F0000" w:usb2="00000000" w:usb3="00000000" w:csb0="0004009F" w:csb1="DFD70000"/>
  </w:font>
  <w:font w:name="MS Mincho">
    <w:altName w:val="方正书宋_GBK"/>
    <w:panose1 w:val="02020609040205080304"/>
    <w:charset w:val="80"/>
    <w:family w:val="modern"/>
    <w:pitch w:val="default"/>
    <w:sig w:usb0="00000000" w:usb1="00000000" w:usb2="00000010" w:usb3="00000000" w:csb0="4002009F" w:csb1="DFD70000"/>
  </w:font>
  <w:font w:name="Verdana">
    <w:altName w:val="Ubuntu Light"/>
    <w:panose1 w:val="020B0604030504040204"/>
    <w:charset w:val="00"/>
    <w:family w:val="swiss"/>
    <w:pitch w:val="default"/>
    <w:sig w:usb0="00000000" w:usb1="00000000" w:usb2="00000010" w:usb3="00000000" w:csb0="2000019F" w:csb1="00000000"/>
  </w:font>
  <w:font w:name="Ubuntu Light">
    <w:panose1 w:val="020B0604030602030204"/>
    <w:charset w:val="00"/>
    <w:family w:val="auto"/>
    <w:pitch w:val="default"/>
    <w:sig w:usb0="E00002FF" w:usb1="5000205B" w:usb2="00000000" w:usb3="00000000" w:csb0="2000009F" w:csb1="56010000"/>
  </w:font>
  <w:font w:name="Tahoma">
    <w:altName w:val="noto sans thai"/>
    <w:panose1 w:val="020B0604030504040204"/>
    <w:charset w:val="00"/>
    <w:family w:val="swiss"/>
    <w:pitch w:val="default"/>
    <w:sig w:usb0="00000000" w:usb1="00000000" w:usb2="00000029" w:usb3="00000000" w:csb0="200101FF" w:csb1="20280000"/>
  </w:font>
  <w:font w:name="noto sans thai">
    <w:panose1 w:val="020B0502040504020204"/>
    <w:charset w:val="00"/>
    <w:family w:val="auto"/>
    <w:pitch w:val="default"/>
    <w:sig w:usb0="81000063" w:usb1="00002000" w:usb2="00000000" w:usb3="00000000" w:csb0="00010000" w:csb1="00000000"/>
  </w:font>
  <w:font w:name="华文中宋">
    <w:altName w:val="汉仪中宋简"/>
    <w:panose1 w:val="02010600040101010101"/>
    <w:charset w:val="86"/>
    <w:family w:val="auto"/>
    <w:pitch w:val="default"/>
    <w:sig w:usb0="00000000" w:usb1="00000000" w:usb2="00000000" w:usb3="00000000" w:csb0="0004009F" w:csb1="DFD70000"/>
  </w:font>
  <w:font w:name="汉仪中宋简">
    <w:panose1 w:val="02010600000101010101"/>
    <w:charset w:val="86"/>
    <w:family w:val="auto"/>
    <w:pitch w:val="default"/>
    <w:sig w:usb0="00000001" w:usb1="080E0800" w:usb2="00000002" w:usb3="00000000" w:csb0="00040000" w:csb1="00000000"/>
  </w:font>
  <w:font w:name="”“Times New Roman”“">
    <w:altName w:val="DejaVu Sans"/>
    <w:panose1 w:val="00000000000000000000"/>
    <w:charset w:val="86"/>
    <w:family w:val="roman"/>
    <w:pitch w:val="default"/>
    <w:sig w:usb0="00000000" w:usb1="00000000" w:usb2="00000010" w:usb3="00000000" w:csb0="00040000" w:csb1="00000000"/>
  </w:font>
  <w:font w:name="Sim Sun+ 2">
    <w:altName w:val="华文仿宋"/>
    <w:panose1 w:val="00000000000000000000"/>
    <w:charset w:val="86"/>
    <w:family w:val="swiss"/>
    <w:pitch w:val="default"/>
    <w:sig w:usb0="00000000" w:usb1="00000000" w:usb2="00000010" w:usb3="00000000" w:csb0="00040000" w:csb1="00000000"/>
  </w:font>
  <w:font w:name="Courier">
    <w:altName w:val="Liberation Mono"/>
    <w:panose1 w:val="02060409020205020404"/>
    <w:charset w:val="00"/>
    <w:family w:val="modern"/>
    <w:pitch w:val="default"/>
    <w:sig w:usb0="00000000" w:usb1="00000000" w:usb2="00000000" w:usb3="00000000" w:csb0="00000093" w:csb1="00000000"/>
  </w:font>
  <w:font w:name="Liberation Mono">
    <w:panose1 w:val="02070409020205020404"/>
    <w:charset w:val="00"/>
    <w:family w:val="auto"/>
    <w:pitch w:val="default"/>
    <w:sig w:usb0="A00002AF" w:usb1="400078FB" w:usb2="00000000" w:usb3="00000000" w:csb0="6000009F" w:csb1="DFD70000"/>
  </w:font>
  <w:font w:name="PMingLiU">
    <w:altName w:val="Droid Sans Fallback"/>
    <w:panose1 w:val="02020500000000000000"/>
    <w:charset w:val="88"/>
    <w:family w:val="roman"/>
    <w:pitch w:val="default"/>
    <w:sig w:usb0="00000000" w:usb1="00000000" w:usb2="00000016" w:usb3="00000000" w:csb0="00100001" w:csb1="00000000"/>
  </w:font>
  <w:font w:name="Droid Sans Fallback">
    <w:panose1 w:val="020B0502000000000001"/>
    <w:charset w:val="86"/>
    <w:family w:val="auto"/>
    <w:pitch w:val="default"/>
    <w:sig w:usb0="910002FF" w:usb1="2BDFFCFB" w:usb2="00000036" w:usb3="00000000" w:csb0="203F01FF" w:csb1="D7FF0000"/>
  </w:font>
  <w:font w:name="Tms Rmn">
    <w:altName w:val="FreeSerif"/>
    <w:panose1 w:val="02020603040505020304"/>
    <w:charset w:val="00"/>
    <w:family w:val="roman"/>
    <w:pitch w:val="default"/>
    <w:sig w:usb0="00000000" w:usb1="00000000" w:usb2="00000000" w:usb3="00000000" w:csb0="00000001" w:csb1="00000000"/>
  </w:font>
  <w:font w:name="汉鼎简书宋">
    <w:altName w:val="方正书宋_GBK"/>
    <w:panose1 w:val="00000000000000000000"/>
    <w:charset w:val="86"/>
    <w:family w:val="modern"/>
    <w:pitch w:val="default"/>
    <w:sig w:usb0="00000000" w:usb1="00000000" w:usb2="00000010" w:usb3="00000000" w:csb0="00040000" w:csb1="00000000"/>
  </w:font>
  <w:font w:name="方正宋三简体">
    <w:altName w:val="方正书宋_GBK"/>
    <w:panose1 w:val="00000000000000000000"/>
    <w:charset w:val="86"/>
    <w:family w:val="auto"/>
    <w:pitch w:val="default"/>
    <w:sig w:usb0="00000000" w:usb1="00000000" w:usb2="00000010" w:usb3="00000000" w:csb0="00040000" w:csb1="00000000"/>
  </w:font>
  <w:font w:name="Fang Song">
    <w:altName w:val="华文仿宋"/>
    <w:panose1 w:val="00000000000000000000"/>
    <w:charset w:val="86"/>
    <w:family w:val="modern"/>
    <w:pitch w:val="default"/>
    <w:sig w:usb0="00000000" w:usb1="00000000" w:usb2="00000010" w:usb3="00000000" w:csb0="00040000" w:csb1="00000000"/>
  </w:font>
  <w:font w:name="TimesNewRomanPSMT">
    <w:altName w:val="DejaVu Sans"/>
    <w:panose1 w:val="00000000000000000000"/>
    <w:charset w:val="00"/>
    <w:family w:val="roman"/>
    <w:pitch w:val="default"/>
    <w:sig w:usb0="00000000" w:usb1="00000000" w:usb2="00000000" w:usb3="00000000" w:csb0="00000001" w:csb1="00000000"/>
  </w:font>
  <w:font w:name="方正小标宋_GBK">
    <w:panose1 w:val="02000000000000000000"/>
    <w:charset w:val="86"/>
    <w:family w:val="script"/>
    <w:pitch w:val="default"/>
    <w:sig w:usb0="00000001" w:usb1="08000000" w:usb2="00000000" w:usb3="00000000" w:csb0="00040000" w:csb1="00000000"/>
  </w:font>
  <w:font w:name="仿宋">
    <w:altName w:val="方正仿宋_GBK"/>
    <w:panose1 w:val="02010609060101010101"/>
    <w:charset w:val="86"/>
    <w:family w:val="auto"/>
    <w:pitch w:val="default"/>
    <w:sig w:usb0="00000000" w:usb1="00000000" w:usb2="00000016" w:usb3="00000000" w:csb0="00040001" w:csb1="00000000"/>
  </w:font>
  <w:font w:name="Wingdings 2">
    <w:altName w:val="MathJax_Vector"/>
    <w:panose1 w:val="05020102010507070707"/>
    <w:charset w:val="02"/>
    <w:family w:val="roman"/>
    <w:pitch w:val="default"/>
    <w:sig w:usb0="00000000" w:usb1="00000000" w:usb2="00000000" w:usb3="00000000" w:csb0="80000000" w:csb1="00000000"/>
  </w:font>
  <w:font w:name="等线">
    <w:altName w:val="Noto Sans CJK SC"/>
    <w:panose1 w:val="02010600030101010101"/>
    <w:charset w:val="86"/>
    <w:family w:val="auto"/>
    <w:pitch w:val="default"/>
    <w:sig w:usb0="00000000" w:usb1="00000000" w:usb2="00000016" w:usb3="00000000" w:csb0="0004000F" w:csb1="00000000"/>
  </w:font>
  <w:font w:name="Noto Sans CJK SC">
    <w:panose1 w:val="020B0500000000000000"/>
    <w:charset w:val="86"/>
    <w:family w:val="auto"/>
    <w:pitch w:val="default"/>
    <w:sig w:usb0="30000083" w:usb1="2BDF3C10" w:usb2="00000016" w:usb3="00000000" w:csb0="602E0107" w:csb1="00000000"/>
  </w:font>
  <w:font w:name="Kingsoft UE">
    <w:panose1 w:val="02000100010000000000"/>
    <w:charset w:val="00"/>
    <w:family w:val="auto"/>
    <w:pitch w:val="default"/>
    <w:sig w:usb0="00000001" w:usb1="00004000" w:usb2="00000000" w:usb3="00000000" w:csb0="00000001" w:csb1="00000000"/>
  </w:font>
  <w:font w:name="FreeMono">
    <w:panose1 w:val="020F0409020205020404"/>
    <w:charset w:val="00"/>
    <w:family w:val="auto"/>
    <w:pitch w:val="default"/>
    <w:sig w:usb0="E4002EFF" w:usb1="C2007FFF" w:usb2="00209028" w:usb3="00100000" w:csb0="6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392B4D">
    <w:pPr>
      <w:pStyle w:val="52"/>
      <w:ind w:right="360" w:firstLine="360"/>
      <w:jc w:val="center"/>
    </w:pPr>
    <w:r>
      <w:rPr>
        <w:sz w:val="18"/>
      </w:rPr>
      <mc:AlternateContent>
        <mc:Choice Requires="wps">
          <w:drawing>
            <wp:anchor distT="0" distB="0" distL="114300" distR="114300" simplePos="0" relativeHeight="251729920" behindDoc="0" locked="0" layoutInCell="1" allowOverlap="1">
              <wp:simplePos x="0" y="0"/>
              <wp:positionH relativeFrom="margin">
                <wp:align>center</wp:align>
              </wp:positionH>
              <wp:positionV relativeFrom="paragraph">
                <wp:posOffset>-184150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BDC77E">
                          <w:pPr>
                            <w:pStyle w:val="52"/>
                            <w:jc w:val="right"/>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11</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4.5pt;height:144pt;width:144pt;mso-position-horizontal:center;mso-position-horizontal-relative:margin;mso-wrap-style:none;z-index:251729920;mso-width-relative:page;mso-height-relative:page;" filled="f" stroked="f" coordsize="21600,21600" o:gfxdata="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za8UpdQAAAAIAQAADwAAAAAAAAABACAAAAAiAAAAZHJzL2Rvd25yZXYueG1sUEsB&#10;AhQAFAAAAAgAh07iQH+OrREyAgAAYQQAAA4AAAAAAAAAAQAgAAAAIwEAAGRycy9lMm9Eb2MueG1s&#10;UEsFBgAAAAAGAAYAWQEAAMcFAAAAAA==&#10;">
              <v:fill on="f" focussize="0,0"/>
              <v:stroke on="f" weight="0.5pt"/>
              <v:imagedata o:title=""/>
              <o:lock v:ext="edit" aspectratio="f"/>
              <v:textbox inset="0mm,0mm,0mm,0mm" style="mso-fit-shape-to-text:t;">
                <w:txbxContent>
                  <w:p w14:paraId="0ABDC77E">
                    <w:pPr>
                      <w:pStyle w:val="52"/>
                      <w:jc w:val="right"/>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11</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A199FA">
    <w:pPr>
      <w:pStyle w:val="52"/>
      <w:ind w:right="360" w:firstLine="360"/>
    </w:pPr>
    <w:r>
      <w:rPr>
        <w:sz w:val="18"/>
      </w:rPr>
      <mc:AlternateContent>
        <mc:Choice Requires="wps">
          <w:drawing>
            <wp:anchor distT="0" distB="0" distL="114300" distR="114300" simplePos="0" relativeHeight="251730944" behindDoc="0" locked="0" layoutInCell="1" allowOverlap="1">
              <wp:simplePos x="0" y="0"/>
              <wp:positionH relativeFrom="margin">
                <wp:align>center</wp:align>
              </wp:positionH>
              <wp:positionV relativeFrom="paragraph">
                <wp:posOffset>-184150</wp:posOffset>
              </wp:positionV>
              <wp:extent cx="1828800" cy="182880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39E1C0">
                          <w:pPr>
                            <w:pStyle w:val="52"/>
                            <w:jc w:val="right"/>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10</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4.5pt;height:144pt;width:144pt;mso-position-horizontal:center;mso-position-horizontal-relative:margin;mso-wrap-style:none;z-index:251730944;mso-width-relative:page;mso-height-relative:page;" filled="f" stroked="f" coordsize="21600,21600" o:gfxdata="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2vFKXUAAAACAEAAA8AAAAAAAAAAQAgAAAAIgAAAGRycy9kb3ducmV2LnhtbFBL&#10;AQIUABQAAAAIAIdO4kCwRFOoMwIAAGUEAAAOAAAAAAAAAAEAIAAAACMBAABkcnMvZTJvRG9jLnht&#10;bFBLBQYAAAAABgAGAFkBAADIBQAAAAA=&#10;">
              <v:fill on="f" focussize="0,0"/>
              <v:stroke on="f" weight="0.5pt"/>
              <v:imagedata o:title=""/>
              <o:lock v:ext="edit" aspectratio="f"/>
              <v:textbox inset="0mm,0mm,0mm,0mm" style="mso-fit-shape-to-text:t;">
                <w:txbxContent>
                  <w:p w14:paraId="0C39E1C0">
                    <w:pPr>
                      <w:pStyle w:val="52"/>
                      <w:jc w:val="right"/>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10</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F7CEB7">
    <w:pPr>
      <w:pStyle w:val="52"/>
      <w:ind w:right="360" w:firstLine="360"/>
      <w:jc w:val="center"/>
    </w:pPr>
    <w:r>
      <w:rPr>
        <w:sz w:val="18"/>
      </w:rPr>
      <mc:AlternateContent>
        <mc:Choice Requires="wps">
          <w:drawing>
            <wp:anchor distT="0" distB="0" distL="114300" distR="114300" simplePos="0" relativeHeight="251731968" behindDoc="0" locked="0" layoutInCell="1" allowOverlap="1">
              <wp:simplePos x="0" y="0"/>
              <wp:positionH relativeFrom="margin">
                <wp:align>center</wp:align>
              </wp:positionH>
              <wp:positionV relativeFrom="paragraph">
                <wp:posOffset>-184150</wp:posOffset>
              </wp:positionV>
              <wp:extent cx="1828800" cy="182880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F165E6">
                          <w:pPr>
                            <w:pStyle w:val="52"/>
                            <w:jc w:val="right"/>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11</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4.5pt;height:144pt;width:144pt;mso-position-horizontal:center;mso-position-horizontal-relative:margin;mso-wrap-style:none;z-index:251731968;mso-width-relative:page;mso-height-relative:page;" filled="f" stroked="f" coordsize="21600,21600" o:gfxdata="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za8UpdQAAAAIAQAADwAAAAAAAAABACAAAAAiAAAAZHJzL2Rvd25yZXYueG1sUEsB&#10;AhQAFAAAAAgAh07iQJY3JWoyAgAAZQQAAA4AAAAAAAAAAQAgAAAAIwEAAGRycy9lMm9Eb2MueG1s&#10;UEsFBgAAAAAGAAYAWQEAAMcFAAAAAA==&#10;">
              <v:fill on="f" focussize="0,0"/>
              <v:stroke on="f" weight="0.5pt"/>
              <v:imagedata o:title=""/>
              <o:lock v:ext="edit" aspectratio="f"/>
              <v:textbox inset="0mm,0mm,0mm,0mm" style="mso-fit-shape-to-text:t;">
                <w:txbxContent>
                  <w:p w14:paraId="6FF165E6">
                    <w:pPr>
                      <w:pStyle w:val="52"/>
                      <w:jc w:val="right"/>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11</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87355">
    <w:pPr>
      <w:pStyle w:val="52"/>
      <w:ind w:right="360" w:firstLine="360"/>
      <w:jc w:val="center"/>
    </w:pPr>
    <w:r>
      <w:rPr>
        <w:sz w:val="18"/>
      </w:rPr>
      <mc:AlternateContent>
        <mc:Choice Requires="wps">
          <w:drawing>
            <wp:anchor distT="0" distB="0" distL="114300" distR="114300" simplePos="0" relativeHeight="251732992" behindDoc="0" locked="0" layoutInCell="1" allowOverlap="1">
              <wp:simplePos x="0" y="0"/>
              <wp:positionH relativeFrom="margin">
                <wp:align>center</wp:align>
              </wp:positionH>
              <wp:positionV relativeFrom="paragraph">
                <wp:posOffset>-184150</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2746DD">
                          <w:pPr>
                            <w:pStyle w:val="52"/>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67</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4.5pt;height:144pt;width:144pt;mso-position-horizontal:center;mso-position-horizontal-relative:margin;mso-wrap-style:none;z-index:251732992;mso-width-relative:page;mso-height-relative:page;" filled="f" stroked="f" coordsize="21600,21600" o:gfxdata="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2vFKXUAAAACAEAAA8AAAAAAAAAAQAgAAAAIgAAAGRycy9kb3ducmV2LnhtbFBL&#10;AQIUABQAAAAIAIdO4kBBb1GfMwIAAGUEAAAOAAAAAAAAAAEAIAAAACMBAABkcnMvZTJvRG9jLnht&#10;bFBLBQYAAAAABgAGAFkBAADIBQAAAAA=&#10;">
              <v:fill on="f" focussize="0,0"/>
              <v:stroke on="f" weight="0.5pt"/>
              <v:imagedata o:title=""/>
              <o:lock v:ext="edit" aspectratio="f"/>
              <v:textbox inset="0mm,0mm,0mm,0mm" style="mso-fit-shape-to-text:t;">
                <w:txbxContent>
                  <w:p w14:paraId="6B2746DD">
                    <w:pPr>
                      <w:pStyle w:val="52"/>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67</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1785DC">
    <w:pPr>
      <w:pStyle w:val="52"/>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-184150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80F6EC">
                          <w:pPr>
                            <w:pStyle w:val="52"/>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67</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4.5pt;height:144pt;width:144pt;mso-position-horizontal:center;mso-position-horizontal-relative:margin;mso-wrap-style:none;z-index:251662336;mso-width-relative:page;mso-height-relative:page;" filled="f" stroked="f" coordsize="21600,21600" o:gfxdata="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NrxSl1AAAAAgBAAAPAAAAAAAAAAEAIAAAACIAAABkcnMvZG93bnJldi54bWxQSwEC&#10;FAAUAAAACACHTuJA6wA4ejECAABjBAAADgAAAAAAAAABACAAAAAjAQAAZHJzL2Uyb0RvYy54bWxQ&#10;SwUGAAAAAAYABgBZAQAAxgUAAAAA&#10;">
              <v:fill on="f" focussize="0,0"/>
              <v:stroke on="f" weight="0.5pt"/>
              <v:imagedata o:title=""/>
              <o:lock v:ext="edit" aspectratio="f"/>
              <v:textbox inset="0mm,0mm,0mm,0mm" style="mso-fit-shape-to-text:t;">
                <w:txbxContent>
                  <w:p w14:paraId="1B80F6EC">
                    <w:pPr>
                      <w:pStyle w:val="52"/>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67</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19C7FC">
    <w:pPr>
      <w:pStyle w:val="52"/>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-184150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C7D3F5">
                          <w:pPr>
                            <w:pStyle w:val="52"/>
                            <w:jc w:val="right"/>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10</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4.5pt;height:144pt;width:144pt;mso-position-horizontal:center;mso-position-horizontal-relative:margin;mso-wrap-style:none;z-index:251660288;mso-width-relative:page;mso-height-relative:page;" filled="f" stroked="f" coordsize="21600,21600" o:gfxdata="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za8UpdQAAAAIAQAADwAAAAAAAAABACAAAAAiAAAAZHJzL2Rvd25yZXYueG1sUEsB&#10;AhQAFAAAAAgAh07iQAKVIPQyAgAAYQQAAA4AAAAAAAAAAQAgAAAAIwEAAGRycy9lMm9Eb2MueG1s&#10;UEsFBgAAAAAGAAYAWQEAAMcFAAAAAA==&#10;">
              <v:fill on="f" focussize="0,0"/>
              <v:stroke on="f" weight="0.5pt"/>
              <v:imagedata o:title=""/>
              <o:lock v:ext="edit" aspectratio="f"/>
              <v:textbox inset="0mm,0mm,0mm,0mm" style="mso-fit-shape-to-text:t;">
                <w:txbxContent>
                  <w:p w14:paraId="7FC7D3F5">
                    <w:pPr>
                      <w:pStyle w:val="52"/>
                      <w:jc w:val="right"/>
                      <w:rPr>
                        <w:rStyle w:val="92"/>
                        <w:rFonts w:ascii="宋体" w:hAnsi="宋体"/>
                        <w:sz w:val="28"/>
                        <w:szCs w:val="28"/>
                      </w:rPr>
                    </w:pPr>
                    <w:r>
                      <w:rPr>
                        <w:rStyle w:val="92"/>
                        <w:rFonts w:hint="eastAsia" w:ascii="宋体" w:hAnsi="宋体"/>
                        <w:sz w:val="28"/>
                        <w:szCs w:val="28"/>
                      </w:rPr>
                      <w:t>—</w:t>
                    </w:r>
                    <w:r>
                      <w:rPr>
                        <w:rStyle w:val="92"/>
                        <w:rFonts w:hint="eastAsia" w:ascii="宋体" w:hAnsi="宋体"/>
                        <w:sz w:val="20"/>
                      </w:rPr>
                      <w:t xml:space="preserve">  </w:t>
                    </w:r>
                    <w:r>
                      <w:rPr>
                        <w:rFonts w:ascii="宋体" w:hAnsi="宋体"/>
                        <w:sz w:val="26"/>
                        <w:szCs w:val="26"/>
                      </w:rPr>
                      <w:fldChar w:fldCharType="begin"/>
                    </w:r>
                    <w:r>
                      <w:rPr>
                        <w:rStyle w:val="92"/>
                        <w:rFonts w:ascii="宋体" w:hAnsi="宋体"/>
                        <w:sz w:val="26"/>
                        <w:szCs w:val="26"/>
                      </w:rPr>
                      <w:instrText xml:space="preserve">PAGE  </w:instrText>
                    </w:r>
                    <w:r>
                      <w:rPr>
                        <w:rFonts w:ascii="宋体" w:hAnsi="宋体"/>
                        <w:sz w:val="26"/>
                        <w:szCs w:val="26"/>
                      </w:rPr>
                      <w:fldChar w:fldCharType="separate"/>
                    </w:r>
                    <w:r>
                      <w:rPr>
                        <w:rStyle w:val="92"/>
                        <w:rFonts w:ascii="宋体" w:hAnsi="宋体"/>
                        <w:sz w:val="26"/>
                        <w:szCs w:val="26"/>
                      </w:rPr>
                      <w:t>10</w:t>
                    </w:r>
                    <w:r>
                      <w:rPr>
                        <w:rFonts w:ascii="宋体" w:hAnsi="宋体"/>
                        <w:sz w:val="26"/>
                        <w:szCs w:val="26"/>
                      </w:rPr>
                      <w:fldChar w:fldCharType="end"/>
                    </w:r>
                    <w:r>
                      <w:rPr>
                        <w:rStyle w:val="92"/>
                        <w:rFonts w:hint="eastAsia" w:ascii="宋体" w:hAnsi="宋体"/>
                        <w:sz w:val="20"/>
                      </w:rPr>
                      <w:t xml:space="preserve">  </w:t>
                    </w:r>
                    <w:r>
                      <w:rPr>
                        <w:rStyle w:val="92"/>
                        <w:rFonts w:hint="eastAsia" w:ascii="宋体" w:hAnsi="宋体"/>
                        <w:sz w:val="28"/>
                        <w:szCs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9"/>
    <w:multiLevelType w:val="singleLevel"/>
    <w:tmpl w:val="FFFFFF89"/>
    <w:lvl w:ilvl="0" w:tentative="0">
      <w:start w:val="1"/>
      <w:numFmt w:val="bullet"/>
      <w:pStyle w:val="25"/>
      <w:lvlText w:val=""/>
      <w:lvlJc w:val="left"/>
      <w:pPr>
        <w:tabs>
          <w:tab w:val="left" w:pos="360"/>
        </w:tabs>
        <w:ind w:left="360" w:hanging="360"/>
      </w:pPr>
      <w:rPr>
        <w:rFonts w:hint="default" w:ascii="Wingdings" w:hAnsi="Wingdings"/>
      </w:rPr>
    </w:lvl>
  </w:abstractNum>
  <w:abstractNum w:abstractNumId="1">
    <w:nsid w:val="00000001"/>
    <w:multiLevelType w:val="multilevel"/>
    <w:tmpl w:val="00000001"/>
    <w:lvl w:ilvl="0" w:tentative="0">
      <w:start w:val="1"/>
      <w:numFmt w:val="decimalEnclosedCircle"/>
      <w:pStyle w:val="326"/>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05"/>
    <w:multiLevelType w:val="multilevel"/>
    <w:tmpl w:val="00000005"/>
    <w:lvl w:ilvl="0" w:tentative="0">
      <w:start w:val="1"/>
      <w:numFmt w:val="decimalEnclosedCircle"/>
      <w:pStyle w:val="1207"/>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16"/>
    <w:multiLevelType w:val="multilevel"/>
    <w:tmpl w:val="00000016"/>
    <w:lvl w:ilvl="0" w:tentative="0">
      <w:start w:val="1"/>
      <w:numFmt w:val="decimal"/>
      <w:pStyle w:val="852"/>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1D31CB4"/>
    <w:multiLevelType w:val="multilevel"/>
    <w:tmpl w:val="01D31CB4"/>
    <w:lvl w:ilvl="0" w:tentative="0">
      <w:start w:val="1"/>
      <w:numFmt w:val="decimal"/>
      <w:pStyle w:val="1232"/>
      <w:lvlText w:val="表7.2 -%1"/>
      <w:lvlJc w:val="center"/>
      <w:pPr>
        <w:tabs>
          <w:tab w:val="left" w:pos="726"/>
        </w:tabs>
        <w:ind w:left="2"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2E7176C"/>
    <w:multiLevelType w:val="singleLevel"/>
    <w:tmpl w:val="02E7176C"/>
    <w:lvl w:ilvl="0" w:tentative="0">
      <w:start w:val="1"/>
      <w:numFmt w:val="bullet"/>
      <w:pStyle w:val="1155"/>
      <w:lvlText w:val=""/>
      <w:lvlJc w:val="left"/>
      <w:pPr>
        <w:tabs>
          <w:tab w:val="left" w:pos="504"/>
        </w:tabs>
        <w:ind w:left="72" w:firstLine="72"/>
      </w:pPr>
      <w:rPr>
        <w:rFonts w:hint="default" w:ascii="Wingdings" w:hAnsi="Wingdings"/>
        <w:spacing w:val="0"/>
        <w:w w:val="100"/>
        <w:kern w:val="0"/>
        <w:position w:val="0"/>
        <w:sz w:val="28"/>
      </w:rPr>
    </w:lvl>
  </w:abstractNum>
  <w:abstractNum w:abstractNumId="6">
    <w:nsid w:val="0BBD0933"/>
    <w:multiLevelType w:val="multilevel"/>
    <w:tmpl w:val="0BBD0933"/>
    <w:lvl w:ilvl="0" w:tentative="0">
      <w:start w:val="4"/>
      <w:numFmt w:val="decimal"/>
      <w:pStyle w:val="1279"/>
      <w:suff w:val="space"/>
      <w:lvlText w:val="%1"/>
      <w:lvlJc w:val="left"/>
      <w:pPr>
        <w:ind w:left="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0" w:firstLine="0"/>
      </w:pPr>
      <w:rPr>
        <w:rFonts w:hint="eastAsia" w:ascii="黑体" w:eastAsia="黑体"/>
        <w:b w:val="0"/>
        <w:bCs w:val="0"/>
        <w:i w:val="0"/>
        <w:iCs w:val="0"/>
        <w:color w:val="auto"/>
        <w:sz w:val="28"/>
        <w:szCs w:val="28"/>
      </w:rPr>
    </w:lvl>
    <w:lvl w:ilvl="2" w:tentative="0">
      <w:start w:val="1"/>
      <w:numFmt w:val="decimal"/>
      <w:suff w:val="space"/>
      <w:lvlText w:val="%1.%2.%3"/>
      <w:lvlJc w:val="left"/>
      <w:pPr>
        <w:ind w:left="0" w:firstLine="0"/>
      </w:pPr>
      <w:rPr>
        <w:rFonts w:hint="eastAsia" w:ascii="宋体" w:eastAsia="宋体"/>
        <w:b w:val="0"/>
        <w:bCs w:val="0"/>
        <w:i w:val="0"/>
        <w:iCs w:val="0"/>
        <w:color w:val="auto"/>
        <w:sz w:val="28"/>
        <w:szCs w:val="28"/>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suff w:val="space"/>
      <w:lvlText w:val="%5)"/>
      <w:lvlJc w:val="left"/>
      <w:pPr>
        <w:ind w:left="0" w:firstLine="567"/>
      </w:pPr>
      <w:rPr>
        <w:rFonts w:hint="eastAsia" w:ascii="宋体" w:hAnsi="Times New Roman" w:eastAsia="宋体"/>
        <w:b w:val="0"/>
        <w:bCs w:val="0"/>
        <w:i w:val="0"/>
        <w:iCs w:val="0"/>
        <w:sz w:val="28"/>
        <w:szCs w:val="28"/>
      </w:rPr>
    </w:lvl>
    <w:lvl w:ilvl="5" w:tentative="0">
      <w:start w:val="1"/>
      <w:numFmt w:val="decimal"/>
      <w:suff w:val="space"/>
      <w:lvlText w:val="(%6)"/>
      <w:lvlJc w:val="left"/>
      <w:pPr>
        <w:ind w:left="-102" w:firstLine="567"/>
      </w:pPr>
      <w:rPr>
        <w:rFonts w:hint="eastAsia" w:ascii="宋体" w:eastAsia="宋体"/>
        <w:b w:val="0"/>
        <w:bCs w:val="0"/>
        <w:i w:val="0"/>
        <w:iCs w:val="0"/>
        <w:sz w:val="28"/>
        <w:szCs w:val="28"/>
      </w:rPr>
    </w:lvl>
    <w:lvl w:ilvl="6" w:tentative="0">
      <w:start w:val="1"/>
      <w:numFmt w:val="decimal"/>
      <w:lvlText w:val="%1.%2.%3.%4.%5.%6.%7"/>
      <w:lvlJc w:val="left"/>
      <w:pPr>
        <w:tabs>
          <w:tab w:val="left" w:pos="396"/>
        </w:tabs>
        <w:ind w:left="396" w:hanging="1296"/>
      </w:pPr>
      <w:rPr>
        <w:rFonts w:hint="eastAsia"/>
      </w:rPr>
    </w:lvl>
    <w:lvl w:ilvl="7" w:tentative="0">
      <w:start w:val="1"/>
      <w:numFmt w:val="decimal"/>
      <w:lvlText w:val="%1.%2.%3.%4.%5.%6.%7.%8"/>
      <w:lvlJc w:val="left"/>
      <w:pPr>
        <w:tabs>
          <w:tab w:val="left" w:pos="540"/>
        </w:tabs>
        <w:ind w:left="540" w:hanging="1440"/>
      </w:pPr>
      <w:rPr>
        <w:rFonts w:hint="eastAsia"/>
      </w:rPr>
    </w:lvl>
    <w:lvl w:ilvl="8" w:tentative="0">
      <w:start w:val="1"/>
      <w:numFmt w:val="decimal"/>
      <w:lvlText w:val="%1.%2.%3.%4.%5.%6.%7.%8.%9"/>
      <w:lvlJc w:val="left"/>
      <w:pPr>
        <w:tabs>
          <w:tab w:val="left" w:pos="684"/>
        </w:tabs>
        <w:ind w:left="684" w:hanging="1584"/>
      </w:pPr>
      <w:rPr>
        <w:rFonts w:hint="eastAsia"/>
      </w:rPr>
    </w:lvl>
  </w:abstractNum>
  <w:abstractNum w:abstractNumId="7">
    <w:nsid w:val="16613F02"/>
    <w:multiLevelType w:val="multilevel"/>
    <w:tmpl w:val="16613F02"/>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E9F78A5"/>
    <w:multiLevelType w:val="multilevel"/>
    <w:tmpl w:val="1E9F78A5"/>
    <w:lvl w:ilvl="0" w:tentative="0">
      <w:start w:val="1"/>
      <w:numFmt w:val="decimal"/>
      <w:pStyle w:val="899"/>
      <w:lvlText w:val="%1."/>
      <w:lvlJc w:val="left"/>
      <w:pPr>
        <w:tabs>
          <w:tab w:val="left" w:pos="420"/>
        </w:tabs>
        <w:ind w:left="420" w:hanging="420"/>
      </w:pPr>
      <w:rPr>
        <w:rFonts w:hint="eastAsia"/>
      </w:rPr>
    </w:lvl>
    <w:lvl w:ilvl="1" w:tentative="0">
      <w:start w:val="1"/>
      <w:numFmt w:val="decimal"/>
      <w:lvlText w:val="（%2）"/>
      <w:lvlJc w:val="left"/>
      <w:pPr>
        <w:tabs>
          <w:tab w:val="left" w:pos="1710"/>
        </w:tabs>
        <w:ind w:left="1710" w:hanging="1290"/>
      </w:pPr>
      <w:rPr>
        <w:rFonts w:hint="default"/>
        <w:b/>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21CE4617"/>
    <w:multiLevelType w:val="singleLevel"/>
    <w:tmpl w:val="21CE4617"/>
    <w:lvl w:ilvl="0" w:tentative="0">
      <w:start w:val="1"/>
      <w:numFmt w:val="decimal"/>
      <w:suff w:val="nothing"/>
      <w:lvlText w:val="%1、"/>
      <w:lvlJc w:val="left"/>
    </w:lvl>
  </w:abstractNum>
  <w:abstractNum w:abstractNumId="10">
    <w:nsid w:val="35181BBE"/>
    <w:multiLevelType w:val="multilevel"/>
    <w:tmpl w:val="35181BBE"/>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1">
    <w:nsid w:val="37660A18"/>
    <w:multiLevelType w:val="multilevel"/>
    <w:tmpl w:val="37660A18"/>
    <w:lvl w:ilvl="0" w:tentative="0">
      <w:start w:val="1"/>
      <w:numFmt w:val="decimal"/>
      <w:pStyle w:val="1278"/>
      <w:lvlText w:val="%1"/>
      <w:lvlJc w:val="left"/>
      <w:pPr>
        <w:ind w:left="425" w:hanging="425"/>
      </w:pPr>
      <w:rPr>
        <w:rFonts w:hint="default" w:ascii="Times New Roman" w:hAnsi="Times New Roman" w:cs="Times New Roman"/>
      </w:rPr>
    </w:lvl>
    <w:lvl w:ilvl="1" w:tentative="0">
      <w:start w:val="1"/>
      <w:numFmt w:val="decimal"/>
      <w:pStyle w:val="1169"/>
      <w:lvlText w:val="%1.%2"/>
      <w:lvlJc w:val="left"/>
      <w:pPr>
        <w:ind w:left="992" w:hanging="567"/>
      </w:pPr>
    </w:lvl>
    <w:lvl w:ilvl="2" w:tentative="0">
      <w:start w:val="1"/>
      <w:numFmt w:val="decimal"/>
      <w:pStyle w:val="332"/>
      <w:lvlText w:val="%1.%2.%3"/>
      <w:lvlJc w:val="left"/>
      <w:pPr>
        <w:ind w:left="1418" w:hanging="567"/>
      </w:pPr>
    </w:lvl>
    <w:lvl w:ilvl="3" w:tentative="0">
      <w:start w:val="1"/>
      <w:numFmt w:val="decimal"/>
      <w:pStyle w:val="868"/>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2">
    <w:nsid w:val="37A04360"/>
    <w:multiLevelType w:val="multilevel"/>
    <w:tmpl w:val="37A04360"/>
    <w:lvl w:ilvl="0" w:tentative="0">
      <w:start w:val="1"/>
      <w:numFmt w:val="decimal"/>
      <w:pStyle w:val="686"/>
      <w:lvlText w:val="表1.11-%1"/>
      <w:lvlJc w:val="center"/>
      <w:pPr>
        <w:tabs>
          <w:tab w:val="left" w:pos="2444"/>
        </w:tabs>
        <w:ind w:left="1720"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3A9076B2"/>
    <w:multiLevelType w:val="multilevel"/>
    <w:tmpl w:val="3A9076B2"/>
    <w:lvl w:ilvl="0" w:tentative="0">
      <w:start w:val="2"/>
      <w:numFmt w:val="decimal"/>
      <w:lvlText w:val="%1、"/>
      <w:lvlJc w:val="left"/>
      <w:pPr>
        <w:tabs>
          <w:tab w:val="left" w:pos="929"/>
        </w:tabs>
        <w:ind w:left="929"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pStyle w:val="1015"/>
      <w:lvlText w:val="%4."/>
      <w:lvlJc w:val="left"/>
      <w:pPr>
        <w:tabs>
          <w:tab w:val="left" w:pos="2249"/>
        </w:tabs>
        <w:ind w:left="2249" w:hanging="42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4">
    <w:nsid w:val="3FA6C1F7"/>
    <w:multiLevelType w:val="singleLevel"/>
    <w:tmpl w:val="3FA6C1F7"/>
    <w:lvl w:ilvl="0" w:tentative="0">
      <w:start w:val="11"/>
      <w:numFmt w:val="decimal"/>
      <w:suff w:val="nothing"/>
      <w:lvlText w:val="%1、"/>
      <w:lvlJc w:val="left"/>
    </w:lvl>
  </w:abstractNum>
  <w:abstractNum w:abstractNumId="15">
    <w:nsid w:val="44B17BF9"/>
    <w:multiLevelType w:val="multilevel"/>
    <w:tmpl w:val="44B17BF9"/>
    <w:lvl w:ilvl="0" w:tentative="0">
      <w:start w:val="1"/>
      <w:numFmt w:val="decimal"/>
      <w:suff w:val="nothing"/>
      <w:lvlText w:val="%1"/>
      <w:lvlJc w:val="left"/>
      <w:rPr>
        <w:rFonts w:hint="eastAsia" w:cs="Times New Roman"/>
      </w:rPr>
    </w:lvl>
    <w:lvl w:ilvl="1" w:tentative="0">
      <w:start w:val="1"/>
      <w:numFmt w:val="lowerLetter"/>
      <w:lvlText w:val="%2)"/>
      <w:lvlJc w:val="left"/>
      <w:pPr>
        <w:ind w:left="697" w:hanging="420"/>
      </w:pPr>
      <w:rPr>
        <w:rFonts w:cs="Times New Roman"/>
      </w:rPr>
    </w:lvl>
    <w:lvl w:ilvl="2" w:tentative="0">
      <w:start w:val="1"/>
      <w:numFmt w:val="lowerRoman"/>
      <w:lvlText w:val="%3."/>
      <w:lvlJc w:val="right"/>
      <w:pPr>
        <w:ind w:left="1117" w:hanging="420"/>
      </w:pPr>
      <w:rPr>
        <w:rFonts w:cs="Times New Roman"/>
      </w:rPr>
    </w:lvl>
    <w:lvl w:ilvl="3" w:tentative="0">
      <w:start w:val="1"/>
      <w:numFmt w:val="decimal"/>
      <w:lvlText w:val="%4."/>
      <w:lvlJc w:val="left"/>
      <w:pPr>
        <w:ind w:left="1537" w:hanging="420"/>
      </w:pPr>
      <w:rPr>
        <w:rFonts w:cs="Times New Roman"/>
      </w:rPr>
    </w:lvl>
    <w:lvl w:ilvl="4" w:tentative="0">
      <w:start w:val="1"/>
      <w:numFmt w:val="lowerLetter"/>
      <w:lvlText w:val="%5)"/>
      <w:lvlJc w:val="left"/>
      <w:pPr>
        <w:ind w:left="1957" w:hanging="420"/>
      </w:pPr>
      <w:rPr>
        <w:rFonts w:cs="Times New Roman"/>
      </w:rPr>
    </w:lvl>
    <w:lvl w:ilvl="5" w:tentative="0">
      <w:start w:val="1"/>
      <w:numFmt w:val="lowerRoman"/>
      <w:lvlText w:val="%6."/>
      <w:lvlJc w:val="right"/>
      <w:pPr>
        <w:ind w:left="2377" w:hanging="420"/>
      </w:pPr>
      <w:rPr>
        <w:rFonts w:cs="Times New Roman"/>
      </w:rPr>
    </w:lvl>
    <w:lvl w:ilvl="6" w:tentative="0">
      <w:start w:val="1"/>
      <w:numFmt w:val="decimal"/>
      <w:lvlText w:val="%7."/>
      <w:lvlJc w:val="left"/>
      <w:pPr>
        <w:ind w:left="2797" w:hanging="420"/>
      </w:pPr>
      <w:rPr>
        <w:rFonts w:cs="Times New Roman"/>
      </w:rPr>
    </w:lvl>
    <w:lvl w:ilvl="7" w:tentative="0">
      <w:start w:val="1"/>
      <w:numFmt w:val="lowerLetter"/>
      <w:lvlText w:val="%8)"/>
      <w:lvlJc w:val="left"/>
      <w:pPr>
        <w:ind w:left="3217" w:hanging="420"/>
      </w:pPr>
      <w:rPr>
        <w:rFonts w:cs="Times New Roman"/>
      </w:rPr>
    </w:lvl>
    <w:lvl w:ilvl="8" w:tentative="0">
      <w:start w:val="1"/>
      <w:numFmt w:val="lowerRoman"/>
      <w:lvlText w:val="%9."/>
      <w:lvlJc w:val="right"/>
      <w:pPr>
        <w:ind w:left="3637" w:hanging="420"/>
      </w:pPr>
      <w:rPr>
        <w:rFonts w:cs="Times New Roman"/>
      </w:rPr>
    </w:lvl>
  </w:abstractNum>
  <w:abstractNum w:abstractNumId="16">
    <w:nsid w:val="47071C76"/>
    <w:multiLevelType w:val="multilevel"/>
    <w:tmpl w:val="47071C76"/>
    <w:lvl w:ilvl="0" w:tentative="0">
      <w:start w:val="1"/>
      <w:numFmt w:val="decimal"/>
      <w:lvlText w:val="%1"/>
      <w:lvlJc w:val="left"/>
      <w:pPr>
        <w:tabs>
          <w:tab w:val="left" w:pos="360"/>
        </w:tabs>
        <w:ind w:left="0" w:firstLine="0"/>
      </w:pPr>
      <w:rPr>
        <w:rFonts w:hint="eastAsia" w:ascii="仿宋_GB2312" w:eastAsia="仿宋_GB2312"/>
        <w:b/>
        <w:i w:val="0"/>
        <w:sz w:val="32"/>
      </w:rPr>
    </w:lvl>
    <w:lvl w:ilvl="1" w:tentative="0">
      <w:start w:val="1"/>
      <w:numFmt w:val="decimal"/>
      <w:pStyle w:val="1166"/>
      <w:lvlText w:val="%1.%2"/>
      <w:lvlJc w:val="left"/>
      <w:pPr>
        <w:tabs>
          <w:tab w:val="left" w:pos="720"/>
        </w:tabs>
        <w:ind w:left="0" w:firstLine="0"/>
      </w:pPr>
      <w:rPr>
        <w:rFonts w:hint="eastAsia" w:ascii="仿宋_GB2312" w:eastAsia="仿宋_GB2312"/>
        <w:b/>
        <w:i w:val="0"/>
        <w:sz w:val="30"/>
      </w:rPr>
    </w:lvl>
    <w:lvl w:ilvl="2" w:tentative="0">
      <w:start w:val="1"/>
      <w:numFmt w:val="none"/>
      <w:lvlText w:val="1.%21"/>
      <w:lvlJc w:val="left"/>
      <w:pPr>
        <w:tabs>
          <w:tab w:val="left" w:pos="1080"/>
        </w:tabs>
        <w:ind w:left="0" w:firstLine="0"/>
      </w:pPr>
      <w:rPr>
        <w:rFonts w:hint="eastAsia" w:ascii="仿宋_GB2312" w:eastAsia="仿宋_GB2312"/>
        <w:b w:val="0"/>
        <w:i w:val="0"/>
        <w:sz w:val="28"/>
      </w:rPr>
    </w:lvl>
    <w:lvl w:ilvl="3" w:tentative="0">
      <w:start w:val="1"/>
      <w:numFmt w:val="decimal"/>
      <w:lvlRestart w:val="0"/>
      <w:isLgl/>
      <w:lvlText w:val="%1.%2.%3.%4"/>
      <w:lvlJc w:val="left"/>
      <w:pPr>
        <w:tabs>
          <w:tab w:val="left" w:pos="1440"/>
        </w:tabs>
        <w:ind w:left="0" w:firstLine="0"/>
      </w:pPr>
      <w:rPr>
        <w:rFonts w:hint="eastAsia" w:ascii="仿宋_GB2312" w:eastAsia="仿宋_GB2312"/>
        <w:b w:val="0"/>
        <w:i w:val="0"/>
        <w:sz w:val="28"/>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7">
    <w:nsid w:val="5089670E"/>
    <w:multiLevelType w:val="multilevel"/>
    <w:tmpl w:val="5089670E"/>
    <w:lvl w:ilvl="0" w:tentative="0">
      <w:start w:val="1"/>
      <w:numFmt w:val="decimal"/>
      <w:suff w:val="space"/>
      <w:lvlText w:val="%1"/>
      <w:lvlJc w:val="left"/>
      <w:pPr>
        <w:ind w:left="14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4962" w:firstLine="0"/>
      </w:pPr>
      <w:rPr>
        <w:rFonts w:hint="eastAsia" w:ascii="黑体" w:eastAsia="黑体" w:cs="Times New Roman"/>
        <w:b w:val="0"/>
        <w:bCs w:val="0"/>
        <w:i w:val="0"/>
        <w:iCs w:val="0"/>
        <w:caps w:val="0"/>
        <w:smallCaps w:val="0"/>
        <w:strike w:val="0"/>
        <w:dstrike w:val="0"/>
        <w:vanish w:val="0"/>
        <w:color w:val="000000"/>
        <w:spacing w:val="0"/>
        <w:position w:val="0"/>
        <w:sz w:val="28"/>
        <w:szCs w:val="28"/>
        <w:u w:val="none"/>
        <w:vertAlign w:val="baseline"/>
      </w:rPr>
    </w:lvl>
    <w:lvl w:ilvl="2" w:tentative="0">
      <w:start w:val="1"/>
      <w:numFmt w:val="decimal"/>
      <w:suff w:val="space"/>
      <w:lvlText w:val="%1.%2.%3"/>
      <w:lvlJc w:val="left"/>
      <w:pPr>
        <w:ind w:left="700" w:firstLine="0"/>
      </w:pPr>
      <w:rPr>
        <w:rFonts w:hint="eastAsia" w:ascii="宋体" w:eastAsia="宋体"/>
        <w:b w:val="0"/>
        <w:bCs w:val="0"/>
        <w:i w:val="0"/>
        <w:iCs w:val="0"/>
        <w:caps w:val="0"/>
        <w:smallCaps w:val="0"/>
        <w:strike w:val="0"/>
        <w:color w:val="auto"/>
        <w:spacing w:val="0"/>
        <w:sz w:val="28"/>
        <w:szCs w:val="28"/>
        <w:u w:val="none"/>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pStyle w:val="595"/>
      <w:suff w:val="space"/>
      <w:lvlText w:val="%5)"/>
      <w:lvlJc w:val="left"/>
      <w:pPr>
        <w:ind w:left="-567" w:firstLine="567"/>
      </w:pPr>
      <w:rPr>
        <w:rFonts w:hint="eastAsia" w:ascii="宋体" w:eastAsia="宋体"/>
        <w:b w:val="0"/>
        <w:i w:val="0"/>
        <w:sz w:val="28"/>
        <w:szCs w:val="28"/>
      </w:rPr>
    </w:lvl>
    <w:lvl w:ilvl="5" w:tentative="0">
      <w:start w:val="1"/>
      <w:numFmt w:val="decimal"/>
      <w:suff w:val="space"/>
      <w:lvlText w:val="(%6)"/>
      <w:lvlJc w:val="left"/>
      <w:pPr>
        <w:ind w:left="-427" w:firstLine="567"/>
      </w:pPr>
      <w:rPr>
        <w:rFonts w:hint="eastAsia" w:ascii="宋体" w:eastAsia="宋体"/>
        <w:b w:val="0"/>
        <w:bCs w:val="0"/>
        <w:i w:val="0"/>
        <w:iCs w:val="0"/>
        <w:sz w:val="28"/>
        <w:szCs w:val="28"/>
      </w:rPr>
    </w:lvl>
    <w:lvl w:ilvl="6" w:tentative="0">
      <w:start w:val="1"/>
      <w:numFmt w:val="decimal"/>
      <w:lvlText w:val="%1.%2.%3.%4.%5.%6.%7"/>
      <w:lvlJc w:val="left"/>
      <w:pPr>
        <w:tabs>
          <w:tab w:val="left" w:pos="936"/>
        </w:tabs>
        <w:ind w:left="936" w:hanging="1296"/>
      </w:pPr>
      <w:rPr>
        <w:rFonts w:hint="eastAsia"/>
      </w:rPr>
    </w:lvl>
    <w:lvl w:ilvl="7" w:tentative="0">
      <w:start w:val="1"/>
      <w:numFmt w:val="decimal"/>
      <w:lvlText w:val="%1.%2.%3.%4.%5.%6.%7.%8"/>
      <w:lvlJc w:val="left"/>
      <w:pPr>
        <w:tabs>
          <w:tab w:val="left" w:pos="1080"/>
        </w:tabs>
        <w:ind w:left="1080" w:hanging="1440"/>
      </w:pPr>
      <w:rPr>
        <w:rFonts w:hint="eastAsia"/>
      </w:rPr>
    </w:lvl>
    <w:lvl w:ilvl="8" w:tentative="0">
      <w:start w:val="1"/>
      <w:numFmt w:val="decimal"/>
      <w:lvlText w:val="%1.%2.%3.%4.%5.%6.%7.%8.%9"/>
      <w:lvlJc w:val="left"/>
      <w:pPr>
        <w:tabs>
          <w:tab w:val="left" w:pos="1224"/>
        </w:tabs>
        <w:ind w:left="1224" w:hanging="1584"/>
      </w:pPr>
      <w:rPr>
        <w:rFonts w:hint="eastAsia"/>
      </w:rPr>
    </w:lvl>
  </w:abstractNum>
  <w:abstractNum w:abstractNumId="18">
    <w:nsid w:val="557C2AF5"/>
    <w:multiLevelType w:val="multilevel"/>
    <w:tmpl w:val="557C2AF5"/>
    <w:lvl w:ilvl="0" w:tentative="0">
      <w:start w:val="1"/>
      <w:numFmt w:val="decimal"/>
      <w:pStyle w:val="636"/>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19">
    <w:nsid w:val="646260FA"/>
    <w:multiLevelType w:val="multilevel"/>
    <w:tmpl w:val="646260FA"/>
    <w:lvl w:ilvl="0" w:tentative="0">
      <w:start w:val="1"/>
      <w:numFmt w:val="decimal"/>
      <w:pStyle w:val="967"/>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0">
    <w:nsid w:val="766D7B15"/>
    <w:multiLevelType w:val="multilevel"/>
    <w:tmpl w:val="766D7B15"/>
    <w:lvl w:ilvl="0" w:tentative="0">
      <w:start w:val="1"/>
      <w:numFmt w:val="decimal"/>
      <w:pStyle w:val="288"/>
      <w:lvlText w:val="%1"/>
      <w:lvlJc w:val="left"/>
      <w:pPr>
        <w:tabs>
          <w:tab w:val="left" w:pos="425"/>
        </w:tabs>
        <w:ind w:left="425" w:hanging="425"/>
      </w:pPr>
      <w:rPr>
        <w:rFonts w:hint="eastAsia"/>
      </w:rPr>
    </w:lvl>
    <w:lvl w:ilvl="1" w:tentative="0">
      <w:start w:val="1"/>
      <w:numFmt w:val="decimal"/>
      <w:lvlText w:val="%1.%2"/>
      <w:lvlJc w:val="left"/>
      <w:pPr>
        <w:tabs>
          <w:tab w:val="left" w:pos="1865"/>
        </w:tabs>
        <w:ind w:left="992" w:hanging="567"/>
      </w:pPr>
      <w:rPr>
        <w:rFonts w:hint="eastAsia"/>
      </w:rPr>
    </w:lvl>
    <w:lvl w:ilvl="2" w:tentative="0">
      <w:start w:val="1"/>
      <w:numFmt w:val="decimal"/>
      <w:lvlText w:val="%1.%2.%3"/>
      <w:lvlJc w:val="left"/>
      <w:pPr>
        <w:tabs>
          <w:tab w:val="left" w:pos="3011"/>
        </w:tabs>
        <w:ind w:left="1418" w:hanging="567"/>
      </w:pPr>
      <w:rPr>
        <w:rFonts w:hint="eastAsia"/>
      </w:rPr>
    </w:lvl>
    <w:lvl w:ilvl="3" w:tentative="0">
      <w:start w:val="1"/>
      <w:numFmt w:val="decimal"/>
      <w:lvlText w:val="%1.%2.%3.%4"/>
      <w:lvlJc w:val="left"/>
      <w:pPr>
        <w:tabs>
          <w:tab w:val="left" w:pos="4156"/>
        </w:tabs>
        <w:ind w:left="1984" w:hanging="708"/>
      </w:pPr>
      <w:rPr>
        <w:rFonts w:hint="eastAsia"/>
      </w:rPr>
    </w:lvl>
    <w:lvl w:ilvl="4" w:tentative="0">
      <w:start w:val="1"/>
      <w:numFmt w:val="decimal"/>
      <w:lvlText w:val="%1.%2.%3.%4.%5"/>
      <w:lvlJc w:val="left"/>
      <w:pPr>
        <w:tabs>
          <w:tab w:val="left" w:pos="5301"/>
        </w:tabs>
        <w:ind w:left="2551" w:hanging="850"/>
      </w:pPr>
      <w:rPr>
        <w:rFonts w:hint="eastAsia"/>
      </w:rPr>
    </w:lvl>
    <w:lvl w:ilvl="5" w:tentative="0">
      <w:start w:val="1"/>
      <w:numFmt w:val="decimal"/>
      <w:lvlText w:val="%1.%2.%3.%4.%5.%6"/>
      <w:lvlJc w:val="left"/>
      <w:pPr>
        <w:tabs>
          <w:tab w:val="left" w:pos="6446"/>
        </w:tabs>
        <w:ind w:left="3260" w:hanging="1134"/>
      </w:pPr>
      <w:rPr>
        <w:rFonts w:hint="eastAsia"/>
      </w:rPr>
    </w:lvl>
    <w:lvl w:ilvl="6" w:tentative="0">
      <w:start w:val="1"/>
      <w:numFmt w:val="decimal"/>
      <w:lvlText w:val="%1.%2.%3.%4.%5.%6.%7"/>
      <w:lvlJc w:val="left"/>
      <w:pPr>
        <w:tabs>
          <w:tab w:val="left" w:pos="7591"/>
        </w:tabs>
        <w:ind w:left="3827" w:hanging="1276"/>
      </w:pPr>
      <w:rPr>
        <w:rFonts w:hint="eastAsia"/>
      </w:rPr>
    </w:lvl>
    <w:lvl w:ilvl="7" w:tentative="0">
      <w:start w:val="1"/>
      <w:numFmt w:val="decimal"/>
      <w:lvlText w:val="%1.%2.%3.%4.%5.%6.%7.%8"/>
      <w:lvlJc w:val="left"/>
      <w:pPr>
        <w:tabs>
          <w:tab w:val="left" w:pos="8736"/>
        </w:tabs>
        <w:ind w:left="4394" w:hanging="1418"/>
      </w:pPr>
      <w:rPr>
        <w:rFonts w:hint="eastAsia"/>
      </w:rPr>
    </w:lvl>
    <w:lvl w:ilvl="8" w:tentative="0">
      <w:start w:val="1"/>
      <w:numFmt w:val="decimal"/>
      <w:lvlText w:val="%1.%2.%3.%4.%5.%6.%7.%8.%9"/>
      <w:lvlJc w:val="left"/>
      <w:pPr>
        <w:tabs>
          <w:tab w:val="left" w:pos="10242"/>
        </w:tabs>
        <w:ind w:left="5102" w:hanging="1700"/>
      </w:pPr>
      <w:rPr>
        <w:rFonts w:hint="eastAsia"/>
      </w:rPr>
    </w:lvl>
  </w:abstractNum>
  <w:abstractNum w:abstractNumId="21">
    <w:nsid w:val="7B606C55"/>
    <w:multiLevelType w:val="multilevel"/>
    <w:tmpl w:val="7B606C55"/>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20"/>
  </w:num>
  <w:num w:numId="3">
    <w:abstractNumId w:val="1"/>
  </w:num>
  <w:num w:numId="4">
    <w:abstractNumId w:val="11"/>
  </w:num>
  <w:num w:numId="5">
    <w:abstractNumId w:val="17"/>
  </w:num>
  <w:num w:numId="6">
    <w:abstractNumId w:val="18"/>
  </w:num>
  <w:num w:numId="7">
    <w:abstractNumId w:val="12"/>
  </w:num>
  <w:num w:numId="8">
    <w:abstractNumId w:val="3"/>
  </w:num>
  <w:num w:numId="9">
    <w:abstractNumId w:val="8"/>
  </w:num>
  <w:num w:numId="10">
    <w:abstractNumId w:val="19"/>
  </w:num>
  <w:num w:numId="11">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16"/>
  </w:num>
  <w:num w:numId="14">
    <w:abstractNumId w:val="2"/>
  </w:num>
  <w:num w:numId="15">
    <w:abstractNumId w:val="4"/>
  </w:num>
  <w:num w:numId="16">
    <w:abstractNumId w:val="6"/>
  </w:num>
  <w:num w:numId="17">
    <w:abstractNumId w:val="10"/>
  </w:num>
  <w:num w:numId="18">
    <w:abstractNumId w:val="7"/>
  </w:num>
  <w:num w:numId="19">
    <w:abstractNumId w:val="14"/>
  </w:num>
  <w:num w:numId="20">
    <w:abstractNumId w:val="9"/>
  </w:num>
  <w:num w:numId="21">
    <w:abstractNumId w:val="21"/>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isplayHorizontalDrawingGridEvery w:val="1"/>
  <w:displayVerticalDrawingGridEvery w:val="1"/>
  <w:noPunctuationKerning w:val="1"/>
  <w:characterSpacingControl w:val="doNotCompress"/>
  <w:noLineBreaksAfter w:lang="zh-CN" w:val="([{·‘“〈《「『【〔〖（．［｛￡￥"/>
  <w:noLineBreaksBefore w:lang="zh-CN" w:val="!),.:;?]}¨·ˇˉ―‖’”…∶、。〃々〉》」』】〕〗！＂＇），．：；？］｀｜｝～￠"/>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Y4OGMxNWE5YjdmOTExMTJlZDQyZDdiNzdhMzVhMzAifQ=="/>
  </w:docVars>
  <w:rsids>
    <w:rsidRoot w:val="00172A27"/>
    <w:rsid w:val="00002589"/>
    <w:rsid w:val="000035A2"/>
    <w:rsid w:val="00003DF0"/>
    <w:rsid w:val="000055E6"/>
    <w:rsid w:val="0000564F"/>
    <w:rsid w:val="000060B3"/>
    <w:rsid w:val="000069AE"/>
    <w:rsid w:val="00006FBF"/>
    <w:rsid w:val="00007CD0"/>
    <w:rsid w:val="00010986"/>
    <w:rsid w:val="00014574"/>
    <w:rsid w:val="00014AF0"/>
    <w:rsid w:val="00016298"/>
    <w:rsid w:val="00016C4D"/>
    <w:rsid w:val="0001762C"/>
    <w:rsid w:val="00025B61"/>
    <w:rsid w:val="00031913"/>
    <w:rsid w:val="00034071"/>
    <w:rsid w:val="00034098"/>
    <w:rsid w:val="000343A4"/>
    <w:rsid w:val="00041A3C"/>
    <w:rsid w:val="00042F19"/>
    <w:rsid w:val="00043081"/>
    <w:rsid w:val="0004364B"/>
    <w:rsid w:val="000468DB"/>
    <w:rsid w:val="00050F17"/>
    <w:rsid w:val="00054F1D"/>
    <w:rsid w:val="00057C67"/>
    <w:rsid w:val="00061B1F"/>
    <w:rsid w:val="00061EB2"/>
    <w:rsid w:val="00062CF9"/>
    <w:rsid w:val="000630D7"/>
    <w:rsid w:val="00066831"/>
    <w:rsid w:val="00066DC8"/>
    <w:rsid w:val="00067205"/>
    <w:rsid w:val="00070292"/>
    <w:rsid w:val="000706A2"/>
    <w:rsid w:val="00070C7E"/>
    <w:rsid w:val="00071AB9"/>
    <w:rsid w:val="00071B94"/>
    <w:rsid w:val="000733C4"/>
    <w:rsid w:val="00074783"/>
    <w:rsid w:val="00076D47"/>
    <w:rsid w:val="0008070B"/>
    <w:rsid w:val="000810AC"/>
    <w:rsid w:val="00081A02"/>
    <w:rsid w:val="00082231"/>
    <w:rsid w:val="00082364"/>
    <w:rsid w:val="000835C2"/>
    <w:rsid w:val="000835F4"/>
    <w:rsid w:val="00085022"/>
    <w:rsid w:val="000851C5"/>
    <w:rsid w:val="000901FE"/>
    <w:rsid w:val="000904AF"/>
    <w:rsid w:val="00092834"/>
    <w:rsid w:val="00092D38"/>
    <w:rsid w:val="0009377B"/>
    <w:rsid w:val="00093910"/>
    <w:rsid w:val="000956D2"/>
    <w:rsid w:val="00097967"/>
    <w:rsid w:val="000A03C7"/>
    <w:rsid w:val="000A0848"/>
    <w:rsid w:val="000A1480"/>
    <w:rsid w:val="000A20C9"/>
    <w:rsid w:val="000A265A"/>
    <w:rsid w:val="000A5422"/>
    <w:rsid w:val="000A7A44"/>
    <w:rsid w:val="000A7D45"/>
    <w:rsid w:val="000B058F"/>
    <w:rsid w:val="000B11C2"/>
    <w:rsid w:val="000B1C40"/>
    <w:rsid w:val="000B4467"/>
    <w:rsid w:val="000B4DB9"/>
    <w:rsid w:val="000C0328"/>
    <w:rsid w:val="000C09AC"/>
    <w:rsid w:val="000C1A6F"/>
    <w:rsid w:val="000C31CA"/>
    <w:rsid w:val="000C3482"/>
    <w:rsid w:val="000C3C3C"/>
    <w:rsid w:val="000C3F8C"/>
    <w:rsid w:val="000C6BC9"/>
    <w:rsid w:val="000C767F"/>
    <w:rsid w:val="000C7E7A"/>
    <w:rsid w:val="000D11D6"/>
    <w:rsid w:val="000D2BB3"/>
    <w:rsid w:val="000D4200"/>
    <w:rsid w:val="000D45ED"/>
    <w:rsid w:val="000D5A44"/>
    <w:rsid w:val="000D5F3C"/>
    <w:rsid w:val="000E14CD"/>
    <w:rsid w:val="000E3ED2"/>
    <w:rsid w:val="000E6D10"/>
    <w:rsid w:val="000E7B81"/>
    <w:rsid w:val="000F11D5"/>
    <w:rsid w:val="000F3738"/>
    <w:rsid w:val="000F469A"/>
    <w:rsid w:val="000F51C3"/>
    <w:rsid w:val="000F6572"/>
    <w:rsid w:val="000F79DF"/>
    <w:rsid w:val="00100296"/>
    <w:rsid w:val="00100FDD"/>
    <w:rsid w:val="00104497"/>
    <w:rsid w:val="001045EC"/>
    <w:rsid w:val="00106FC5"/>
    <w:rsid w:val="001079BE"/>
    <w:rsid w:val="00114F6E"/>
    <w:rsid w:val="00120431"/>
    <w:rsid w:val="00121FCD"/>
    <w:rsid w:val="00124362"/>
    <w:rsid w:val="001250FE"/>
    <w:rsid w:val="00125332"/>
    <w:rsid w:val="00126237"/>
    <w:rsid w:val="00127CBE"/>
    <w:rsid w:val="00130F40"/>
    <w:rsid w:val="00131C9E"/>
    <w:rsid w:val="00131F42"/>
    <w:rsid w:val="001357F1"/>
    <w:rsid w:val="00135A3C"/>
    <w:rsid w:val="001364DA"/>
    <w:rsid w:val="00136A6C"/>
    <w:rsid w:val="001378FE"/>
    <w:rsid w:val="00140FA8"/>
    <w:rsid w:val="00141F3F"/>
    <w:rsid w:val="001425EA"/>
    <w:rsid w:val="001428ED"/>
    <w:rsid w:val="00142E31"/>
    <w:rsid w:val="00142FEB"/>
    <w:rsid w:val="00143A2D"/>
    <w:rsid w:val="00144B6D"/>
    <w:rsid w:val="00145A41"/>
    <w:rsid w:val="001506EE"/>
    <w:rsid w:val="00151675"/>
    <w:rsid w:val="00157435"/>
    <w:rsid w:val="001574E9"/>
    <w:rsid w:val="001604C1"/>
    <w:rsid w:val="00162D90"/>
    <w:rsid w:val="001631FB"/>
    <w:rsid w:val="001640CC"/>
    <w:rsid w:val="00165D9A"/>
    <w:rsid w:val="00172A27"/>
    <w:rsid w:val="00174459"/>
    <w:rsid w:val="00174601"/>
    <w:rsid w:val="0017504D"/>
    <w:rsid w:val="00175C54"/>
    <w:rsid w:val="00175DAA"/>
    <w:rsid w:val="0017671A"/>
    <w:rsid w:val="00177422"/>
    <w:rsid w:val="00177DC1"/>
    <w:rsid w:val="00182C14"/>
    <w:rsid w:val="00183A88"/>
    <w:rsid w:val="0018418C"/>
    <w:rsid w:val="00184590"/>
    <w:rsid w:val="00185566"/>
    <w:rsid w:val="001870D1"/>
    <w:rsid w:val="00187190"/>
    <w:rsid w:val="0018781E"/>
    <w:rsid w:val="00192460"/>
    <w:rsid w:val="0019262D"/>
    <w:rsid w:val="00194B39"/>
    <w:rsid w:val="00194C2D"/>
    <w:rsid w:val="00194F0F"/>
    <w:rsid w:val="00195BE8"/>
    <w:rsid w:val="001A004B"/>
    <w:rsid w:val="001A1AAC"/>
    <w:rsid w:val="001A1B35"/>
    <w:rsid w:val="001A3B4D"/>
    <w:rsid w:val="001A4025"/>
    <w:rsid w:val="001A48A2"/>
    <w:rsid w:val="001A6F61"/>
    <w:rsid w:val="001B24B0"/>
    <w:rsid w:val="001B3E5E"/>
    <w:rsid w:val="001B4C8C"/>
    <w:rsid w:val="001B5BBB"/>
    <w:rsid w:val="001B72B8"/>
    <w:rsid w:val="001C0F3C"/>
    <w:rsid w:val="001C1F22"/>
    <w:rsid w:val="001C4E4E"/>
    <w:rsid w:val="001C5C85"/>
    <w:rsid w:val="001C6132"/>
    <w:rsid w:val="001C6772"/>
    <w:rsid w:val="001C69B3"/>
    <w:rsid w:val="001D057D"/>
    <w:rsid w:val="001D0961"/>
    <w:rsid w:val="001D0BCF"/>
    <w:rsid w:val="001D0C2A"/>
    <w:rsid w:val="001D0E1F"/>
    <w:rsid w:val="001D19FE"/>
    <w:rsid w:val="001D3425"/>
    <w:rsid w:val="001D3496"/>
    <w:rsid w:val="001D5595"/>
    <w:rsid w:val="001D5EB1"/>
    <w:rsid w:val="001D7874"/>
    <w:rsid w:val="001D7F22"/>
    <w:rsid w:val="001E100F"/>
    <w:rsid w:val="001E21D6"/>
    <w:rsid w:val="001E3A81"/>
    <w:rsid w:val="001E4929"/>
    <w:rsid w:val="001E4A86"/>
    <w:rsid w:val="001E683C"/>
    <w:rsid w:val="001F0DD6"/>
    <w:rsid w:val="001F0F17"/>
    <w:rsid w:val="001F2DFC"/>
    <w:rsid w:val="001F3347"/>
    <w:rsid w:val="001F5BDC"/>
    <w:rsid w:val="001F69E4"/>
    <w:rsid w:val="00202E1A"/>
    <w:rsid w:val="00204101"/>
    <w:rsid w:val="002101F0"/>
    <w:rsid w:val="002115BA"/>
    <w:rsid w:val="00211DFB"/>
    <w:rsid w:val="002125B4"/>
    <w:rsid w:val="00212C4C"/>
    <w:rsid w:val="002155B8"/>
    <w:rsid w:val="00215DB5"/>
    <w:rsid w:val="0022014A"/>
    <w:rsid w:val="0022094E"/>
    <w:rsid w:val="00220DF1"/>
    <w:rsid w:val="002210E2"/>
    <w:rsid w:val="00221154"/>
    <w:rsid w:val="00224839"/>
    <w:rsid w:val="002249B2"/>
    <w:rsid w:val="00226574"/>
    <w:rsid w:val="0022659E"/>
    <w:rsid w:val="002278D0"/>
    <w:rsid w:val="002278EC"/>
    <w:rsid w:val="00231A41"/>
    <w:rsid w:val="0023280E"/>
    <w:rsid w:val="00233005"/>
    <w:rsid w:val="00233D88"/>
    <w:rsid w:val="002343EC"/>
    <w:rsid w:val="00234D4E"/>
    <w:rsid w:val="002365FF"/>
    <w:rsid w:val="0023726D"/>
    <w:rsid w:val="002377D1"/>
    <w:rsid w:val="00237A6E"/>
    <w:rsid w:val="00240190"/>
    <w:rsid w:val="0024055C"/>
    <w:rsid w:val="00240B30"/>
    <w:rsid w:val="002467F1"/>
    <w:rsid w:val="002506BC"/>
    <w:rsid w:val="002506E7"/>
    <w:rsid w:val="00252AD3"/>
    <w:rsid w:val="00253CD2"/>
    <w:rsid w:val="00253F2C"/>
    <w:rsid w:val="00254345"/>
    <w:rsid w:val="00255871"/>
    <w:rsid w:val="002603CE"/>
    <w:rsid w:val="00263FAB"/>
    <w:rsid w:val="002642F9"/>
    <w:rsid w:val="00264557"/>
    <w:rsid w:val="00265398"/>
    <w:rsid w:val="00273026"/>
    <w:rsid w:val="0027364A"/>
    <w:rsid w:val="002741F2"/>
    <w:rsid w:val="00274222"/>
    <w:rsid w:val="0027458C"/>
    <w:rsid w:val="002752D0"/>
    <w:rsid w:val="002805AB"/>
    <w:rsid w:val="00282534"/>
    <w:rsid w:val="002831F2"/>
    <w:rsid w:val="00284204"/>
    <w:rsid w:val="00287C49"/>
    <w:rsid w:val="00290561"/>
    <w:rsid w:val="00291773"/>
    <w:rsid w:val="00294441"/>
    <w:rsid w:val="00297BCE"/>
    <w:rsid w:val="002A168C"/>
    <w:rsid w:val="002A1F1C"/>
    <w:rsid w:val="002A3DC7"/>
    <w:rsid w:val="002A4A9E"/>
    <w:rsid w:val="002A57A3"/>
    <w:rsid w:val="002A5F78"/>
    <w:rsid w:val="002A7329"/>
    <w:rsid w:val="002B18BB"/>
    <w:rsid w:val="002B1A80"/>
    <w:rsid w:val="002B3243"/>
    <w:rsid w:val="002B49E2"/>
    <w:rsid w:val="002B7B00"/>
    <w:rsid w:val="002B7C44"/>
    <w:rsid w:val="002B7E77"/>
    <w:rsid w:val="002C1C6E"/>
    <w:rsid w:val="002C2B17"/>
    <w:rsid w:val="002C2FA6"/>
    <w:rsid w:val="002C60B1"/>
    <w:rsid w:val="002C6243"/>
    <w:rsid w:val="002D3D85"/>
    <w:rsid w:val="002D3DD0"/>
    <w:rsid w:val="002D6881"/>
    <w:rsid w:val="002D7DB7"/>
    <w:rsid w:val="002E0A7F"/>
    <w:rsid w:val="002E0B3B"/>
    <w:rsid w:val="002E15EF"/>
    <w:rsid w:val="002E1EA6"/>
    <w:rsid w:val="002E1F3A"/>
    <w:rsid w:val="002E25EF"/>
    <w:rsid w:val="002E298A"/>
    <w:rsid w:val="002E375C"/>
    <w:rsid w:val="002E3A0E"/>
    <w:rsid w:val="002E3D82"/>
    <w:rsid w:val="002F0FAE"/>
    <w:rsid w:val="002F2912"/>
    <w:rsid w:val="002F3517"/>
    <w:rsid w:val="002F6387"/>
    <w:rsid w:val="002F6D50"/>
    <w:rsid w:val="00301978"/>
    <w:rsid w:val="00301F1F"/>
    <w:rsid w:val="00302DDF"/>
    <w:rsid w:val="00302E31"/>
    <w:rsid w:val="0030332C"/>
    <w:rsid w:val="00303736"/>
    <w:rsid w:val="00304FD9"/>
    <w:rsid w:val="003051C2"/>
    <w:rsid w:val="00305467"/>
    <w:rsid w:val="00306F6C"/>
    <w:rsid w:val="00307CFA"/>
    <w:rsid w:val="00310218"/>
    <w:rsid w:val="00312296"/>
    <w:rsid w:val="00312891"/>
    <w:rsid w:val="00314D3B"/>
    <w:rsid w:val="00314F0E"/>
    <w:rsid w:val="003155D0"/>
    <w:rsid w:val="00316929"/>
    <w:rsid w:val="00316B2F"/>
    <w:rsid w:val="0032008D"/>
    <w:rsid w:val="0032058C"/>
    <w:rsid w:val="003211E1"/>
    <w:rsid w:val="00321D8E"/>
    <w:rsid w:val="00325928"/>
    <w:rsid w:val="00325DE0"/>
    <w:rsid w:val="003319DE"/>
    <w:rsid w:val="00331B72"/>
    <w:rsid w:val="00332863"/>
    <w:rsid w:val="003349D0"/>
    <w:rsid w:val="003352FE"/>
    <w:rsid w:val="0033684D"/>
    <w:rsid w:val="00337B42"/>
    <w:rsid w:val="00340096"/>
    <w:rsid w:val="00341B42"/>
    <w:rsid w:val="0034348F"/>
    <w:rsid w:val="00343E4C"/>
    <w:rsid w:val="003461E0"/>
    <w:rsid w:val="00347CA0"/>
    <w:rsid w:val="00354CEE"/>
    <w:rsid w:val="003563AE"/>
    <w:rsid w:val="00356653"/>
    <w:rsid w:val="00356958"/>
    <w:rsid w:val="0035743F"/>
    <w:rsid w:val="00357BE2"/>
    <w:rsid w:val="0036170C"/>
    <w:rsid w:val="00361D0A"/>
    <w:rsid w:val="00363E54"/>
    <w:rsid w:val="0036585E"/>
    <w:rsid w:val="00366E0F"/>
    <w:rsid w:val="00366E75"/>
    <w:rsid w:val="00366F1E"/>
    <w:rsid w:val="00367B2E"/>
    <w:rsid w:val="003762AD"/>
    <w:rsid w:val="00377510"/>
    <w:rsid w:val="003813A8"/>
    <w:rsid w:val="00381A72"/>
    <w:rsid w:val="00381AD3"/>
    <w:rsid w:val="0038205F"/>
    <w:rsid w:val="0038258E"/>
    <w:rsid w:val="0038392B"/>
    <w:rsid w:val="00384676"/>
    <w:rsid w:val="00390857"/>
    <w:rsid w:val="00392BCE"/>
    <w:rsid w:val="00392D24"/>
    <w:rsid w:val="0039337C"/>
    <w:rsid w:val="003953C9"/>
    <w:rsid w:val="00395E15"/>
    <w:rsid w:val="00397890"/>
    <w:rsid w:val="003A0F1D"/>
    <w:rsid w:val="003A1F83"/>
    <w:rsid w:val="003A46AE"/>
    <w:rsid w:val="003A4BF3"/>
    <w:rsid w:val="003A5905"/>
    <w:rsid w:val="003B1812"/>
    <w:rsid w:val="003B420D"/>
    <w:rsid w:val="003B5253"/>
    <w:rsid w:val="003B53F8"/>
    <w:rsid w:val="003B5571"/>
    <w:rsid w:val="003B7AE8"/>
    <w:rsid w:val="003B7E62"/>
    <w:rsid w:val="003C0F5A"/>
    <w:rsid w:val="003C1A77"/>
    <w:rsid w:val="003C475F"/>
    <w:rsid w:val="003C4A38"/>
    <w:rsid w:val="003C51D2"/>
    <w:rsid w:val="003C6A9B"/>
    <w:rsid w:val="003C6C16"/>
    <w:rsid w:val="003D113D"/>
    <w:rsid w:val="003D2656"/>
    <w:rsid w:val="003D3D2D"/>
    <w:rsid w:val="003D4562"/>
    <w:rsid w:val="003D4935"/>
    <w:rsid w:val="003D5B07"/>
    <w:rsid w:val="003D5E0E"/>
    <w:rsid w:val="003D66CB"/>
    <w:rsid w:val="003D6FDA"/>
    <w:rsid w:val="003D794D"/>
    <w:rsid w:val="003D7FB3"/>
    <w:rsid w:val="003E0446"/>
    <w:rsid w:val="003E2630"/>
    <w:rsid w:val="003E2FAB"/>
    <w:rsid w:val="003E3058"/>
    <w:rsid w:val="003E4B7C"/>
    <w:rsid w:val="003E550C"/>
    <w:rsid w:val="003E65D7"/>
    <w:rsid w:val="003E76A9"/>
    <w:rsid w:val="003E7777"/>
    <w:rsid w:val="003F0809"/>
    <w:rsid w:val="003F14DD"/>
    <w:rsid w:val="003F2259"/>
    <w:rsid w:val="003F33DD"/>
    <w:rsid w:val="003F36BE"/>
    <w:rsid w:val="003F448B"/>
    <w:rsid w:val="003F4501"/>
    <w:rsid w:val="003F6A8C"/>
    <w:rsid w:val="003F755C"/>
    <w:rsid w:val="003F778D"/>
    <w:rsid w:val="003F7D25"/>
    <w:rsid w:val="00406F01"/>
    <w:rsid w:val="00407B0F"/>
    <w:rsid w:val="00412C5D"/>
    <w:rsid w:val="00413436"/>
    <w:rsid w:val="00414248"/>
    <w:rsid w:val="00414830"/>
    <w:rsid w:val="004148E2"/>
    <w:rsid w:val="00415604"/>
    <w:rsid w:val="0041619A"/>
    <w:rsid w:val="00416D50"/>
    <w:rsid w:val="00416FD5"/>
    <w:rsid w:val="00417772"/>
    <w:rsid w:val="00420E6A"/>
    <w:rsid w:val="004219F9"/>
    <w:rsid w:val="00425A9E"/>
    <w:rsid w:val="00426D6B"/>
    <w:rsid w:val="0043115C"/>
    <w:rsid w:val="004316E8"/>
    <w:rsid w:val="00431E6C"/>
    <w:rsid w:val="004322BD"/>
    <w:rsid w:val="00432B5C"/>
    <w:rsid w:val="00432B6B"/>
    <w:rsid w:val="00433C4E"/>
    <w:rsid w:val="00433CE7"/>
    <w:rsid w:val="00435175"/>
    <w:rsid w:val="004378E5"/>
    <w:rsid w:val="00440AEE"/>
    <w:rsid w:val="00441404"/>
    <w:rsid w:val="00442F41"/>
    <w:rsid w:val="00444228"/>
    <w:rsid w:val="00444240"/>
    <w:rsid w:val="004442BD"/>
    <w:rsid w:val="004507D6"/>
    <w:rsid w:val="004524CB"/>
    <w:rsid w:val="00452738"/>
    <w:rsid w:val="00456091"/>
    <w:rsid w:val="0046004D"/>
    <w:rsid w:val="00464594"/>
    <w:rsid w:val="00466321"/>
    <w:rsid w:val="0046679F"/>
    <w:rsid w:val="00467CBE"/>
    <w:rsid w:val="00470236"/>
    <w:rsid w:val="00471180"/>
    <w:rsid w:val="004723A7"/>
    <w:rsid w:val="004741DA"/>
    <w:rsid w:val="0047773D"/>
    <w:rsid w:val="00477BC3"/>
    <w:rsid w:val="004807C7"/>
    <w:rsid w:val="0048230B"/>
    <w:rsid w:val="0048259B"/>
    <w:rsid w:val="00484B9B"/>
    <w:rsid w:val="004855F6"/>
    <w:rsid w:val="0048661E"/>
    <w:rsid w:val="0048770F"/>
    <w:rsid w:val="0049000E"/>
    <w:rsid w:val="00492DA2"/>
    <w:rsid w:val="00493262"/>
    <w:rsid w:val="00494670"/>
    <w:rsid w:val="00495457"/>
    <w:rsid w:val="00495D23"/>
    <w:rsid w:val="004A1BCC"/>
    <w:rsid w:val="004A2AAC"/>
    <w:rsid w:val="004A3823"/>
    <w:rsid w:val="004A4B89"/>
    <w:rsid w:val="004A6D4F"/>
    <w:rsid w:val="004A7152"/>
    <w:rsid w:val="004A72DE"/>
    <w:rsid w:val="004B2A5A"/>
    <w:rsid w:val="004B62B7"/>
    <w:rsid w:val="004C5910"/>
    <w:rsid w:val="004C59EE"/>
    <w:rsid w:val="004C5CA4"/>
    <w:rsid w:val="004C7902"/>
    <w:rsid w:val="004D118B"/>
    <w:rsid w:val="004D2A10"/>
    <w:rsid w:val="004E08A6"/>
    <w:rsid w:val="004E1971"/>
    <w:rsid w:val="004E23AC"/>
    <w:rsid w:val="004E2A69"/>
    <w:rsid w:val="004E55B5"/>
    <w:rsid w:val="004E63C9"/>
    <w:rsid w:val="004E6946"/>
    <w:rsid w:val="004F1AD8"/>
    <w:rsid w:val="004F2BC0"/>
    <w:rsid w:val="004F39A7"/>
    <w:rsid w:val="004F615A"/>
    <w:rsid w:val="004F6BDC"/>
    <w:rsid w:val="005000A4"/>
    <w:rsid w:val="005000E3"/>
    <w:rsid w:val="00500552"/>
    <w:rsid w:val="005039CB"/>
    <w:rsid w:val="00503BB2"/>
    <w:rsid w:val="0050558F"/>
    <w:rsid w:val="005058C3"/>
    <w:rsid w:val="00505C0F"/>
    <w:rsid w:val="00506286"/>
    <w:rsid w:val="00506FE3"/>
    <w:rsid w:val="00507F3A"/>
    <w:rsid w:val="00510488"/>
    <w:rsid w:val="00510813"/>
    <w:rsid w:val="00510B08"/>
    <w:rsid w:val="00510F86"/>
    <w:rsid w:val="00511184"/>
    <w:rsid w:val="005116DD"/>
    <w:rsid w:val="00511803"/>
    <w:rsid w:val="00511990"/>
    <w:rsid w:val="00511DE0"/>
    <w:rsid w:val="00512EA4"/>
    <w:rsid w:val="0051457C"/>
    <w:rsid w:val="00514870"/>
    <w:rsid w:val="00514B9B"/>
    <w:rsid w:val="005176AF"/>
    <w:rsid w:val="0051777A"/>
    <w:rsid w:val="00517F02"/>
    <w:rsid w:val="00520292"/>
    <w:rsid w:val="00524303"/>
    <w:rsid w:val="005258A2"/>
    <w:rsid w:val="0053194B"/>
    <w:rsid w:val="00536B9E"/>
    <w:rsid w:val="00537EA3"/>
    <w:rsid w:val="005400F1"/>
    <w:rsid w:val="005401AE"/>
    <w:rsid w:val="00541332"/>
    <w:rsid w:val="00542E07"/>
    <w:rsid w:val="00545424"/>
    <w:rsid w:val="00551A38"/>
    <w:rsid w:val="00554A7B"/>
    <w:rsid w:val="0055572C"/>
    <w:rsid w:val="005573CB"/>
    <w:rsid w:val="0056106A"/>
    <w:rsid w:val="00561550"/>
    <w:rsid w:val="005620FB"/>
    <w:rsid w:val="0056378B"/>
    <w:rsid w:val="005656C6"/>
    <w:rsid w:val="00566D35"/>
    <w:rsid w:val="005720AE"/>
    <w:rsid w:val="005725E7"/>
    <w:rsid w:val="00576DBA"/>
    <w:rsid w:val="00582585"/>
    <w:rsid w:val="00582C01"/>
    <w:rsid w:val="005843A0"/>
    <w:rsid w:val="00593A2B"/>
    <w:rsid w:val="00594D77"/>
    <w:rsid w:val="00594E42"/>
    <w:rsid w:val="005969E4"/>
    <w:rsid w:val="005A06B7"/>
    <w:rsid w:val="005A0E3F"/>
    <w:rsid w:val="005A1759"/>
    <w:rsid w:val="005A2574"/>
    <w:rsid w:val="005A68A7"/>
    <w:rsid w:val="005A71AD"/>
    <w:rsid w:val="005A7A21"/>
    <w:rsid w:val="005B2817"/>
    <w:rsid w:val="005B51D3"/>
    <w:rsid w:val="005B574A"/>
    <w:rsid w:val="005B5B1A"/>
    <w:rsid w:val="005B5CF7"/>
    <w:rsid w:val="005B6BDD"/>
    <w:rsid w:val="005C1454"/>
    <w:rsid w:val="005C1D96"/>
    <w:rsid w:val="005C2848"/>
    <w:rsid w:val="005C75EB"/>
    <w:rsid w:val="005D2EDE"/>
    <w:rsid w:val="005D2F06"/>
    <w:rsid w:val="005D36AB"/>
    <w:rsid w:val="005D6CFE"/>
    <w:rsid w:val="005D77E3"/>
    <w:rsid w:val="005E1A34"/>
    <w:rsid w:val="005E1F69"/>
    <w:rsid w:val="005E27D7"/>
    <w:rsid w:val="005E29B5"/>
    <w:rsid w:val="005E39F6"/>
    <w:rsid w:val="005E55A8"/>
    <w:rsid w:val="005F312C"/>
    <w:rsid w:val="005F44BA"/>
    <w:rsid w:val="005F5AFB"/>
    <w:rsid w:val="006021A6"/>
    <w:rsid w:val="00602368"/>
    <w:rsid w:val="00604025"/>
    <w:rsid w:val="00605FA6"/>
    <w:rsid w:val="006100E8"/>
    <w:rsid w:val="00612192"/>
    <w:rsid w:val="00614897"/>
    <w:rsid w:val="00617CC3"/>
    <w:rsid w:val="00625240"/>
    <w:rsid w:val="00625A17"/>
    <w:rsid w:val="00626631"/>
    <w:rsid w:val="00626FBE"/>
    <w:rsid w:val="00627A70"/>
    <w:rsid w:val="00631FAF"/>
    <w:rsid w:val="00632AA2"/>
    <w:rsid w:val="00634D7B"/>
    <w:rsid w:val="006377A6"/>
    <w:rsid w:val="00637A3D"/>
    <w:rsid w:val="00637AB4"/>
    <w:rsid w:val="006411EF"/>
    <w:rsid w:val="00646778"/>
    <w:rsid w:val="00651E53"/>
    <w:rsid w:val="00653CC9"/>
    <w:rsid w:val="006544CA"/>
    <w:rsid w:val="00656BD3"/>
    <w:rsid w:val="00656EFC"/>
    <w:rsid w:val="00661B18"/>
    <w:rsid w:val="00663822"/>
    <w:rsid w:val="00664039"/>
    <w:rsid w:val="00664DE7"/>
    <w:rsid w:val="006651B9"/>
    <w:rsid w:val="00665795"/>
    <w:rsid w:val="0066793E"/>
    <w:rsid w:val="006726F8"/>
    <w:rsid w:val="00672826"/>
    <w:rsid w:val="00673DE2"/>
    <w:rsid w:val="006748B8"/>
    <w:rsid w:val="00674B9E"/>
    <w:rsid w:val="0067512F"/>
    <w:rsid w:val="00676052"/>
    <w:rsid w:val="0067757F"/>
    <w:rsid w:val="006775C3"/>
    <w:rsid w:val="00680742"/>
    <w:rsid w:val="00684078"/>
    <w:rsid w:val="00684A51"/>
    <w:rsid w:val="00684AD4"/>
    <w:rsid w:val="006862E4"/>
    <w:rsid w:val="006872DE"/>
    <w:rsid w:val="00687B7A"/>
    <w:rsid w:val="006902F2"/>
    <w:rsid w:val="00692356"/>
    <w:rsid w:val="006927A1"/>
    <w:rsid w:val="0069290A"/>
    <w:rsid w:val="006969BB"/>
    <w:rsid w:val="0069775A"/>
    <w:rsid w:val="00697813"/>
    <w:rsid w:val="00697926"/>
    <w:rsid w:val="006A06F8"/>
    <w:rsid w:val="006A1D9B"/>
    <w:rsid w:val="006A3EE8"/>
    <w:rsid w:val="006A438D"/>
    <w:rsid w:val="006A72BF"/>
    <w:rsid w:val="006B03F2"/>
    <w:rsid w:val="006B1213"/>
    <w:rsid w:val="006B24FF"/>
    <w:rsid w:val="006B37DC"/>
    <w:rsid w:val="006B4F68"/>
    <w:rsid w:val="006B6AC1"/>
    <w:rsid w:val="006B7113"/>
    <w:rsid w:val="006C0592"/>
    <w:rsid w:val="006C0813"/>
    <w:rsid w:val="006C21B6"/>
    <w:rsid w:val="006C272E"/>
    <w:rsid w:val="006C5479"/>
    <w:rsid w:val="006D13B5"/>
    <w:rsid w:val="006D1D54"/>
    <w:rsid w:val="006D5A27"/>
    <w:rsid w:val="006E12FF"/>
    <w:rsid w:val="006E196C"/>
    <w:rsid w:val="006E42C0"/>
    <w:rsid w:val="006E607E"/>
    <w:rsid w:val="006E690A"/>
    <w:rsid w:val="006F1AC8"/>
    <w:rsid w:val="006F6E68"/>
    <w:rsid w:val="006F7B83"/>
    <w:rsid w:val="006F7E41"/>
    <w:rsid w:val="007008C8"/>
    <w:rsid w:val="00700E55"/>
    <w:rsid w:val="00701372"/>
    <w:rsid w:val="00701C47"/>
    <w:rsid w:val="00703DC3"/>
    <w:rsid w:val="00703E1A"/>
    <w:rsid w:val="00705C29"/>
    <w:rsid w:val="00705D7F"/>
    <w:rsid w:val="00706C5D"/>
    <w:rsid w:val="007119ED"/>
    <w:rsid w:val="00724A82"/>
    <w:rsid w:val="0072630F"/>
    <w:rsid w:val="00726BBF"/>
    <w:rsid w:val="00732922"/>
    <w:rsid w:val="00732F99"/>
    <w:rsid w:val="0073383D"/>
    <w:rsid w:val="0073704F"/>
    <w:rsid w:val="00740B6A"/>
    <w:rsid w:val="007427F9"/>
    <w:rsid w:val="00744178"/>
    <w:rsid w:val="007462A3"/>
    <w:rsid w:val="00746357"/>
    <w:rsid w:val="00746F1F"/>
    <w:rsid w:val="00750651"/>
    <w:rsid w:val="0075154C"/>
    <w:rsid w:val="0075162E"/>
    <w:rsid w:val="00752005"/>
    <w:rsid w:val="00753494"/>
    <w:rsid w:val="00754034"/>
    <w:rsid w:val="00754DCC"/>
    <w:rsid w:val="00756556"/>
    <w:rsid w:val="007577DE"/>
    <w:rsid w:val="00760D26"/>
    <w:rsid w:val="007618C4"/>
    <w:rsid w:val="007652E6"/>
    <w:rsid w:val="00766C94"/>
    <w:rsid w:val="00767750"/>
    <w:rsid w:val="00767980"/>
    <w:rsid w:val="00770B19"/>
    <w:rsid w:val="00770DF0"/>
    <w:rsid w:val="007734A6"/>
    <w:rsid w:val="0077463F"/>
    <w:rsid w:val="007751FA"/>
    <w:rsid w:val="00775565"/>
    <w:rsid w:val="007769DA"/>
    <w:rsid w:val="007806A7"/>
    <w:rsid w:val="00780A0F"/>
    <w:rsid w:val="00781982"/>
    <w:rsid w:val="007836EA"/>
    <w:rsid w:val="00783A69"/>
    <w:rsid w:val="00784CDA"/>
    <w:rsid w:val="007871E0"/>
    <w:rsid w:val="007906C4"/>
    <w:rsid w:val="00791A43"/>
    <w:rsid w:val="00791C86"/>
    <w:rsid w:val="007940EA"/>
    <w:rsid w:val="0079431D"/>
    <w:rsid w:val="007967E8"/>
    <w:rsid w:val="00797A0D"/>
    <w:rsid w:val="007A1EB0"/>
    <w:rsid w:val="007A2170"/>
    <w:rsid w:val="007A22BF"/>
    <w:rsid w:val="007A3323"/>
    <w:rsid w:val="007A40F6"/>
    <w:rsid w:val="007B07DF"/>
    <w:rsid w:val="007B093F"/>
    <w:rsid w:val="007B2E79"/>
    <w:rsid w:val="007B31ED"/>
    <w:rsid w:val="007B43DB"/>
    <w:rsid w:val="007B528A"/>
    <w:rsid w:val="007B72B8"/>
    <w:rsid w:val="007B7A58"/>
    <w:rsid w:val="007C21B5"/>
    <w:rsid w:val="007C2D4F"/>
    <w:rsid w:val="007D2316"/>
    <w:rsid w:val="007D67FA"/>
    <w:rsid w:val="007E243D"/>
    <w:rsid w:val="007E31FF"/>
    <w:rsid w:val="007E3EE2"/>
    <w:rsid w:val="007E3FC6"/>
    <w:rsid w:val="007E4BD2"/>
    <w:rsid w:val="007E522C"/>
    <w:rsid w:val="007F1CDF"/>
    <w:rsid w:val="007F5919"/>
    <w:rsid w:val="007F5F20"/>
    <w:rsid w:val="007F7DB4"/>
    <w:rsid w:val="00801393"/>
    <w:rsid w:val="00802B03"/>
    <w:rsid w:val="00802F88"/>
    <w:rsid w:val="00803139"/>
    <w:rsid w:val="00803CB9"/>
    <w:rsid w:val="0081203E"/>
    <w:rsid w:val="0081293E"/>
    <w:rsid w:val="0081357C"/>
    <w:rsid w:val="00815465"/>
    <w:rsid w:val="00815DD8"/>
    <w:rsid w:val="00817E9A"/>
    <w:rsid w:val="00823053"/>
    <w:rsid w:val="00824DA0"/>
    <w:rsid w:val="0082778F"/>
    <w:rsid w:val="008278AC"/>
    <w:rsid w:val="008306BD"/>
    <w:rsid w:val="00831A80"/>
    <w:rsid w:val="00831D99"/>
    <w:rsid w:val="00833743"/>
    <w:rsid w:val="008340A4"/>
    <w:rsid w:val="00841137"/>
    <w:rsid w:val="00841994"/>
    <w:rsid w:val="00844864"/>
    <w:rsid w:val="00847158"/>
    <w:rsid w:val="008475A9"/>
    <w:rsid w:val="0084798A"/>
    <w:rsid w:val="00850518"/>
    <w:rsid w:val="008519B6"/>
    <w:rsid w:val="00851E59"/>
    <w:rsid w:val="00852065"/>
    <w:rsid w:val="0085240B"/>
    <w:rsid w:val="00853A06"/>
    <w:rsid w:val="00855E23"/>
    <w:rsid w:val="00856799"/>
    <w:rsid w:val="00857337"/>
    <w:rsid w:val="00862301"/>
    <w:rsid w:val="00866396"/>
    <w:rsid w:val="00866506"/>
    <w:rsid w:val="00870174"/>
    <w:rsid w:val="00870883"/>
    <w:rsid w:val="0087135F"/>
    <w:rsid w:val="00872D94"/>
    <w:rsid w:val="00873988"/>
    <w:rsid w:val="00873B38"/>
    <w:rsid w:val="00873E43"/>
    <w:rsid w:val="00876944"/>
    <w:rsid w:val="00877E36"/>
    <w:rsid w:val="00877ED7"/>
    <w:rsid w:val="00880364"/>
    <w:rsid w:val="00884567"/>
    <w:rsid w:val="008858C2"/>
    <w:rsid w:val="00885AD0"/>
    <w:rsid w:val="00886B9B"/>
    <w:rsid w:val="00887462"/>
    <w:rsid w:val="00891592"/>
    <w:rsid w:val="00891E9E"/>
    <w:rsid w:val="0089547D"/>
    <w:rsid w:val="00897735"/>
    <w:rsid w:val="008A2F68"/>
    <w:rsid w:val="008A3947"/>
    <w:rsid w:val="008A573F"/>
    <w:rsid w:val="008A589B"/>
    <w:rsid w:val="008A5DDB"/>
    <w:rsid w:val="008A7A44"/>
    <w:rsid w:val="008B24E5"/>
    <w:rsid w:val="008B4E2D"/>
    <w:rsid w:val="008B4FA6"/>
    <w:rsid w:val="008B5282"/>
    <w:rsid w:val="008B5C94"/>
    <w:rsid w:val="008B63AA"/>
    <w:rsid w:val="008B6646"/>
    <w:rsid w:val="008B7290"/>
    <w:rsid w:val="008B72A6"/>
    <w:rsid w:val="008B787A"/>
    <w:rsid w:val="008B7C17"/>
    <w:rsid w:val="008C2D01"/>
    <w:rsid w:val="008C40E6"/>
    <w:rsid w:val="008D0302"/>
    <w:rsid w:val="008D038C"/>
    <w:rsid w:val="008D03E6"/>
    <w:rsid w:val="008D0A6C"/>
    <w:rsid w:val="008D0F7A"/>
    <w:rsid w:val="008D25EB"/>
    <w:rsid w:val="008D3C06"/>
    <w:rsid w:val="008D52D9"/>
    <w:rsid w:val="008D68E4"/>
    <w:rsid w:val="008D6FC1"/>
    <w:rsid w:val="008D72F1"/>
    <w:rsid w:val="008E0506"/>
    <w:rsid w:val="008E0B50"/>
    <w:rsid w:val="008E0CFF"/>
    <w:rsid w:val="008E1774"/>
    <w:rsid w:val="008E2BC9"/>
    <w:rsid w:val="008E389A"/>
    <w:rsid w:val="008E4E49"/>
    <w:rsid w:val="008E5D6B"/>
    <w:rsid w:val="008E641C"/>
    <w:rsid w:val="008E643D"/>
    <w:rsid w:val="008E6BA1"/>
    <w:rsid w:val="008E76F0"/>
    <w:rsid w:val="008E7E95"/>
    <w:rsid w:val="008F15FE"/>
    <w:rsid w:val="008F2144"/>
    <w:rsid w:val="008F2D29"/>
    <w:rsid w:val="008F35C2"/>
    <w:rsid w:val="008F37F9"/>
    <w:rsid w:val="008F4649"/>
    <w:rsid w:val="008F5187"/>
    <w:rsid w:val="008F60D8"/>
    <w:rsid w:val="008F6CCE"/>
    <w:rsid w:val="008F7B73"/>
    <w:rsid w:val="009002DB"/>
    <w:rsid w:val="00902727"/>
    <w:rsid w:val="00903050"/>
    <w:rsid w:val="0090312B"/>
    <w:rsid w:val="00903C44"/>
    <w:rsid w:val="00904232"/>
    <w:rsid w:val="00910736"/>
    <w:rsid w:val="00915748"/>
    <w:rsid w:val="0091736D"/>
    <w:rsid w:val="009212DF"/>
    <w:rsid w:val="009218A3"/>
    <w:rsid w:val="00925C07"/>
    <w:rsid w:val="0093037A"/>
    <w:rsid w:val="009317D9"/>
    <w:rsid w:val="00932239"/>
    <w:rsid w:val="00941400"/>
    <w:rsid w:val="0094154D"/>
    <w:rsid w:val="0094186B"/>
    <w:rsid w:val="00943111"/>
    <w:rsid w:val="009438FB"/>
    <w:rsid w:val="0095155F"/>
    <w:rsid w:val="009521B9"/>
    <w:rsid w:val="00953C5C"/>
    <w:rsid w:val="00954429"/>
    <w:rsid w:val="00955321"/>
    <w:rsid w:val="009555DD"/>
    <w:rsid w:val="009562FF"/>
    <w:rsid w:val="009563CE"/>
    <w:rsid w:val="00956A52"/>
    <w:rsid w:val="00962796"/>
    <w:rsid w:val="009651F4"/>
    <w:rsid w:val="00966969"/>
    <w:rsid w:val="00972646"/>
    <w:rsid w:val="0097577F"/>
    <w:rsid w:val="00975E46"/>
    <w:rsid w:val="00976045"/>
    <w:rsid w:val="00976328"/>
    <w:rsid w:val="009763B2"/>
    <w:rsid w:val="009767CA"/>
    <w:rsid w:val="0097680D"/>
    <w:rsid w:val="009808FC"/>
    <w:rsid w:val="00980C3F"/>
    <w:rsid w:val="00980DF8"/>
    <w:rsid w:val="009813BA"/>
    <w:rsid w:val="00981A0E"/>
    <w:rsid w:val="00981D4C"/>
    <w:rsid w:val="00982438"/>
    <w:rsid w:val="00982E89"/>
    <w:rsid w:val="0098404C"/>
    <w:rsid w:val="009846E6"/>
    <w:rsid w:val="00985283"/>
    <w:rsid w:val="00985548"/>
    <w:rsid w:val="00985767"/>
    <w:rsid w:val="00986438"/>
    <w:rsid w:val="00987073"/>
    <w:rsid w:val="00987458"/>
    <w:rsid w:val="00987E22"/>
    <w:rsid w:val="00990634"/>
    <w:rsid w:val="00991E43"/>
    <w:rsid w:val="00995992"/>
    <w:rsid w:val="009966F7"/>
    <w:rsid w:val="009A03E5"/>
    <w:rsid w:val="009A0F3B"/>
    <w:rsid w:val="009A1BB4"/>
    <w:rsid w:val="009A2628"/>
    <w:rsid w:val="009A3200"/>
    <w:rsid w:val="009A4930"/>
    <w:rsid w:val="009A618E"/>
    <w:rsid w:val="009B04B9"/>
    <w:rsid w:val="009B0897"/>
    <w:rsid w:val="009B0CEC"/>
    <w:rsid w:val="009B42A7"/>
    <w:rsid w:val="009B4B6E"/>
    <w:rsid w:val="009B7571"/>
    <w:rsid w:val="009B7BD9"/>
    <w:rsid w:val="009C180A"/>
    <w:rsid w:val="009C196D"/>
    <w:rsid w:val="009C27DC"/>
    <w:rsid w:val="009C2F3C"/>
    <w:rsid w:val="009C5784"/>
    <w:rsid w:val="009C6BE7"/>
    <w:rsid w:val="009C7B29"/>
    <w:rsid w:val="009C7DD5"/>
    <w:rsid w:val="009D3368"/>
    <w:rsid w:val="009D5A1C"/>
    <w:rsid w:val="009D63DA"/>
    <w:rsid w:val="009D69FB"/>
    <w:rsid w:val="009E0587"/>
    <w:rsid w:val="009E0651"/>
    <w:rsid w:val="009E0850"/>
    <w:rsid w:val="009E08D7"/>
    <w:rsid w:val="009E227D"/>
    <w:rsid w:val="009E39AD"/>
    <w:rsid w:val="009E43A3"/>
    <w:rsid w:val="009E5019"/>
    <w:rsid w:val="009E55AB"/>
    <w:rsid w:val="009F0442"/>
    <w:rsid w:val="009F0AF6"/>
    <w:rsid w:val="009F43CE"/>
    <w:rsid w:val="009F4EC9"/>
    <w:rsid w:val="009F4EFF"/>
    <w:rsid w:val="009F5151"/>
    <w:rsid w:val="00A0044F"/>
    <w:rsid w:val="00A00F81"/>
    <w:rsid w:val="00A04F1B"/>
    <w:rsid w:val="00A0501B"/>
    <w:rsid w:val="00A11633"/>
    <w:rsid w:val="00A13132"/>
    <w:rsid w:val="00A14947"/>
    <w:rsid w:val="00A17461"/>
    <w:rsid w:val="00A22340"/>
    <w:rsid w:val="00A2259C"/>
    <w:rsid w:val="00A24335"/>
    <w:rsid w:val="00A247FC"/>
    <w:rsid w:val="00A2542C"/>
    <w:rsid w:val="00A26E42"/>
    <w:rsid w:val="00A2719A"/>
    <w:rsid w:val="00A30BAD"/>
    <w:rsid w:val="00A31151"/>
    <w:rsid w:val="00A32A83"/>
    <w:rsid w:val="00A3457F"/>
    <w:rsid w:val="00A368DB"/>
    <w:rsid w:val="00A423AA"/>
    <w:rsid w:val="00A46FA6"/>
    <w:rsid w:val="00A47645"/>
    <w:rsid w:val="00A52358"/>
    <w:rsid w:val="00A53B63"/>
    <w:rsid w:val="00A53EC3"/>
    <w:rsid w:val="00A53EC6"/>
    <w:rsid w:val="00A54DA5"/>
    <w:rsid w:val="00A55C0F"/>
    <w:rsid w:val="00A568C5"/>
    <w:rsid w:val="00A615B2"/>
    <w:rsid w:val="00A645D5"/>
    <w:rsid w:val="00A66C7C"/>
    <w:rsid w:val="00A67B61"/>
    <w:rsid w:val="00A7207F"/>
    <w:rsid w:val="00A72565"/>
    <w:rsid w:val="00A839BB"/>
    <w:rsid w:val="00A8713F"/>
    <w:rsid w:val="00A87AC1"/>
    <w:rsid w:val="00A90805"/>
    <w:rsid w:val="00A90BA1"/>
    <w:rsid w:val="00A92CD7"/>
    <w:rsid w:val="00A92CEB"/>
    <w:rsid w:val="00A93BCC"/>
    <w:rsid w:val="00A97A9A"/>
    <w:rsid w:val="00AA0671"/>
    <w:rsid w:val="00AA0B0C"/>
    <w:rsid w:val="00AA20BB"/>
    <w:rsid w:val="00AA2531"/>
    <w:rsid w:val="00AA3214"/>
    <w:rsid w:val="00AA4782"/>
    <w:rsid w:val="00AA57AE"/>
    <w:rsid w:val="00AA5DCC"/>
    <w:rsid w:val="00AA7347"/>
    <w:rsid w:val="00AA75F1"/>
    <w:rsid w:val="00AB045C"/>
    <w:rsid w:val="00AB1E09"/>
    <w:rsid w:val="00AB1F80"/>
    <w:rsid w:val="00AB28C7"/>
    <w:rsid w:val="00AB454D"/>
    <w:rsid w:val="00AB49D8"/>
    <w:rsid w:val="00AB5330"/>
    <w:rsid w:val="00AB6EBD"/>
    <w:rsid w:val="00AB7747"/>
    <w:rsid w:val="00AC14CE"/>
    <w:rsid w:val="00AC182E"/>
    <w:rsid w:val="00AC2A56"/>
    <w:rsid w:val="00AC390C"/>
    <w:rsid w:val="00AC6B0C"/>
    <w:rsid w:val="00AC6EE1"/>
    <w:rsid w:val="00AC7196"/>
    <w:rsid w:val="00AC791F"/>
    <w:rsid w:val="00AC7CF7"/>
    <w:rsid w:val="00AD0511"/>
    <w:rsid w:val="00AD055E"/>
    <w:rsid w:val="00AD28B2"/>
    <w:rsid w:val="00AD4469"/>
    <w:rsid w:val="00AD47A7"/>
    <w:rsid w:val="00AD47AC"/>
    <w:rsid w:val="00AE24FA"/>
    <w:rsid w:val="00AE2F2D"/>
    <w:rsid w:val="00AE3194"/>
    <w:rsid w:val="00AE3D5E"/>
    <w:rsid w:val="00AE3E37"/>
    <w:rsid w:val="00AE3F62"/>
    <w:rsid w:val="00AE44F9"/>
    <w:rsid w:val="00AE4604"/>
    <w:rsid w:val="00AE6C02"/>
    <w:rsid w:val="00AE7859"/>
    <w:rsid w:val="00AF0BCB"/>
    <w:rsid w:val="00AF0CBF"/>
    <w:rsid w:val="00AF257F"/>
    <w:rsid w:val="00AF33CF"/>
    <w:rsid w:val="00AF464A"/>
    <w:rsid w:val="00AF4C91"/>
    <w:rsid w:val="00AF4D50"/>
    <w:rsid w:val="00AF6179"/>
    <w:rsid w:val="00AF731C"/>
    <w:rsid w:val="00AF7B33"/>
    <w:rsid w:val="00B006D1"/>
    <w:rsid w:val="00B00D97"/>
    <w:rsid w:val="00B00E60"/>
    <w:rsid w:val="00B03504"/>
    <w:rsid w:val="00B04105"/>
    <w:rsid w:val="00B0620B"/>
    <w:rsid w:val="00B12256"/>
    <w:rsid w:val="00B12953"/>
    <w:rsid w:val="00B1295A"/>
    <w:rsid w:val="00B13196"/>
    <w:rsid w:val="00B17160"/>
    <w:rsid w:val="00B17B45"/>
    <w:rsid w:val="00B17D1E"/>
    <w:rsid w:val="00B207A8"/>
    <w:rsid w:val="00B20A45"/>
    <w:rsid w:val="00B2154A"/>
    <w:rsid w:val="00B22C5C"/>
    <w:rsid w:val="00B23E56"/>
    <w:rsid w:val="00B242E4"/>
    <w:rsid w:val="00B24F30"/>
    <w:rsid w:val="00B268B9"/>
    <w:rsid w:val="00B269B1"/>
    <w:rsid w:val="00B269BD"/>
    <w:rsid w:val="00B31ABF"/>
    <w:rsid w:val="00B32C50"/>
    <w:rsid w:val="00B33BE3"/>
    <w:rsid w:val="00B341A1"/>
    <w:rsid w:val="00B34FA4"/>
    <w:rsid w:val="00B35C93"/>
    <w:rsid w:val="00B40FD8"/>
    <w:rsid w:val="00B41FC8"/>
    <w:rsid w:val="00B43BC1"/>
    <w:rsid w:val="00B45BE5"/>
    <w:rsid w:val="00B501DF"/>
    <w:rsid w:val="00B53B5D"/>
    <w:rsid w:val="00B57EF6"/>
    <w:rsid w:val="00B6055E"/>
    <w:rsid w:val="00B6317D"/>
    <w:rsid w:val="00B64669"/>
    <w:rsid w:val="00B64E77"/>
    <w:rsid w:val="00B657AF"/>
    <w:rsid w:val="00B6662B"/>
    <w:rsid w:val="00B6680E"/>
    <w:rsid w:val="00B7047C"/>
    <w:rsid w:val="00B72670"/>
    <w:rsid w:val="00B73444"/>
    <w:rsid w:val="00B751B3"/>
    <w:rsid w:val="00B760CC"/>
    <w:rsid w:val="00B76F8C"/>
    <w:rsid w:val="00B7723F"/>
    <w:rsid w:val="00B80534"/>
    <w:rsid w:val="00B82AB5"/>
    <w:rsid w:val="00B82D47"/>
    <w:rsid w:val="00B8412C"/>
    <w:rsid w:val="00B8433C"/>
    <w:rsid w:val="00B87491"/>
    <w:rsid w:val="00B940F7"/>
    <w:rsid w:val="00B97C2B"/>
    <w:rsid w:val="00BA0ED8"/>
    <w:rsid w:val="00BA29E9"/>
    <w:rsid w:val="00BA3617"/>
    <w:rsid w:val="00BA7142"/>
    <w:rsid w:val="00BA7380"/>
    <w:rsid w:val="00BA74FA"/>
    <w:rsid w:val="00BB237C"/>
    <w:rsid w:val="00BB2681"/>
    <w:rsid w:val="00BB3A60"/>
    <w:rsid w:val="00BB41A3"/>
    <w:rsid w:val="00BB6604"/>
    <w:rsid w:val="00BC0043"/>
    <w:rsid w:val="00BC17BB"/>
    <w:rsid w:val="00BC32DC"/>
    <w:rsid w:val="00BC35B6"/>
    <w:rsid w:val="00BD0BF1"/>
    <w:rsid w:val="00BD1556"/>
    <w:rsid w:val="00BD15CF"/>
    <w:rsid w:val="00BD1B51"/>
    <w:rsid w:val="00BD2D38"/>
    <w:rsid w:val="00BD4206"/>
    <w:rsid w:val="00BD4596"/>
    <w:rsid w:val="00BD5221"/>
    <w:rsid w:val="00BD5D70"/>
    <w:rsid w:val="00BD64A6"/>
    <w:rsid w:val="00BD64FD"/>
    <w:rsid w:val="00BD7A2B"/>
    <w:rsid w:val="00BE1405"/>
    <w:rsid w:val="00BE2C9A"/>
    <w:rsid w:val="00BE312D"/>
    <w:rsid w:val="00BE39A7"/>
    <w:rsid w:val="00BE58ED"/>
    <w:rsid w:val="00BF1054"/>
    <w:rsid w:val="00BF1C20"/>
    <w:rsid w:val="00BF381B"/>
    <w:rsid w:val="00BF709E"/>
    <w:rsid w:val="00BF716C"/>
    <w:rsid w:val="00C00061"/>
    <w:rsid w:val="00C017A4"/>
    <w:rsid w:val="00C01C9E"/>
    <w:rsid w:val="00C06BD6"/>
    <w:rsid w:val="00C10578"/>
    <w:rsid w:val="00C135BC"/>
    <w:rsid w:val="00C13C3E"/>
    <w:rsid w:val="00C15554"/>
    <w:rsid w:val="00C15C95"/>
    <w:rsid w:val="00C20012"/>
    <w:rsid w:val="00C202CA"/>
    <w:rsid w:val="00C202CB"/>
    <w:rsid w:val="00C2075F"/>
    <w:rsid w:val="00C21B47"/>
    <w:rsid w:val="00C22A2E"/>
    <w:rsid w:val="00C25503"/>
    <w:rsid w:val="00C2596A"/>
    <w:rsid w:val="00C27537"/>
    <w:rsid w:val="00C3042D"/>
    <w:rsid w:val="00C323FA"/>
    <w:rsid w:val="00C328FE"/>
    <w:rsid w:val="00C33507"/>
    <w:rsid w:val="00C33BFB"/>
    <w:rsid w:val="00C424E7"/>
    <w:rsid w:val="00C43791"/>
    <w:rsid w:val="00C43A36"/>
    <w:rsid w:val="00C43BEA"/>
    <w:rsid w:val="00C4409D"/>
    <w:rsid w:val="00C44E72"/>
    <w:rsid w:val="00C45A06"/>
    <w:rsid w:val="00C464B5"/>
    <w:rsid w:val="00C47E5B"/>
    <w:rsid w:val="00C50A74"/>
    <w:rsid w:val="00C52752"/>
    <w:rsid w:val="00C544CC"/>
    <w:rsid w:val="00C54D0B"/>
    <w:rsid w:val="00C55E3D"/>
    <w:rsid w:val="00C60300"/>
    <w:rsid w:val="00C60EA1"/>
    <w:rsid w:val="00C6170F"/>
    <w:rsid w:val="00C61E4B"/>
    <w:rsid w:val="00C64353"/>
    <w:rsid w:val="00C64BFF"/>
    <w:rsid w:val="00C65169"/>
    <w:rsid w:val="00C6721F"/>
    <w:rsid w:val="00C701AB"/>
    <w:rsid w:val="00C704E9"/>
    <w:rsid w:val="00C71764"/>
    <w:rsid w:val="00C74614"/>
    <w:rsid w:val="00C7467F"/>
    <w:rsid w:val="00C75095"/>
    <w:rsid w:val="00C75B0C"/>
    <w:rsid w:val="00C75BE6"/>
    <w:rsid w:val="00C763C9"/>
    <w:rsid w:val="00C80057"/>
    <w:rsid w:val="00C82232"/>
    <w:rsid w:val="00C822B3"/>
    <w:rsid w:val="00C82913"/>
    <w:rsid w:val="00C8386E"/>
    <w:rsid w:val="00C838A7"/>
    <w:rsid w:val="00C872F4"/>
    <w:rsid w:val="00C877C2"/>
    <w:rsid w:val="00C878A2"/>
    <w:rsid w:val="00C90BD6"/>
    <w:rsid w:val="00C924B0"/>
    <w:rsid w:val="00C95951"/>
    <w:rsid w:val="00C972B1"/>
    <w:rsid w:val="00CA2CCE"/>
    <w:rsid w:val="00CA3227"/>
    <w:rsid w:val="00CA43FD"/>
    <w:rsid w:val="00CA51FA"/>
    <w:rsid w:val="00CA5D66"/>
    <w:rsid w:val="00CA6678"/>
    <w:rsid w:val="00CA786E"/>
    <w:rsid w:val="00CA7EF8"/>
    <w:rsid w:val="00CB0355"/>
    <w:rsid w:val="00CB2DEF"/>
    <w:rsid w:val="00CB5D3B"/>
    <w:rsid w:val="00CC11D2"/>
    <w:rsid w:val="00CC1C8A"/>
    <w:rsid w:val="00CC2332"/>
    <w:rsid w:val="00CC25DB"/>
    <w:rsid w:val="00CC489B"/>
    <w:rsid w:val="00CC57C4"/>
    <w:rsid w:val="00CC5BE3"/>
    <w:rsid w:val="00CC7588"/>
    <w:rsid w:val="00CD1FE5"/>
    <w:rsid w:val="00CD2BCD"/>
    <w:rsid w:val="00CD2C15"/>
    <w:rsid w:val="00CD3A4C"/>
    <w:rsid w:val="00CD4CCF"/>
    <w:rsid w:val="00CD538F"/>
    <w:rsid w:val="00CD6D0D"/>
    <w:rsid w:val="00CD7776"/>
    <w:rsid w:val="00CD7ED1"/>
    <w:rsid w:val="00CD7ED6"/>
    <w:rsid w:val="00CE10E9"/>
    <w:rsid w:val="00CE163C"/>
    <w:rsid w:val="00CE2910"/>
    <w:rsid w:val="00CE2A16"/>
    <w:rsid w:val="00CE3AAB"/>
    <w:rsid w:val="00CE5393"/>
    <w:rsid w:val="00CE694C"/>
    <w:rsid w:val="00CF0F41"/>
    <w:rsid w:val="00CF3123"/>
    <w:rsid w:val="00CF36BE"/>
    <w:rsid w:val="00CF56E3"/>
    <w:rsid w:val="00CF6000"/>
    <w:rsid w:val="00D003F3"/>
    <w:rsid w:val="00D0179B"/>
    <w:rsid w:val="00D033AF"/>
    <w:rsid w:val="00D0364F"/>
    <w:rsid w:val="00D03AA5"/>
    <w:rsid w:val="00D0402C"/>
    <w:rsid w:val="00D056DC"/>
    <w:rsid w:val="00D06834"/>
    <w:rsid w:val="00D06EED"/>
    <w:rsid w:val="00D10483"/>
    <w:rsid w:val="00D10AC6"/>
    <w:rsid w:val="00D111F1"/>
    <w:rsid w:val="00D16F06"/>
    <w:rsid w:val="00D17D08"/>
    <w:rsid w:val="00D2250A"/>
    <w:rsid w:val="00D23B7B"/>
    <w:rsid w:val="00D24183"/>
    <w:rsid w:val="00D251B3"/>
    <w:rsid w:val="00D256C2"/>
    <w:rsid w:val="00D308ED"/>
    <w:rsid w:val="00D3477B"/>
    <w:rsid w:val="00D34EB1"/>
    <w:rsid w:val="00D36D86"/>
    <w:rsid w:val="00D423A9"/>
    <w:rsid w:val="00D428AA"/>
    <w:rsid w:val="00D4697B"/>
    <w:rsid w:val="00D503F2"/>
    <w:rsid w:val="00D50A34"/>
    <w:rsid w:val="00D53EFA"/>
    <w:rsid w:val="00D5544C"/>
    <w:rsid w:val="00D56E6D"/>
    <w:rsid w:val="00D6087A"/>
    <w:rsid w:val="00D618BE"/>
    <w:rsid w:val="00D66EB1"/>
    <w:rsid w:val="00D677FC"/>
    <w:rsid w:val="00D67CE6"/>
    <w:rsid w:val="00D7259C"/>
    <w:rsid w:val="00D73CA8"/>
    <w:rsid w:val="00D74F18"/>
    <w:rsid w:val="00D77E33"/>
    <w:rsid w:val="00D81DA1"/>
    <w:rsid w:val="00D83B25"/>
    <w:rsid w:val="00D86C43"/>
    <w:rsid w:val="00D87DF9"/>
    <w:rsid w:val="00D9231C"/>
    <w:rsid w:val="00D92443"/>
    <w:rsid w:val="00D927E7"/>
    <w:rsid w:val="00D93D02"/>
    <w:rsid w:val="00D940C0"/>
    <w:rsid w:val="00D94A7C"/>
    <w:rsid w:val="00D95896"/>
    <w:rsid w:val="00D975DF"/>
    <w:rsid w:val="00DA03E4"/>
    <w:rsid w:val="00DA1E89"/>
    <w:rsid w:val="00DA2EE7"/>
    <w:rsid w:val="00DA68DE"/>
    <w:rsid w:val="00DA7FE5"/>
    <w:rsid w:val="00DB0085"/>
    <w:rsid w:val="00DB1B50"/>
    <w:rsid w:val="00DB2100"/>
    <w:rsid w:val="00DB237A"/>
    <w:rsid w:val="00DB2983"/>
    <w:rsid w:val="00DB3857"/>
    <w:rsid w:val="00DC1257"/>
    <w:rsid w:val="00DC37EC"/>
    <w:rsid w:val="00DC3CD4"/>
    <w:rsid w:val="00DC3DC0"/>
    <w:rsid w:val="00DC5B2B"/>
    <w:rsid w:val="00DC676E"/>
    <w:rsid w:val="00DD318D"/>
    <w:rsid w:val="00DD3AFD"/>
    <w:rsid w:val="00DD47C6"/>
    <w:rsid w:val="00DD6335"/>
    <w:rsid w:val="00DD6368"/>
    <w:rsid w:val="00DD648B"/>
    <w:rsid w:val="00DE0847"/>
    <w:rsid w:val="00DE14FA"/>
    <w:rsid w:val="00DE4F52"/>
    <w:rsid w:val="00DE6865"/>
    <w:rsid w:val="00DE773F"/>
    <w:rsid w:val="00DE7D45"/>
    <w:rsid w:val="00DF093E"/>
    <w:rsid w:val="00DF291D"/>
    <w:rsid w:val="00DF29F5"/>
    <w:rsid w:val="00DF2E12"/>
    <w:rsid w:val="00DF3F28"/>
    <w:rsid w:val="00DF514A"/>
    <w:rsid w:val="00DF6690"/>
    <w:rsid w:val="00DF6804"/>
    <w:rsid w:val="00E000DC"/>
    <w:rsid w:val="00E01798"/>
    <w:rsid w:val="00E0358D"/>
    <w:rsid w:val="00E04323"/>
    <w:rsid w:val="00E04D74"/>
    <w:rsid w:val="00E070A2"/>
    <w:rsid w:val="00E07915"/>
    <w:rsid w:val="00E13B47"/>
    <w:rsid w:val="00E17F0A"/>
    <w:rsid w:val="00E21C38"/>
    <w:rsid w:val="00E23B9C"/>
    <w:rsid w:val="00E2644F"/>
    <w:rsid w:val="00E2656A"/>
    <w:rsid w:val="00E3316B"/>
    <w:rsid w:val="00E33BEE"/>
    <w:rsid w:val="00E35E9A"/>
    <w:rsid w:val="00E35F8D"/>
    <w:rsid w:val="00E377FC"/>
    <w:rsid w:val="00E4015C"/>
    <w:rsid w:val="00E40F77"/>
    <w:rsid w:val="00E412D0"/>
    <w:rsid w:val="00E42934"/>
    <w:rsid w:val="00E44D3D"/>
    <w:rsid w:val="00E46754"/>
    <w:rsid w:val="00E50F9E"/>
    <w:rsid w:val="00E5122A"/>
    <w:rsid w:val="00E51327"/>
    <w:rsid w:val="00E53B7C"/>
    <w:rsid w:val="00E5438E"/>
    <w:rsid w:val="00E56322"/>
    <w:rsid w:val="00E57AE0"/>
    <w:rsid w:val="00E57F89"/>
    <w:rsid w:val="00E605EB"/>
    <w:rsid w:val="00E60982"/>
    <w:rsid w:val="00E62C62"/>
    <w:rsid w:val="00E63453"/>
    <w:rsid w:val="00E652B2"/>
    <w:rsid w:val="00E654C1"/>
    <w:rsid w:val="00E65D97"/>
    <w:rsid w:val="00E67662"/>
    <w:rsid w:val="00E71F02"/>
    <w:rsid w:val="00E725F3"/>
    <w:rsid w:val="00E72A5A"/>
    <w:rsid w:val="00E73354"/>
    <w:rsid w:val="00E74187"/>
    <w:rsid w:val="00E74537"/>
    <w:rsid w:val="00E75537"/>
    <w:rsid w:val="00E7594D"/>
    <w:rsid w:val="00E803B1"/>
    <w:rsid w:val="00E8256A"/>
    <w:rsid w:val="00E82ACB"/>
    <w:rsid w:val="00E8383A"/>
    <w:rsid w:val="00E83D66"/>
    <w:rsid w:val="00E84A49"/>
    <w:rsid w:val="00E8752F"/>
    <w:rsid w:val="00E9242D"/>
    <w:rsid w:val="00E927B2"/>
    <w:rsid w:val="00E9304E"/>
    <w:rsid w:val="00E93F84"/>
    <w:rsid w:val="00E940FD"/>
    <w:rsid w:val="00EA011D"/>
    <w:rsid w:val="00EA0DA4"/>
    <w:rsid w:val="00EA1332"/>
    <w:rsid w:val="00EA3F4C"/>
    <w:rsid w:val="00EA4258"/>
    <w:rsid w:val="00EB0411"/>
    <w:rsid w:val="00EB26AC"/>
    <w:rsid w:val="00EB50EF"/>
    <w:rsid w:val="00EB5255"/>
    <w:rsid w:val="00EB5C47"/>
    <w:rsid w:val="00EB6FC0"/>
    <w:rsid w:val="00EB756C"/>
    <w:rsid w:val="00EB780D"/>
    <w:rsid w:val="00EB7FDD"/>
    <w:rsid w:val="00EC44D8"/>
    <w:rsid w:val="00EC4B6F"/>
    <w:rsid w:val="00EC5C48"/>
    <w:rsid w:val="00EC5F16"/>
    <w:rsid w:val="00ED0639"/>
    <w:rsid w:val="00ED0ED0"/>
    <w:rsid w:val="00ED2062"/>
    <w:rsid w:val="00ED41F7"/>
    <w:rsid w:val="00ED59C7"/>
    <w:rsid w:val="00EE60DD"/>
    <w:rsid w:val="00EF18E7"/>
    <w:rsid w:val="00EF3021"/>
    <w:rsid w:val="00EF4755"/>
    <w:rsid w:val="00EF583C"/>
    <w:rsid w:val="00EF7135"/>
    <w:rsid w:val="00F001FD"/>
    <w:rsid w:val="00F027DB"/>
    <w:rsid w:val="00F02F34"/>
    <w:rsid w:val="00F04899"/>
    <w:rsid w:val="00F057A3"/>
    <w:rsid w:val="00F05E1E"/>
    <w:rsid w:val="00F05F7C"/>
    <w:rsid w:val="00F14A7A"/>
    <w:rsid w:val="00F2037E"/>
    <w:rsid w:val="00F22985"/>
    <w:rsid w:val="00F23E1C"/>
    <w:rsid w:val="00F27874"/>
    <w:rsid w:val="00F326D3"/>
    <w:rsid w:val="00F3383E"/>
    <w:rsid w:val="00F3556B"/>
    <w:rsid w:val="00F36141"/>
    <w:rsid w:val="00F3633A"/>
    <w:rsid w:val="00F3668E"/>
    <w:rsid w:val="00F36FCD"/>
    <w:rsid w:val="00F37073"/>
    <w:rsid w:val="00F37622"/>
    <w:rsid w:val="00F446F6"/>
    <w:rsid w:val="00F44BFC"/>
    <w:rsid w:val="00F465A7"/>
    <w:rsid w:val="00F50B7C"/>
    <w:rsid w:val="00F550E6"/>
    <w:rsid w:val="00F56017"/>
    <w:rsid w:val="00F56EB5"/>
    <w:rsid w:val="00F57684"/>
    <w:rsid w:val="00F57DB7"/>
    <w:rsid w:val="00F61C6D"/>
    <w:rsid w:val="00F64EE0"/>
    <w:rsid w:val="00F66EAD"/>
    <w:rsid w:val="00F675A1"/>
    <w:rsid w:val="00F7160E"/>
    <w:rsid w:val="00F72565"/>
    <w:rsid w:val="00F728B2"/>
    <w:rsid w:val="00F74345"/>
    <w:rsid w:val="00F74624"/>
    <w:rsid w:val="00F75466"/>
    <w:rsid w:val="00F77C52"/>
    <w:rsid w:val="00F804C1"/>
    <w:rsid w:val="00F80A0A"/>
    <w:rsid w:val="00F825D6"/>
    <w:rsid w:val="00F82B19"/>
    <w:rsid w:val="00F84779"/>
    <w:rsid w:val="00F852B8"/>
    <w:rsid w:val="00F86B90"/>
    <w:rsid w:val="00F9212D"/>
    <w:rsid w:val="00F92658"/>
    <w:rsid w:val="00F965DA"/>
    <w:rsid w:val="00F96709"/>
    <w:rsid w:val="00F9744C"/>
    <w:rsid w:val="00FA04C8"/>
    <w:rsid w:val="00FA406A"/>
    <w:rsid w:val="00FA6112"/>
    <w:rsid w:val="00FB1A3F"/>
    <w:rsid w:val="00FB32CA"/>
    <w:rsid w:val="00FB3795"/>
    <w:rsid w:val="00FB503A"/>
    <w:rsid w:val="00FB516C"/>
    <w:rsid w:val="00FB5B40"/>
    <w:rsid w:val="00FC1E7A"/>
    <w:rsid w:val="00FC3B9A"/>
    <w:rsid w:val="00FC47F0"/>
    <w:rsid w:val="00FC6ADD"/>
    <w:rsid w:val="00FD0236"/>
    <w:rsid w:val="00FD18F4"/>
    <w:rsid w:val="00FD54DB"/>
    <w:rsid w:val="00FD619F"/>
    <w:rsid w:val="00FD7D4D"/>
    <w:rsid w:val="00FE0885"/>
    <w:rsid w:val="00FE0BA5"/>
    <w:rsid w:val="00FE6760"/>
    <w:rsid w:val="00FE68B4"/>
    <w:rsid w:val="00FE6A7E"/>
    <w:rsid w:val="00FF103A"/>
    <w:rsid w:val="00FF10F6"/>
    <w:rsid w:val="00FF40C6"/>
    <w:rsid w:val="00FF4454"/>
    <w:rsid w:val="01290F7E"/>
    <w:rsid w:val="013637D1"/>
    <w:rsid w:val="015D1E09"/>
    <w:rsid w:val="017F4C7E"/>
    <w:rsid w:val="01985FCB"/>
    <w:rsid w:val="019E16F6"/>
    <w:rsid w:val="01AC75F0"/>
    <w:rsid w:val="01D92ADD"/>
    <w:rsid w:val="01FB40D3"/>
    <w:rsid w:val="02057F57"/>
    <w:rsid w:val="022352DD"/>
    <w:rsid w:val="0236335D"/>
    <w:rsid w:val="024F3E0A"/>
    <w:rsid w:val="02697903"/>
    <w:rsid w:val="02C167B0"/>
    <w:rsid w:val="02C63DA3"/>
    <w:rsid w:val="02CE12C7"/>
    <w:rsid w:val="02F16316"/>
    <w:rsid w:val="02F96569"/>
    <w:rsid w:val="0323097B"/>
    <w:rsid w:val="03465822"/>
    <w:rsid w:val="0361735A"/>
    <w:rsid w:val="036F2169"/>
    <w:rsid w:val="03AA5DB1"/>
    <w:rsid w:val="03BD55AE"/>
    <w:rsid w:val="03C16FD8"/>
    <w:rsid w:val="03CE1065"/>
    <w:rsid w:val="03DF0436"/>
    <w:rsid w:val="03E70489"/>
    <w:rsid w:val="03EA7B21"/>
    <w:rsid w:val="04290887"/>
    <w:rsid w:val="04765C7F"/>
    <w:rsid w:val="04AA56B0"/>
    <w:rsid w:val="04D379E7"/>
    <w:rsid w:val="04FA672A"/>
    <w:rsid w:val="04FE0213"/>
    <w:rsid w:val="05027E6C"/>
    <w:rsid w:val="05414B5C"/>
    <w:rsid w:val="05474BB5"/>
    <w:rsid w:val="05505FC9"/>
    <w:rsid w:val="05B34A31"/>
    <w:rsid w:val="05C235C9"/>
    <w:rsid w:val="05F83EAE"/>
    <w:rsid w:val="062220DC"/>
    <w:rsid w:val="062963DC"/>
    <w:rsid w:val="063E7D85"/>
    <w:rsid w:val="0658091E"/>
    <w:rsid w:val="066E30C6"/>
    <w:rsid w:val="06B9343A"/>
    <w:rsid w:val="06D33870"/>
    <w:rsid w:val="06DF1460"/>
    <w:rsid w:val="07293586"/>
    <w:rsid w:val="07295285"/>
    <w:rsid w:val="07636392"/>
    <w:rsid w:val="07770C56"/>
    <w:rsid w:val="07B26EE8"/>
    <w:rsid w:val="07BD4EB0"/>
    <w:rsid w:val="07C57F88"/>
    <w:rsid w:val="07D122A7"/>
    <w:rsid w:val="07ED5977"/>
    <w:rsid w:val="07F438B2"/>
    <w:rsid w:val="08104767"/>
    <w:rsid w:val="08134822"/>
    <w:rsid w:val="0838450F"/>
    <w:rsid w:val="086B6DF8"/>
    <w:rsid w:val="08DF64BB"/>
    <w:rsid w:val="08E06CF9"/>
    <w:rsid w:val="08EF6FE3"/>
    <w:rsid w:val="08FA577E"/>
    <w:rsid w:val="0907134B"/>
    <w:rsid w:val="092217DD"/>
    <w:rsid w:val="093A7294"/>
    <w:rsid w:val="095D768E"/>
    <w:rsid w:val="096A703F"/>
    <w:rsid w:val="0A05247C"/>
    <w:rsid w:val="0A0867D9"/>
    <w:rsid w:val="0A263993"/>
    <w:rsid w:val="0A287A2F"/>
    <w:rsid w:val="0A2D3AC2"/>
    <w:rsid w:val="0A775E1F"/>
    <w:rsid w:val="0A961435"/>
    <w:rsid w:val="0A99080F"/>
    <w:rsid w:val="0AA755DF"/>
    <w:rsid w:val="0AE0655C"/>
    <w:rsid w:val="0B120D44"/>
    <w:rsid w:val="0B16253D"/>
    <w:rsid w:val="0B2C3BE5"/>
    <w:rsid w:val="0B3F7FB3"/>
    <w:rsid w:val="0B403D90"/>
    <w:rsid w:val="0B99503A"/>
    <w:rsid w:val="0BA650B0"/>
    <w:rsid w:val="0BD27BF6"/>
    <w:rsid w:val="0BED2CDE"/>
    <w:rsid w:val="0C3B3C7D"/>
    <w:rsid w:val="0C6C7ADF"/>
    <w:rsid w:val="0C727688"/>
    <w:rsid w:val="0C765D1C"/>
    <w:rsid w:val="0C8064A1"/>
    <w:rsid w:val="0CA041F5"/>
    <w:rsid w:val="0CAB2EAE"/>
    <w:rsid w:val="0CB71E72"/>
    <w:rsid w:val="0CF54992"/>
    <w:rsid w:val="0CFA1B57"/>
    <w:rsid w:val="0D117E17"/>
    <w:rsid w:val="0D621C7D"/>
    <w:rsid w:val="0D88050D"/>
    <w:rsid w:val="0D9565E3"/>
    <w:rsid w:val="0DDE3227"/>
    <w:rsid w:val="0E5054DE"/>
    <w:rsid w:val="0E6C0832"/>
    <w:rsid w:val="0E73034D"/>
    <w:rsid w:val="0E9E6F6E"/>
    <w:rsid w:val="0EC17E0E"/>
    <w:rsid w:val="0EC248F6"/>
    <w:rsid w:val="0EE04D7C"/>
    <w:rsid w:val="0F13775A"/>
    <w:rsid w:val="0F2D5AA7"/>
    <w:rsid w:val="0F3240DF"/>
    <w:rsid w:val="0F386966"/>
    <w:rsid w:val="0F4B669A"/>
    <w:rsid w:val="0F5F45FE"/>
    <w:rsid w:val="0F7B788F"/>
    <w:rsid w:val="0F873449"/>
    <w:rsid w:val="0F9A112B"/>
    <w:rsid w:val="0F9C0108"/>
    <w:rsid w:val="0FA51A26"/>
    <w:rsid w:val="102E2215"/>
    <w:rsid w:val="106D2F64"/>
    <w:rsid w:val="10844DD5"/>
    <w:rsid w:val="10A26BE6"/>
    <w:rsid w:val="10B63710"/>
    <w:rsid w:val="10BA1208"/>
    <w:rsid w:val="10F10820"/>
    <w:rsid w:val="10FE598E"/>
    <w:rsid w:val="110F292A"/>
    <w:rsid w:val="111C2F7A"/>
    <w:rsid w:val="113C74D4"/>
    <w:rsid w:val="114C1827"/>
    <w:rsid w:val="114F1CDB"/>
    <w:rsid w:val="11533EE2"/>
    <w:rsid w:val="11621A79"/>
    <w:rsid w:val="11665CA1"/>
    <w:rsid w:val="11835941"/>
    <w:rsid w:val="11AA0983"/>
    <w:rsid w:val="11CD6857"/>
    <w:rsid w:val="125F15C4"/>
    <w:rsid w:val="128E1AE3"/>
    <w:rsid w:val="12B97E2D"/>
    <w:rsid w:val="1311486C"/>
    <w:rsid w:val="1324660E"/>
    <w:rsid w:val="13561AB1"/>
    <w:rsid w:val="13561BDA"/>
    <w:rsid w:val="138C54D3"/>
    <w:rsid w:val="1390200A"/>
    <w:rsid w:val="13951726"/>
    <w:rsid w:val="13A91653"/>
    <w:rsid w:val="13AE3FEE"/>
    <w:rsid w:val="13B95B4F"/>
    <w:rsid w:val="13E377C7"/>
    <w:rsid w:val="13E650D7"/>
    <w:rsid w:val="14396509"/>
    <w:rsid w:val="147F6DE6"/>
    <w:rsid w:val="148D7E6F"/>
    <w:rsid w:val="14C173FE"/>
    <w:rsid w:val="14DD2C3C"/>
    <w:rsid w:val="14EB396E"/>
    <w:rsid w:val="150D7916"/>
    <w:rsid w:val="15437E13"/>
    <w:rsid w:val="15480AE3"/>
    <w:rsid w:val="15CA4BFF"/>
    <w:rsid w:val="15D421A3"/>
    <w:rsid w:val="15EE6A63"/>
    <w:rsid w:val="16087E1D"/>
    <w:rsid w:val="16134661"/>
    <w:rsid w:val="162A4619"/>
    <w:rsid w:val="16BA3F91"/>
    <w:rsid w:val="16C03316"/>
    <w:rsid w:val="16E45CEE"/>
    <w:rsid w:val="17490946"/>
    <w:rsid w:val="17497BD2"/>
    <w:rsid w:val="176D7F93"/>
    <w:rsid w:val="17701D14"/>
    <w:rsid w:val="17735226"/>
    <w:rsid w:val="177469AA"/>
    <w:rsid w:val="17823FA3"/>
    <w:rsid w:val="178A26E7"/>
    <w:rsid w:val="17C364A5"/>
    <w:rsid w:val="17E56F60"/>
    <w:rsid w:val="17E66E5F"/>
    <w:rsid w:val="17F060D1"/>
    <w:rsid w:val="186F4456"/>
    <w:rsid w:val="1871158D"/>
    <w:rsid w:val="189A5F9C"/>
    <w:rsid w:val="189C1C81"/>
    <w:rsid w:val="189F624C"/>
    <w:rsid w:val="18A571FE"/>
    <w:rsid w:val="18AA234F"/>
    <w:rsid w:val="18BB4448"/>
    <w:rsid w:val="18BC23B6"/>
    <w:rsid w:val="18E72F27"/>
    <w:rsid w:val="192240F5"/>
    <w:rsid w:val="1966549E"/>
    <w:rsid w:val="197C38F4"/>
    <w:rsid w:val="198A6011"/>
    <w:rsid w:val="19E86C1E"/>
    <w:rsid w:val="19F67115"/>
    <w:rsid w:val="1A1342F8"/>
    <w:rsid w:val="1A1C66C0"/>
    <w:rsid w:val="1A1F0E4F"/>
    <w:rsid w:val="1A3D7454"/>
    <w:rsid w:val="1A42393B"/>
    <w:rsid w:val="1A9B6BCF"/>
    <w:rsid w:val="1AA302C4"/>
    <w:rsid w:val="1AAD45DE"/>
    <w:rsid w:val="1B046F80"/>
    <w:rsid w:val="1B1F577F"/>
    <w:rsid w:val="1B292471"/>
    <w:rsid w:val="1B3267B5"/>
    <w:rsid w:val="1B40161D"/>
    <w:rsid w:val="1B441859"/>
    <w:rsid w:val="1B5331B4"/>
    <w:rsid w:val="1B5A0EAE"/>
    <w:rsid w:val="1B6606B1"/>
    <w:rsid w:val="1B6F3F5F"/>
    <w:rsid w:val="1BA21349"/>
    <w:rsid w:val="1BB26287"/>
    <w:rsid w:val="1BBC0395"/>
    <w:rsid w:val="1BF65BDF"/>
    <w:rsid w:val="1BF743EF"/>
    <w:rsid w:val="1BFB5A6A"/>
    <w:rsid w:val="1BFE6FF8"/>
    <w:rsid w:val="1C243530"/>
    <w:rsid w:val="1C2C7808"/>
    <w:rsid w:val="1C3F5BE8"/>
    <w:rsid w:val="1C5E7925"/>
    <w:rsid w:val="1C964CCC"/>
    <w:rsid w:val="1CAD550C"/>
    <w:rsid w:val="1CD65C5D"/>
    <w:rsid w:val="1CFD070F"/>
    <w:rsid w:val="1CFE203E"/>
    <w:rsid w:val="1D0936F0"/>
    <w:rsid w:val="1D1075D0"/>
    <w:rsid w:val="1D506D2A"/>
    <w:rsid w:val="1D54148D"/>
    <w:rsid w:val="1D56268C"/>
    <w:rsid w:val="1D5F6196"/>
    <w:rsid w:val="1D6132A5"/>
    <w:rsid w:val="1D707442"/>
    <w:rsid w:val="1D8E56D5"/>
    <w:rsid w:val="1D923E12"/>
    <w:rsid w:val="1DB261F1"/>
    <w:rsid w:val="1E0C3498"/>
    <w:rsid w:val="1E206F43"/>
    <w:rsid w:val="1E6E738D"/>
    <w:rsid w:val="1E7A43DA"/>
    <w:rsid w:val="1E7B133C"/>
    <w:rsid w:val="1E9B2DD4"/>
    <w:rsid w:val="1EA56C4F"/>
    <w:rsid w:val="1EB5581B"/>
    <w:rsid w:val="1EF31724"/>
    <w:rsid w:val="1EF545DD"/>
    <w:rsid w:val="1EF65EF6"/>
    <w:rsid w:val="1EFE7A6E"/>
    <w:rsid w:val="1F2611F4"/>
    <w:rsid w:val="1F296FEA"/>
    <w:rsid w:val="1F414DF6"/>
    <w:rsid w:val="1F452AE1"/>
    <w:rsid w:val="1F9811E7"/>
    <w:rsid w:val="1FD008DC"/>
    <w:rsid w:val="1FD941DA"/>
    <w:rsid w:val="1FE46201"/>
    <w:rsid w:val="1FE7539E"/>
    <w:rsid w:val="20103217"/>
    <w:rsid w:val="20346CD6"/>
    <w:rsid w:val="203D2A2D"/>
    <w:rsid w:val="205310B1"/>
    <w:rsid w:val="205E01F7"/>
    <w:rsid w:val="205E1FA5"/>
    <w:rsid w:val="20671BE0"/>
    <w:rsid w:val="206C46C2"/>
    <w:rsid w:val="208D44D8"/>
    <w:rsid w:val="209559D4"/>
    <w:rsid w:val="20963CB8"/>
    <w:rsid w:val="20A51982"/>
    <w:rsid w:val="20A81A1B"/>
    <w:rsid w:val="20B07FB6"/>
    <w:rsid w:val="20B646FB"/>
    <w:rsid w:val="213B74B1"/>
    <w:rsid w:val="214320A3"/>
    <w:rsid w:val="215A2310"/>
    <w:rsid w:val="21A8797C"/>
    <w:rsid w:val="21CA6954"/>
    <w:rsid w:val="21CE77C5"/>
    <w:rsid w:val="21D56325"/>
    <w:rsid w:val="21DE318A"/>
    <w:rsid w:val="21E14C3C"/>
    <w:rsid w:val="21EF5B80"/>
    <w:rsid w:val="22147380"/>
    <w:rsid w:val="22222456"/>
    <w:rsid w:val="224D407F"/>
    <w:rsid w:val="22576990"/>
    <w:rsid w:val="226E036B"/>
    <w:rsid w:val="22902CA4"/>
    <w:rsid w:val="22AD2D70"/>
    <w:rsid w:val="22D95F0F"/>
    <w:rsid w:val="22F47480"/>
    <w:rsid w:val="22FC5996"/>
    <w:rsid w:val="23076924"/>
    <w:rsid w:val="23357532"/>
    <w:rsid w:val="23645BCD"/>
    <w:rsid w:val="239A1546"/>
    <w:rsid w:val="23DE1C48"/>
    <w:rsid w:val="240210CD"/>
    <w:rsid w:val="240C0624"/>
    <w:rsid w:val="241D760B"/>
    <w:rsid w:val="24220B4B"/>
    <w:rsid w:val="24447577"/>
    <w:rsid w:val="246D6697"/>
    <w:rsid w:val="24BF09F7"/>
    <w:rsid w:val="24C01822"/>
    <w:rsid w:val="24F30A06"/>
    <w:rsid w:val="252D53FE"/>
    <w:rsid w:val="255D1F88"/>
    <w:rsid w:val="25794E3B"/>
    <w:rsid w:val="25C04087"/>
    <w:rsid w:val="25E60A73"/>
    <w:rsid w:val="25EC2D81"/>
    <w:rsid w:val="25EF28D1"/>
    <w:rsid w:val="26516E72"/>
    <w:rsid w:val="26527EB6"/>
    <w:rsid w:val="26712271"/>
    <w:rsid w:val="26756BE8"/>
    <w:rsid w:val="26897228"/>
    <w:rsid w:val="268B2A9D"/>
    <w:rsid w:val="268B5233"/>
    <w:rsid w:val="26BE651E"/>
    <w:rsid w:val="27231852"/>
    <w:rsid w:val="27333506"/>
    <w:rsid w:val="2762606A"/>
    <w:rsid w:val="277057A2"/>
    <w:rsid w:val="27735D42"/>
    <w:rsid w:val="277F2F2D"/>
    <w:rsid w:val="27846795"/>
    <w:rsid w:val="27AE656C"/>
    <w:rsid w:val="27D30E88"/>
    <w:rsid w:val="28045F82"/>
    <w:rsid w:val="2809471F"/>
    <w:rsid w:val="285764E7"/>
    <w:rsid w:val="288B3B53"/>
    <w:rsid w:val="28B371A5"/>
    <w:rsid w:val="28C12F19"/>
    <w:rsid w:val="28CA28CC"/>
    <w:rsid w:val="28CE5855"/>
    <w:rsid w:val="28DE54FC"/>
    <w:rsid w:val="28E0380C"/>
    <w:rsid w:val="28F171AF"/>
    <w:rsid w:val="29206EB8"/>
    <w:rsid w:val="29370FFC"/>
    <w:rsid w:val="29405849"/>
    <w:rsid w:val="29595666"/>
    <w:rsid w:val="29874881"/>
    <w:rsid w:val="29B52B06"/>
    <w:rsid w:val="29D566A1"/>
    <w:rsid w:val="29DA121A"/>
    <w:rsid w:val="29E325E0"/>
    <w:rsid w:val="29EE7EF6"/>
    <w:rsid w:val="29FF252A"/>
    <w:rsid w:val="2A0B4F4C"/>
    <w:rsid w:val="2A0E4D15"/>
    <w:rsid w:val="2A225F57"/>
    <w:rsid w:val="2A2C6C70"/>
    <w:rsid w:val="2A334248"/>
    <w:rsid w:val="2A452503"/>
    <w:rsid w:val="2A4E5039"/>
    <w:rsid w:val="2AE3365B"/>
    <w:rsid w:val="2AF6306C"/>
    <w:rsid w:val="2AF83194"/>
    <w:rsid w:val="2B0C0F7B"/>
    <w:rsid w:val="2B1C10CE"/>
    <w:rsid w:val="2B716447"/>
    <w:rsid w:val="2B8F1077"/>
    <w:rsid w:val="2B911481"/>
    <w:rsid w:val="2BA7319B"/>
    <w:rsid w:val="2BA936A8"/>
    <w:rsid w:val="2BB24858"/>
    <w:rsid w:val="2BC76C50"/>
    <w:rsid w:val="2BD70F6D"/>
    <w:rsid w:val="2C315A5A"/>
    <w:rsid w:val="2C4B1C25"/>
    <w:rsid w:val="2C583D4C"/>
    <w:rsid w:val="2C7C7A3B"/>
    <w:rsid w:val="2C8F5FE1"/>
    <w:rsid w:val="2D0029B2"/>
    <w:rsid w:val="2D37400A"/>
    <w:rsid w:val="2D3E1194"/>
    <w:rsid w:val="2D6C440C"/>
    <w:rsid w:val="2D8C2804"/>
    <w:rsid w:val="2D9E56F5"/>
    <w:rsid w:val="2DA66471"/>
    <w:rsid w:val="2DAC3BFD"/>
    <w:rsid w:val="2DE15063"/>
    <w:rsid w:val="2E667F96"/>
    <w:rsid w:val="2E67471B"/>
    <w:rsid w:val="2E6B1D1B"/>
    <w:rsid w:val="2E6B5F9A"/>
    <w:rsid w:val="2E8226AB"/>
    <w:rsid w:val="2E942B39"/>
    <w:rsid w:val="2E9A4AF0"/>
    <w:rsid w:val="2EAC37A0"/>
    <w:rsid w:val="2ED74225"/>
    <w:rsid w:val="2EEE14D8"/>
    <w:rsid w:val="2F1A761F"/>
    <w:rsid w:val="2F2D4712"/>
    <w:rsid w:val="2F3A60E3"/>
    <w:rsid w:val="2F8B75DA"/>
    <w:rsid w:val="2FCE5C39"/>
    <w:rsid w:val="2FD065E6"/>
    <w:rsid w:val="2FD96870"/>
    <w:rsid w:val="2FF24A22"/>
    <w:rsid w:val="2FF4615F"/>
    <w:rsid w:val="301601A6"/>
    <w:rsid w:val="30170357"/>
    <w:rsid w:val="30254764"/>
    <w:rsid w:val="30580BC9"/>
    <w:rsid w:val="30990E96"/>
    <w:rsid w:val="30AE4E49"/>
    <w:rsid w:val="30C109A6"/>
    <w:rsid w:val="30C73EA4"/>
    <w:rsid w:val="30D65765"/>
    <w:rsid w:val="31006C36"/>
    <w:rsid w:val="311E2ED7"/>
    <w:rsid w:val="312A59EA"/>
    <w:rsid w:val="315619EE"/>
    <w:rsid w:val="315C449C"/>
    <w:rsid w:val="316E00B0"/>
    <w:rsid w:val="318A2A52"/>
    <w:rsid w:val="31A57A34"/>
    <w:rsid w:val="31B82709"/>
    <w:rsid w:val="31D05482"/>
    <w:rsid w:val="321F369F"/>
    <w:rsid w:val="322224EA"/>
    <w:rsid w:val="32400B34"/>
    <w:rsid w:val="3267783E"/>
    <w:rsid w:val="32897E1C"/>
    <w:rsid w:val="32981379"/>
    <w:rsid w:val="329E6876"/>
    <w:rsid w:val="32AB5D01"/>
    <w:rsid w:val="32B048E2"/>
    <w:rsid w:val="32BA12BD"/>
    <w:rsid w:val="32BD56A6"/>
    <w:rsid w:val="32C74BA9"/>
    <w:rsid w:val="32DD57CB"/>
    <w:rsid w:val="32F72E8D"/>
    <w:rsid w:val="33125FCF"/>
    <w:rsid w:val="331F3816"/>
    <w:rsid w:val="332C16ED"/>
    <w:rsid w:val="333015F2"/>
    <w:rsid w:val="334B6320"/>
    <w:rsid w:val="33501E4A"/>
    <w:rsid w:val="33527747"/>
    <w:rsid w:val="335E4607"/>
    <w:rsid w:val="337376D3"/>
    <w:rsid w:val="33765F6C"/>
    <w:rsid w:val="33D934D4"/>
    <w:rsid w:val="33EA31A7"/>
    <w:rsid w:val="33FE2F6A"/>
    <w:rsid w:val="340E07E5"/>
    <w:rsid w:val="34235BF7"/>
    <w:rsid w:val="34383D9A"/>
    <w:rsid w:val="343C6163"/>
    <w:rsid w:val="3495179E"/>
    <w:rsid w:val="34DB140D"/>
    <w:rsid w:val="350379D2"/>
    <w:rsid w:val="350C70EE"/>
    <w:rsid w:val="356D4ADA"/>
    <w:rsid w:val="357D0C50"/>
    <w:rsid w:val="3586450E"/>
    <w:rsid w:val="35883A00"/>
    <w:rsid w:val="358C5FA8"/>
    <w:rsid w:val="3596327C"/>
    <w:rsid w:val="35A61EB8"/>
    <w:rsid w:val="35A67322"/>
    <w:rsid w:val="35B8665A"/>
    <w:rsid w:val="35BD0021"/>
    <w:rsid w:val="35C15DF1"/>
    <w:rsid w:val="35D74FDB"/>
    <w:rsid w:val="36074A7F"/>
    <w:rsid w:val="36211653"/>
    <w:rsid w:val="3641163C"/>
    <w:rsid w:val="36577894"/>
    <w:rsid w:val="366F21BD"/>
    <w:rsid w:val="36923549"/>
    <w:rsid w:val="36B75FBF"/>
    <w:rsid w:val="36BD0C45"/>
    <w:rsid w:val="36D10B4D"/>
    <w:rsid w:val="37166D64"/>
    <w:rsid w:val="37862924"/>
    <w:rsid w:val="378B215E"/>
    <w:rsid w:val="37B97C84"/>
    <w:rsid w:val="37E00298"/>
    <w:rsid w:val="37EC5FE6"/>
    <w:rsid w:val="38237904"/>
    <w:rsid w:val="38561E35"/>
    <w:rsid w:val="385B1422"/>
    <w:rsid w:val="38911C54"/>
    <w:rsid w:val="38B302F9"/>
    <w:rsid w:val="38C74D5D"/>
    <w:rsid w:val="38F12CD3"/>
    <w:rsid w:val="38F94775"/>
    <w:rsid w:val="39203FFE"/>
    <w:rsid w:val="392971ED"/>
    <w:rsid w:val="39325651"/>
    <w:rsid w:val="39337502"/>
    <w:rsid w:val="39344A8D"/>
    <w:rsid w:val="39623412"/>
    <w:rsid w:val="39C0008E"/>
    <w:rsid w:val="3A1D5EDB"/>
    <w:rsid w:val="3A56477C"/>
    <w:rsid w:val="3A6E2156"/>
    <w:rsid w:val="3A751F6D"/>
    <w:rsid w:val="3A812DDD"/>
    <w:rsid w:val="3A872856"/>
    <w:rsid w:val="3A8A1C91"/>
    <w:rsid w:val="3AA76476"/>
    <w:rsid w:val="3B0F5F1E"/>
    <w:rsid w:val="3B154F7C"/>
    <w:rsid w:val="3B164D2C"/>
    <w:rsid w:val="3B337E5E"/>
    <w:rsid w:val="3B3763D1"/>
    <w:rsid w:val="3B4C1E1D"/>
    <w:rsid w:val="3B5123CB"/>
    <w:rsid w:val="3B6D76D3"/>
    <w:rsid w:val="3B9D34A9"/>
    <w:rsid w:val="3BE949C1"/>
    <w:rsid w:val="3BED2703"/>
    <w:rsid w:val="3C2F6E1E"/>
    <w:rsid w:val="3C4F64BA"/>
    <w:rsid w:val="3C6B4749"/>
    <w:rsid w:val="3C6D73A0"/>
    <w:rsid w:val="3CDA245A"/>
    <w:rsid w:val="3D1E06B7"/>
    <w:rsid w:val="3D3D5401"/>
    <w:rsid w:val="3D917A06"/>
    <w:rsid w:val="3DA43295"/>
    <w:rsid w:val="3DBA40A0"/>
    <w:rsid w:val="3DC56D68"/>
    <w:rsid w:val="3DF31F7D"/>
    <w:rsid w:val="3DF73CE7"/>
    <w:rsid w:val="3DFD6240"/>
    <w:rsid w:val="3E1E2EB4"/>
    <w:rsid w:val="3E29379B"/>
    <w:rsid w:val="3E765781"/>
    <w:rsid w:val="3E7E7642"/>
    <w:rsid w:val="3E806EB1"/>
    <w:rsid w:val="3E8A4F9E"/>
    <w:rsid w:val="3EBE5C37"/>
    <w:rsid w:val="3ECA4B48"/>
    <w:rsid w:val="3ECC2AA4"/>
    <w:rsid w:val="3EDA0523"/>
    <w:rsid w:val="3EEE0039"/>
    <w:rsid w:val="3EEF05DA"/>
    <w:rsid w:val="3EF00600"/>
    <w:rsid w:val="3EF53AA7"/>
    <w:rsid w:val="3F033FEC"/>
    <w:rsid w:val="3F0365C7"/>
    <w:rsid w:val="3F0B3A0A"/>
    <w:rsid w:val="3F6E64A0"/>
    <w:rsid w:val="3F926809"/>
    <w:rsid w:val="3FCA4140"/>
    <w:rsid w:val="402335DF"/>
    <w:rsid w:val="403503FB"/>
    <w:rsid w:val="407A6407"/>
    <w:rsid w:val="4081341A"/>
    <w:rsid w:val="40905F1A"/>
    <w:rsid w:val="409B5894"/>
    <w:rsid w:val="40AF790C"/>
    <w:rsid w:val="40B3417D"/>
    <w:rsid w:val="41091CFF"/>
    <w:rsid w:val="411E335F"/>
    <w:rsid w:val="412020E6"/>
    <w:rsid w:val="413D61B0"/>
    <w:rsid w:val="415B7F84"/>
    <w:rsid w:val="416A64CB"/>
    <w:rsid w:val="418A51A1"/>
    <w:rsid w:val="419378A9"/>
    <w:rsid w:val="41B41965"/>
    <w:rsid w:val="41B75138"/>
    <w:rsid w:val="41DB2618"/>
    <w:rsid w:val="41DF5F1B"/>
    <w:rsid w:val="4200449D"/>
    <w:rsid w:val="42366486"/>
    <w:rsid w:val="423A3BCC"/>
    <w:rsid w:val="423C4631"/>
    <w:rsid w:val="423D5921"/>
    <w:rsid w:val="42435874"/>
    <w:rsid w:val="424E57D2"/>
    <w:rsid w:val="42765082"/>
    <w:rsid w:val="42B26C49"/>
    <w:rsid w:val="42DD3505"/>
    <w:rsid w:val="430A6196"/>
    <w:rsid w:val="433A6FE6"/>
    <w:rsid w:val="43480868"/>
    <w:rsid w:val="4350713C"/>
    <w:rsid w:val="43566DE0"/>
    <w:rsid w:val="435B519B"/>
    <w:rsid w:val="435F23CA"/>
    <w:rsid w:val="436653E0"/>
    <w:rsid w:val="43AF144D"/>
    <w:rsid w:val="43C4431A"/>
    <w:rsid w:val="43C54BB5"/>
    <w:rsid w:val="43CC740D"/>
    <w:rsid w:val="43F735BB"/>
    <w:rsid w:val="44083ACA"/>
    <w:rsid w:val="440A0153"/>
    <w:rsid w:val="44140C2A"/>
    <w:rsid w:val="44314AEE"/>
    <w:rsid w:val="44935E12"/>
    <w:rsid w:val="44B951CC"/>
    <w:rsid w:val="44C51FA7"/>
    <w:rsid w:val="44CD14E0"/>
    <w:rsid w:val="44F20B0B"/>
    <w:rsid w:val="4513380A"/>
    <w:rsid w:val="452E5F4C"/>
    <w:rsid w:val="454551A7"/>
    <w:rsid w:val="45612018"/>
    <w:rsid w:val="458946E9"/>
    <w:rsid w:val="45A47C0E"/>
    <w:rsid w:val="4607616F"/>
    <w:rsid w:val="46577FD6"/>
    <w:rsid w:val="465B64BB"/>
    <w:rsid w:val="4662784A"/>
    <w:rsid w:val="4697216A"/>
    <w:rsid w:val="46CD624D"/>
    <w:rsid w:val="46D955A7"/>
    <w:rsid w:val="46FA2B7E"/>
    <w:rsid w:val="47133957"/>
    <w:rsid w:val="47176886"/>
    <w:rsid w:val="479C316A"/>
    <w:rsid w:val="47A07E0C"/>
    <w:rsid w:val="47D2124A"/>
    <w:rsid w:val="47DE0B15"/>
    <w:rsid w:val="47E440F8"/>
    <w:rsid w:val="47F16A4D"/>
    <w:rsid w:val="480F05D2"/>
    <w:rsid w:val="48541414"/>
    <w:rsid w:val="485853A8"/>
    <w:rsid w:val="4870272E"/>
    <w:rsid w:val="4896651A"/>
    <w:rsid w:val="48D34A2F"/>
    <w:rsid w:val="48EC175E"/>
    <w:rsid w:val="492A3BE4"/>
    <w:rsid w:val="494463F6"/>
    <w:rsid w:val="494A7116"/>
    <w:rsid w:val="494C701D"/>
    <w:rsid w:val="495B1666"/>
    <w:rsid w:val="496433AE"/>
    <w:rsid w:val="4970210B"/>
    <w:rsid w:val="497941A2"/>
    <w:rsid w:val="49917DE8"/>
    <w:rsid w:val="4993647D"/>
    <w:rsid w:val="49975350"/>
    <w:rsid w:val="499B3937"/>
    <w:rsid w:val="49D35DF5"/>
    <w:rsid w:val="49DC7715"/>
    <w:rsid w:val="4A023139"/>
    <w:rsid w:val="4A062EB1"/>
    <w:rsid w:val="4A1D1740"/>
    <w:rsid w:val="4A290607"/>
    <w:rsid w:val="4A5C2802"/>
    <w:rsid w:val="4A7B576F"/>
    <w:rsid w:val="4A875FDB"/>
    <w:rsid w:val="4AA743C5"/>
    <w:rsid w:val="4ACF7478"/>
    <w:rsid w:val="4AE72962"/>
    <w:rsid w:val="4AF561A9"/>
    <w:rsid w:val="4B0F73DE"/>
    <w:rsid w:val="4B0F78AC"/>
    <w:rsid w:val="4B2E614C"/>
    <w:rsid w:val="4B3D3B99"/>
    <w:rsid w:val="4B5C3E1A"/>
    <w:rsid w:val="4B946C98"/>
    <w:rsid w:val="4BF23577"/>
    <w:rsid w:val="4BFE25DB"/>
    <w:rsid w:val="4C362300"/>
    <w:rsid w:val="4C4634F1"/>
    <w:rsid w:val="4C4A0649"/>
    <w:rsid w:val="4C5475AD"/>
    <w:rsid w:val="4C78250B"/>
    <w:rsid w:val="4C7E5ECA"/>
    <w:rsid w:val="4C8311CB"/>
    <w:rsid w:val="4C876AA5"/>
    <w:rsid w:val="4CE03BBE"/>
    <w:rsid w:val="4D0E00FB"/>
    <w:rsid w:val="4D112048"/>
    <w:rsid w:val="4D176606"/>
    <w:rsid w:val="4D4344CF"/>
    <w:rsid w:val="4D6B5C52"/>
    <w:rsid w:val="4D6F4A7B"/>
    <w:rsid w:val="4D971D55"/>
    <w:rsid w:val="4DA90454"/>
    <w:rsid w:val="4DBE466C"/>
    <w:rsid w:val="4DE5017B"/>
    <w:rsid w:val="4DE94FB5"/>
    <w:rsid w:val="4DEC4FB0"/>
    <w:rsid w:val="4E075D8A"/>
    <w:rsid w:val="4E0F1241"/>
    <w:rsid w:val="4E7445BE"/>
    <w:rsid w:val="4EC00FAD"/>
    <w:rsid w:val="4EC5306C"/>
    <w:rsid w:val="4F05568E"/>
    <w:rsid w:val="4F080546"/>
    <w:rsid w:val="4F2A1121"/>
    <w:rsid w:val="4F5175BB"/>
    <w:rsid w:val="4F5575B8"/>
    <w:rsid w:val="4F6F62C3"/>
    <w:rsid w:val="4F7C5744"/>
    <w:rsid w:val="4F9843DC"/>
    <w:rsid w:val="4FA371D7"/>
    <w:rsid w:val="4FB82BD0"/>
    <w:rsid w:val="4FC153E4"/>
    <w:rsid w:val="4FC62A8C"/>
    <w:rsid w:val="4FE20F0D"/>
    <w:rsid w:val="4FE51552"/>
    <w:rsid w:val="5003637D"/>
    <w:rsid w:val="503264DF"/>
    <w:rsid w:val="50467F2A"/>
    <w:rsid w:val="50504C4B"/>
    <w:rsid w:val="505446A7"/>
    <w:rsid w:val="509C6E7C"/>
    <w:rsid w:val="50BC4BF9"/>
    <w:rsid w:val="50CB07DD"/>
    <w:rsid w:val="50CE7C05"/>
    <w:rsid w:val="510238A1"/>
    <w:rsid w:val="513E0EB3"/>
    <w:rsid w:val="5162104E"/>
    <w:rsid w:val="51BB0DAD"/>
    <w:rsid w:val="51BB6891"/>
    <w:rsid w:val="51D0595D"/>
    <w:rsid w:val="52036385"/>
    <w:rsid w:val="52043EAB"/>
    <w:rsid w:val="5229557F"/>
    <w:rsid w:val="526B0528"/>
    <w:rsid w:val="52C27F12"/>
    <w:rsid w:val="52D14142"/>
    <w:rsid w:val="52FF2454"/>
    <w:rsid w:val="5325057D"/>
    <w:rsid w:val="5363150A"/>
    <w:rsid w:val="5373753A"/>
    <w:rsid w:val="53963CFA"/>
    <w:rsid w:val="53A039CC"/>
    <w:rsid w:val="53A1505A"/>
    <w:rsid w:val="53B45F49"/>
    <w:rsid w:val="53C03E02"/>
    <w:rsid w:val="53CE5EE0"/>
    <w:rsid w:val="53D669F4"/>
    <w:rsid w:val="54063E08"/>
    <w:rsid w:val="543211F5"/>
    <w:rsid w:val="543437E8"/>
    <w:rsid w:val="54382F12"/>
    <w:rsid w:val="544F1C48"/>
    <w:rsid w:val="549C7626"/>
    <w:rsid w:val="54A06C85"/>
    <w:rsid w:val="54C00BB1"/>
    <w:rsid w:val="54D23DEC"/>
    <w:rsid w:val="54F73313"/>
    <w:rsid w:val="54F80955"/>
    <w:rsid w:val="552E69F8"/>
    <w:rsid w:val="555170A7"/>
    <w:rsid w:val="556E6389"/>
    <w:rsid w:val="5587536D"/>
    <w:rsid w:val="559B174B"/>
    <w:rsid w:val="55A90FF1"/>
    <w:rsid w:val="55C213F6"/>
    <w:rsid w:val="55CE0CF4"/>
    <w:rsid w:val="55E92386"/>
    <w:rsid w:val="56513437"/>
    <w:rsid w:val="56724B3C"/>
    <w:rsid w:val="568E1C5D"/>
    <w:rsid w:val="56B22A9C"/>
    <w:rsid w:val="56FB3ACE"/>
    <w:rsid w:val="570551D0"/>
    <w:rsid w:val="57727B09"/>
    <w:rsid w:val="578130E3"/>
    <w:rsid w:val="57B72A76"/>
    <w:rsid w:val="57C049F1"/>
    <w:rsid w:val="57C3426C"/>
    <w:rsid w:val="57CE1F93"/>
    <w:rsid w:val="57DC28F9"/>
    <w:rsid w:val="57EF188D"/>
    <w:rsid w:val="58000136"/>
    <w:rsid w:val="58101699"/>
    <w:rsid w:val="58124717"/>
    <w:rsid w:val="583B2AB7"/>
    <w:rsid w:val="585B01EC"/>
    <w:rsid w:val="586144EF"/>
    <w:rsid w:val="586F67F3"/>
    <w:rsid w:val="588743D1"/>
    <w:rsid w:val="5887701A"/>
    <w:rsid w:val="58B8740D"/>
    <w:rsid w:val="58BD19D9"/>
    <w:rsid w:val="58C55960"/>
    <w:rsid w:val="58C94FFB"/>
    <w:rsid w:val="58E714F5"/>
    <w:rsid w:val="58F1343F"/>
    <w:rsid w:val="592A27C6"/>
    <w:rsid w:val="59C0439F"/>
    <w:rsid w:val="59D949F9"/>
    <w:rsid w:val="59E44544"/>
    <w:rsid w:val="59EF593E"/>
    <w:rsid w:val="5A567091"/>
    <w:rsid w:val="5A6C0EED"/>
    <w:rsid w:val="5A7D3838"/>
    <w:rsid w:val="5ABA3CA0"/>
    <w:rsid w:val="5ABE2233"/>
    <w:rsid w:val="5AD01E87"/>
    <w:rsid w:val="5AD32CC4"/>
    <w:rsid w:val="5AE83531"/>
    <w:rsid w:val="5AF32D0E"/>
    <w:rsid w:val="5B332ED4"/>
    <w:rsid w:val="5B372BFB"/>
    <w:rsid w:val="5B435268"/>
    <w:rsid w:val="5B52500C"/>
    <w:rsid w:val="5B6D7E13"/>
    <w:rsid w:val="5B8D5164"/>
    <w:rsid w:val="5B9261ED"/>
    <w:rsid w:val="5BAA161F"/>
    <w:rsid w:val="5BC53F6F"/>
    <w:rsid w:val="5BD772DE"/>
    <w:rsid w:val="5BDC37A3"/>
    <w:rsid w:val="5BDE1292"/>
    <w:rsid w:val="5BDF5D95"/>
    <w:rsid w:val="5BFE7528"/>
    <w:rsid w:val="5C69772C"/>
    <w:rsid w:val="5C88045F"/>
    <w:rsid w:val="5CF063D5"/>
    <w:rsid w:val="5D121B72"/>
    <w:rsid w:val="5D2418A5"/>
    <w:rsid w:val="5D703A36"/>
    <w:rsid w:val="5DA362FB"/>
    <w:rsid w:val="5DF41E52"/>
    <w:rsid w:val="5E2467F1"/>
    <w:rsid w:val="5E2558D5"/>
    <w:rsid w:val="5E2735E1"/>
    <w:rsid w:val="5E2D53C8"/>
    <w:rsid w:val="5E3C4389"/>
    <w:rsid w:val="5E5452F3"/>
    <w:rsid w:val="5E9B14E6"/>
    <w:rsid w:val="5ED310E6"/>
    <w:rsid w:val="5F1A2B43"/>
    <w:rsid w:val="5F36141C"/>
    <w:rsid w:val="5F3E1E41"/>
    <w:rsid w:val="5F524FAD"/>
    <w:rsid w:val="5F5E3448"/>
    <w:rsid w:val="5F6E6E08"/>
    <w:rsid w:val="5F7C1524"/>
    <w:rsid w:val="5FB837BB"/>
    <w:rsid w:val="5FE35516"/>
    <w:rsid w:val="60151BC1"/>
    <w:rsid w:val="601B6F8F"/>
    <w:rsid w:val="602E59FB"/>
    <w:rsid w:val="602F66FD"/>
    <w:rsid w:val="606C695F"/>
    <w:rsid w:val="608C0FF4"/>
    <w:rsid w:val="60CC405A"/>
    <w:rsid w:val="60D07D7A"/>
    <w:rsid w:val="61245221"/>
    <w:rsid w:val="612709E3"/>
    <w:rsid w:val="61357BDD"/>
    <w:rsid w:val="61745166"/>
    <w:rsid w:val="61CF7083"/>
    <w:rsid w:val="61D4770E"/>
    <w:rsid w:val="61E215D8"/>
    <w:rsid w:val="61EA3C5F"/>
    <w:rsid w:val="61EF4C0B"/>
    <w:rsid w:val="621B3775"/>
    <w:rsid w:val="62364782"/>
    <w:rsid w:val="624D2976"/>
    <w:rsid w:val="62662349"/>
    <w:rsid w:val="6271012F"/>
    <w:rsid w:val="62792150"/>
    <w:rsid w:val="62A65FAA"/>
    <w:rsid w:val="62AC242B"/>
    <w:rsid w:val="62D56E58"/>
    <w:rsid w:val="62F553D0"/>
    <w:rsid w:val="63072016"/>
    <w:rsid w:val="631C6AF1"/>
    <w:rsid w:val="63474D9C"/>
    <w:rsid w:val="63650113"/>
    <w:rsid w:val="6394356A"/>
    <w:rsid w:val="63A76B99"/>
    <w:rsid w:val="63B77607"/>
    <w:rsid w:val="63BD6EFE"/>
    <w:rsid w:val="63C61B2C"/>
    <w:rsid w:val="63D40BE9"/>
    <w:rsid w:val="63DB7D1C"/>
    <w:rsid w:val="63F70A4B"/>
    <w:rsid w:val="64033421"/>
    <w:rsid w:val="64102431"/>
    <w:rsid w:val="642342DE"/>
    <w:rsid w:val="64390F75"/>
    <w:rsid w:val="64452173"/>
    <w:rsid w:val="644A486E"/>
    <w:rsid w:val="647A2BDD"/>
    <w:rsid w:val="64915A72"/>
    <w:rsid w:val="64986E00"/>
    <w:rsid w:val="64A5243A"/>
    <w:rsid w:val="64F531DE"/>
    <w:rsid w:val="650A1380"/>
    <w:rsid w:val="65373578"/>
    <w:rsid w:val="653D09BB"/>
    <w:rsid w:val="6543450A"/>
    <w:rsid w:val="6557354E"/>
    <w:rsid w:val="658070D6"/>
    <w:rsid w:val="658C3B58"/>
    <w:rsid w:val="66072780"/>
    <w:rsid w:val="66143184"/>
    <w:rsid w:val="664C1584"/>
    <w:rsid w:val="66560D21"/>
    <w:rsid w:val="667A11E5"/>
    <w:rsid w:val="669E3BE7"/>
    <w:rsid w:val="66B52CD4"/>
    <w:rsid w:val="66C157C0"/>
    <w:rsid w:val="66DD2A6B"/>
    <w:rsid w:val="671F124A"/>
    <w:rsid w:val="672506F4"/>
    <w:rsid w:val="6739419F"/>
    <w:rsid w:val="6746111A"/>
    <w:rsid w:val="677772D0"/>
    <w:rsid w:val="677A33C6"/>
    <w:rsid w:val="67CC0B6F"/>
    <w:rsid w:val="68064081"/>
    <w:rsid w:val="681F6961"/>
    <w:rsid w:val="683A3A5E"/>
    <w:rsid w:val="683C6F7D"/>
    <w:rsid w:val="68442DFB"/>
    <w:rsid w:val="684D3AE6"/>
    <w:rsid w:val="685768DD"/>
    <w:rsid w:val="68610A2F"/>
    <w:rsid w:val="68805514"/>
    <w:rsid w:val="6892654B"/>
    <w:rsid w:val="68A5554E"/>
    <w:rsid w:val="68AF5DDF"/>
    <w:rsid w:val="68C53F3C"/>
    <w:rsid w:val="68F330E1"/>
    <w:rsid w:val="68FD25A3"/>
    <w:rsid w:val="69066C92"/>
    <w:rsid w:val="69316E2F"/>
    <w:rsid w:val="693D02FA"/>
    <w:rsid w:val="694E2071"/>
    <w:rsid w:val="696A4AE4"/>
    <w:rsid w:val="69747D96"/>
    <w:rsid w:val="69766163"/>
    <w:rsid w:val="697A3B33"/>
    <w:rsid w:val="69856AE1"/>
    <w:rsid w:val="69A97838"/>
    <w:rsid w:val="69CE6E20"/>
    <w:rsid w:val="69D04006"/>
    <w:rsid w:val="69D44760"/>
    <w:rsid w:val="69DC343F"/>
    <w:rsid w:val="69FB2B09"/>
    <w:rsid w:val="69FE3A8B"/>
    <w:rsid w:val="6A0D3B18"/>
    <w:rsid w:val="6A1C61E1"/>
    <w:rsid w:val="6A520EC7"/>
    <w:rsid w:val="6A5C26FE"/>
    <w:rsid w:val="6A622E47"/>
    <w:rsid w:val="6A74729B"/>
    <w:rsid w:val="6A8556AB"/>
    <w:rsid w:val="6A902328"/>
    <w:rsid w:val="6AD82F38"/>
    <w:rsid w:val="6AD86615"/>
    <w:rsid w:val="6AF02F23"/>
    <w:rsid w:val="6AF87E20"/>
    <w:rsid w:val="6B2F022A"/>
    <w:rsid w:val="6B322639"/>
    <w:rsid w:val="6B4B3105"/>
    <w:rsid w:val="6BD278ED"/>
    <w:rsid w:val="6BEA0A76"/>
    <w:rsid w:val="6C636C38"/>
    <w:rsid w:val="6CDC08B1"/>
    <w:rsid w:val="6D033F9F"/>
    <w:rsid w:val="6D113010"/>
    <w:rsid w:val="6D301158"/>
    <w:rsid w:val="6D3E3935"/>
    <w:rsid w:val="6D8545BE"/>
    <w:rsid w:val="6DA63E09"/>
    <w:rsid w:val="6DB34098"/>
    <w:rsid w:val="6DB545B6"/>
    <w:rsid w:val="6DBA36F8"/>
    <w:rsid w:val="6DD531CE"/>
    <w:rsid w:val="6DE02FB4"/>
    <w:rsid w:val="6DFB21AE"/>
    <w:rsid w:val="6E313E22"/>
    <w:rsid w:val="6E514CED"/>
    <w:rsid w:val="6E67025A"/>
    <w:rsid w:val="6E706FDE"/>
    <w:rsid w:val="6E9B51D1"/>
    <w:rsid w:val="6EA33CF4"/>
    <w:rsid w:val="6EB563D5"/>
    <w:rsid w:val="6ED92677"/>
    <w:rsid w:val="6EF94770"/>
    <w:rsid w:val="6F225983"/>
    <w:rsid w:val="6F8E0DA0"/>
    <w:rsid w:val="6FBD613F"/>
    <w:rsid w:val="6FDA6AA0"/>
    <w:rsid w:val="6FEE27CB"/>
    <w:rsid w:val="6FFC5590"/>
    <w:rsid w:val="70010AB8"/>
    <w:rsid w:val="701201E0"/>
    <w:rsid w:val="706D1DD0"/>
    <w:rsid w:val="70700C31"/>
    <w:rsid w:val="707A08E1"/>
    <w:rsid w:val="70856B87"/>
    <w:rsid w:val="708D0F8E"/>
    <w:rsid w:val="70A419DB"/>
    <w:rsid w:val="70CE6DF3"/>
    <w:rsid w:val="70D527EE"/>
    <w:rsid w:val="712E7B77"/>
    <w:rsid w:val="715461E1"/>
    <w:rsid w:val="715A0AFD"/>
    <w:rsid w:val="715B5300"/>
    <w:rsid w:val="71664AA5"/>
    <w:rsid w:val="71903BB4"/>
    <w:rsid w:val="71CE07C3"/>
    <w:rsid w:val="71D27F8A"/>
    <w:rsid w:val="72261199"/>
    <w:rsid w:val="72331F17"/>
    <w:rsid w:val="72553024"/>
    <w:rsid w:val="72921C61"/>
    <w:rsid w:val="72B8387D"/>
    <w:rsid w:val="72DA6836"/>
    <w:rsid w:val="730A137F"/>
    <w:rsid w:val="73122968"/>
    <w:rsid w:val="73142D6B"/>
    <w:rsid w:val="731F5D5E"/>
    <w:rsid w:val="732C65AC"/>
    <w:rsid w:val="73857529"/>
    <w:rsid w:val="73886292"/>
    <w:rsid w:val="73A478B6"/>
    <w:rsid w:val="73AC46F7"/>
    <w:rsid w:val="73C51AD5"/>
    <w:rsid w:val="73F009B3"/>
    <w:rsid w:val="740C2DE4"/>
    <w:rsid w:val="74113C8D"/>
    <w:rsid w:val="741602BA"/>
    <w:rsid w:val="741E793C"/>
    <w:rsid w:val="74404DBF"/>
    <w:rsid w:val="74450733"/>
    <w:rsid w:val="745E3944"/>
    <w:rsid w:val="74762A65"/>
    <w:rsid w:val="74856C75"/>
    <w:rsid w:val="74B73A8F"/>
    <w:rsid w:val="74C10547"/>
    <w:rsid w:val="75073186"/>
    <w:rsid w:val="75792336"/>
    <w:rsid w:val="75963B29"/>
    <w:rsid w:val="75B710B1"/>
    <w:rsid w:val="75E91F88"/>
    <w:rsid w:val="76052538"/>
    <w:rsid w:val="7635099D"/>
    <w:rsid w:val="76650B0D"/>
    <w:rsid w:val="767D7C04"/>
    <w:rsid w:val="76C21ABB"/>
    <w:rsid w:val="76E01F43"/>
    <w:rsid w:val="76F2314F"/>
    <w:rsid w:val="76F66C9F"/>
    <w:rsid w:val="76FF0C26"/>
    <w:rsid w:val="77517D6E"/>
    <w:rsid w:val="77762421"/>
    <w:rsid w:val="777D6783"/>
    <w:rsid w:val="77B56B1F"/>
    <w:rsid w:val="77B92741"/>
    <w:rsid w:val="77F75794"/>
    <w:rsid w:val="780F09F4"/>
    <w:rsid w:val="781B5A17"/>
    <w:rsid w:val="78493FAA"/>
    <w:rsid w:val="786E1D9F"/>
    <w:rsid w:val="78A90480"/>
    <w:rsid w:val="797D616D"/>
    <w:rsid w:val="79CE276B"/>
    <w:rsid w:val="7A1C3FAC"/>
    <w:rsid w:val="7A29287B"/>
    <w:rsid w:val="7A364017"/>
    <w:rsid w:val="7A763947"/>
    <w:rsid w:val="7A8265E1"/>
    <w:rsid w:val="7A862E00"/>
    <w:rsid w:val="7A9F497D"/>
    <w:rsid w:val="7AA97EC5"/>
    <w:rsid w:val="7AB07205"/>
    <w:rsid w:val="7B686D42"/>
    <w:rsid w:val="7B772DF8"/>
    <w:rsid w:val="7B825CBD"/>
    <w:rsid w:val="7B841746"/>
    <w:rsid w:val="7B9642F1"/>
    <w:rsid w:val="7BB720BB"/>
    <w:rsid w:val="7C095BE1"/>
    <w:rsid w:val="7C6C5AC7"/>
    <w:rsid w:val="7C954B88"/>
    <w:rsid w:val="7CC6544B"/>
    <w:rsid w:val="7CD32E12"/>
    <w:rsid w:val="7CDC0712"/>
    <w:rsid w:val="7D0239FF"/>
    <w:rsid w:val="7D1363DA"/>
    <w:rsid w:val="7D4E2D7E"/>
    <w:rsid w:val="7D592A4D"/>
    <w:rsid w:val="7D5E40CD"/>
    <w:rsid w:val="7D6848ED"/>
    <w:rsid w:val="7D9B6C51"/>
    <w:rsid w:val="7DCD56F2"/>
    <w:rsid w:val="7DF7700A"/>
    <w:rsid w:val="7E282B4B"/>
    <w:rsid w:val="7E2B71FE"/>
    <w:rsid w:val="7E3C487A"/>
    <w:rsid w:val="7E454594"/>
    <w:rsid w:val="7E6C5C55"/>
    <w:rsid w:val="7E765542"/>
    <w:rsid w:val="7EDF70A6"/>
    <w:rsid w:val="7F001CE7"/>
    <w:rsid w:val="7F176D3A"/>
    <w:rsid w:val="7F280929"/>
    <w:rsid w:val="7F357588"/>
    <w:rsid w:val="7F58120E"/>
    <w:rsid w:val="7FA51F7A"/>
    <w:rsid w:val="7FA95EBE"/>
    <w:rsid w:val="7FB440DD"/>
    <w:rsid w:val="7FD77417"/>
    <w:rsid w:val="7FE47E50"/>
    <w:rsid w:val="9DFFE4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nhideWhenUsed="0" w:uiPriority="9" w:semiHidden="0" w:name="heading 2" w:locked="1"/>
    <w:lsdException w:qFormat="1" w:unhideWhenUsed="0" w:uiPriority="9"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qFormat="1"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qFormat="1" w:unhideWhenUsed="0" w:uiPriority="39" w:semiHidden="0" w:name="toc 4" w:locked="1"/>
    <w:lsdException w:qFormat="1" w:unhideWhenUsed="0" w:uiPriority="39" w:semiHidden="0" w:name="toc 5" w:locked="1"/>
    <w:lsdException w:qFormat="1" w:unhideWhenUsed="0" w:uiPriority="39" w:semiHidden="0" w:name="toc 6" w:locked="1"/>
    <w:lsdException w:qFormat="1" w:unhideWhenUsed="0" w:uiPriority="39" w:semiHidden="0" w:name="toc 7" w:locked="1"/>
    <w:lsdException w:qFormat="1" w:unhideWhenUsed="0" w:uiPriority="39" w:semiHidden="0" w:name="toc 8" w:locked="1"/>
    <w:lsdException w:qFormat="1" w:unhideWhenUsed="0" w:uiPriority="39" w:semiHidden="0" w:name="toc 9" w:locked="1"/>
    <w:lsdException w:qFormat="1" w:unhideWhenUsed="0" w:uiPriority="99" w:semiHidden="0" w:name="Normal Indent" w:locked="1"/>
    <w:lsdException w:qFormat="1" w:unhideWhenUsed="0" w:uiPriority="0" w:semiHidden="0" w:name="footnote text" w:locked="1"/>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ocked="1"/>
    <w:lsdException w:qFormat="1" w:unhideWhenUsed="0" w:uiPriority="35" w:semiHidden="0" w:name="caption" w:locked="1"/>
    <w:lsdException w:qFormat="1" w:unhideWhenUsed="0" w:uiPriority="0" w:semiHidden="0" w:name="table of figures" w:locked="1"/>
    <w:lsdException w:qFormat="1" w:unhideWhenUsed="0" w:uiPriority="0" w:semiHidden="0" w:name="envelope address" w:locked="1"/>
    <w:lsdException w:qFormat="1" w:unhideWhenUsed="0" w:uiPriority="0" w:semiHidden="0" w:name="envelope return" w:locked="1"/>
    <w:lsdException w:qFormat="1"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qFormat="1" w:unhideWhenUsed="0" w:uiPriority="0" w:semiHidden="0" w:name="endnote reference" w:locked="1"/>
    <w:lsdException w:qFormat="1" w:unhideWhenUsed="0" w:uiPriority="0" w:semiHidden="0" w:name="endnote text" w:locked="1"/>
    <w:lsdException w:qFormat="1" w:unhideWhenUsed="0" w:uiPriority="0" w:semiHidden="0" w:name="table of authorities" w:locked="1"/>
    <w:lsdException w:qFormat="1" w:unhideWhenUsed="0" w:uiPriority="0" w:semiHidden="0" w:name="macro" w:locked="1"/>
    <w:lsdException w:qFormat="1" w:unhideWhenUsed="0" w:uiPriority="0" w:semiHidden="0" w:name="toa heading" w:locked="1"/>
    <w:lsdException w:qFormat="1" w:unhideWhenUsed="0" w:uiPriority="0" w:semiHidden="0" w:name="List" w:locked="1"/>
    <w:lsdException w:qFormat="1" w:unhideWhenUsed="0" w:uiPriority="0" w:semiHidden="0" w:name="List Bullet" w:locked="1"/>
    <w:lsdException w:qFormat="1" w:unhideWhenUsed="0" w:uiPriority="0" w:semiHidden="0" w:name="List Number" w:locked="1"/>
    <w:lsdException w:qFormat="1" w:unhideWhenUsed="0" w:uiPriority="0" w:semiHidden="0" w:name="List 2" w:locked="1"/>
    <w:lsdException w:qFormat="1" w:unhideWhenUsed="0" w:uiPriority="0" w:semiHidden="0" w:name="List 3" w:locked="1"/>
    <w:lsdException w:qFormat="1" w:unhideWhenUsed="0" w:uiPriority="0" w:semiHidden="0" w:name="List 4" w:locked="1"/>
    <w:lsdException w:qFormat="1" w:unhideWhenUsed="0" w:uiPriority="0" w:semiHidden="0" w:name="List 5" w:locked="1"/>
    <w:lsdException w:qFormat="1" w:unhideWhenUsed="0" w:uiPriority="0" w:semiHidden="0" w:name="List Bullet 2" w:locked="1"/>
    <w:lsdException w:qFormat="1" w:unhideWhenUsed="0" w:uiPriority="0" w:semiHidden="0" w:name="List Bullet 3" w:locked="1"/>
    <w:lsdException w:qFormat="1" w:unhideWhenUsed="0" w:uiPriority="0" w:semiHidden="0" w:name="List Bullet 4" w:locked="1"/>
    <w:lsdException w:qFormat="1" w:unhideWhenUsed="0" w:uiPriority="0" w:semiHidden="0" w:name="List Bullet 5" w:locked="1"/>
    <w:lsdException w:qFormat="1" w:unhideWhenUsed="0" w:uiPriority="0" w:semiHidden="0" w:name="List Number 2" w:locked="1"/>
    <w:lsdException w:qFormat="1" w:unhideWhenUsed="0" w:uiPriority="0" w:semiHidden="0" w:name="List Number 3" w:locked="1"/>
    <w:lsdException w:qFormat="1" w:unhideWhenUsed="0" w:uiPriority="0" w:semiHidden="0" w:name="List Number 4" w:locked="1"/>
    <w:lsdException w:qFormat="1" w:unhideWhenUsed="0" w:uiPriority="0" w:semiHidden="0" w:name="List Number 5" w:locked="1"/>
    <w:lsdException w:qFormat="1" w:unhideWhenUsed="0" w:uiPriority="0" w:semiHidden="0" w:name="Title" w:locked="1"/>
    <w:lsdException w:qFormat="1" w:unhideWhenUsed="0" w:uiPriority="0" w:semiHidden="0" w:name="Closing" w:locked="1"/>
    <w:lsdException w:qFormat="1" w:unhideWhenUsed="0" w:uiPriority="0" w:semiHidden="0" w:name="Signature" w:locked="1"/>
    <w:lsdException w:qFormat="1" w:uiPriority="1" w:name="Default Paragraph Font"/>
    <w:lsdException w:qFormat="1" w:unhideWhenUsed="0" w:uiPriority="0" w:semiHidden="0" w:name="Body Text"/>
    <w:lsdException w:qFormat="1" w:unhideWhenUsed="0" w:uiPriority="99" w:semiHidden="0" w:name="Body Text Indent"/>
    <w:lsdException w:qFormat="1" w:unhideWhenUsed="0" w:uiPriority="0" w:semiHidden="0" w:name="List Continue" w:locked="1"/>
    <w:lsdException w:qFormat="1" w:unhideWhenUsed="0" w:uiPriority="0" w:semiHidden="0" w:name="List Continue 2" w:locked="1"/>
    <w:lsdException w:qFormat="1" w:unhideWhenUsed="0" w:uiPriority="0" w:semiHidden="0" w:name="List Continue 3" w:locked="1"/>
    <w:lsdException w:qFormat="1" w:unhideWhenUsed="0" w:uiPriority="0" w:semiHidden="0" w:name="List Continue 4" w:locked="1"/>
    <w:lsdException w:qFormat="1" w:unhideWhenUsed="0" w:uiPriority="0" w:semiHidden="0" w:name="List Continue 5" w:locked="1"/>
    <w:lsdException w:qFormat="1"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99" w:semiHidden="0" w:name="Date"/>
    <w:lsdException w:qFormat="1" w:unhideWhenUsed="0" w:uiPriority="0" w:semiHidden="0" w:name="Body Text First Indent" w:locked="1"/>
    <w:lsdException w:qFormat="1" w:uiPriority="99"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iPriority="99" w:semiHidden="0" w:name="FollowedHyperlink" w:locked="1"/>
    <w:lsdException w:qFormat="1" w:unhideWhenUsed="0" w:uiPriority="0" w:semiHidden="0" w:name="Strong" w:locked="1"/>
    <w:lsdException w:qFormat="1" w:unhideWhenUsed="0" w:uiPriority="0" w:semiHidden="0" w:name="Emphasis" w:locked="1"/>
    <w:lsdException w:qFormat="1" w:unhideWhenUsed="0" w:uiPriority="99"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qFormat="1" w:unhideWhenUsed="0" w:uiPriority="0" w:semiHidden="0" w:name="HTML Address" w:locked="1"/>
    <w:lsdException w:unhideWhenUsed="0" w:uiPriority="0" w:semiHidden="0" w:name="HTML Cite" w:locked="1"/>
    <w:lsdException w:qFormat="1"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nhideWhenUsed="0" w:uiPriority="0" w:semiHidden="0" w:name="Table Grid 1" w:locked="1"/>
    <w:lsdException w:uiPriority="0" w:name="Table Grid 2" w:locked="1"/>
    <w:lsdException w:uiPriority="0" w:name="Table Grid 3" w:locked="1"/>
    <w:lsdException w:uiPriority="0" w:name="Table Grid 4" w:locked="1"/>
    <w:lsdException w:qFormat="1" w:unhideWhenUsed="0" w:uiPriority="0" w:semiHidden="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qFormat="1" w:unhideWhenUsed="0" w:uiPriority="0" w:semiHidden="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qFormat="1" w:unhideWhenUsed="0" w:uiPriority="0" w:semiHidden="0" w:name="Table Theme" w:locked="1"/>
    <w:lsdException w:qFormat="1" w:unhideWhenUsed="0" w:uiPriority="0"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5">
    <w:name w:val="heading 1"/>
    <w:basedOn w:val="1"/>
    <w:next w:val="1"/>
    <w:link w:val="106"/>
    <w:qFormat/>
    <w:locked/>
    <w:uiPriority w:val="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107"/>
    <w:qFormat/>
    <w:locked/>
    <w:uiPriority w:val="9"/>
    <w:pPr>
      <w:keepNext/>
      <w:keepLines/>
      <w:spacing w:before="260" w:after="260" w:line="416" w:lineRule="auto"/>
      <w:outlineLvl w:val="1"/>
    </w:pPr>
    <w:rPr>
      <w:rFonts w:ascii="Arial" w:hAnsi="Arial" w:eastAsia="黑体"/>
      <w:b/>
      <w:bCs/>
      <w:sz w:val="32"/>
      <w:szCs w:val="32"/>
    </w:rPr>
  </w:style>
  <w:style w:type="paragraph" w:styleId="7">
    <w:name w:val="heading 3"/>
    <w:basedOn w:val="1"/>
    <w:next w:val="1"/>
    <w:link w:val="108"/>
    <w:qFormat/>
    <w:locked/>
    <w:uiPriority w:val="9"/>
    <w:pPr>
      <w:keepNext/>
      <w:keepLines/>
      <w:spacing w:before="260" w:after="260" w:line="416" w:lineRule="auto"/>
      <w:outlineLvl w:val="2"/>
    </w:pPr>
    <w:rPr>
      <w:b/>
      <w:bCs/>
      <w:sz w:val="32"/>
      <w:szCs w:val="32"/>
    </w:rPr>
  </w:style>
  <w:style w:type="paragraph" w:styleId="8">
    <w:name w:val="heading 4"/>
    <w:basedOn w:val="1"/>
    <w:next w:val="1"/>
    <w:link w:val="109"/>
    <w:qFormat/>
    <w:locked/>
    <w:uiPriority w:val="0"/>
    <w:pPr>
      <w:keepNext/>
      <w:keepLines/>
      <w:spacing w:before="280" w:after="290" w:line="376" w:lineRule="auto"/>
      <w:outlineLvl w:val="3"/>
    </w:pPr>
    <w:rPr>
      <w:rFonts w:ascii="Cambria" w:hAnsi="Cambria"/>
      <w:b/>
      <w:bCs/>
      <w:sz w:val="28"/>
      <w:szCs w:val="28"/>
    </w:rPr>
  </w:style>
  <w:style w:type="paragraph" w:styleId="9">
    <w:name w:val="heading 5"/>
    <w:basedOn w:val="1"/>
    <w:next w:val="10"/>
    <w:link w:val="110"/>
    <w:qFormat/>
    <w:locked/>
    <w:uiPriority w:val="0"/>
    <w:pPr>
      <w:keepNext/>
      <w:keepLines/>
      <w:tabs>
        <w:tab w:val="left" w:pos="1008"/>
      </w:tabs>
      <w:spacing w:before="280" w:after="290" w:line="376" w:lineRule="auto"/>
      <w:ind w:left="1008" w:hanging="1008"/>
      <w:outlineLvl w:val="4"/>
    </w:pPr>
    <w:rPr>
      <w:b/>
      <w:sz w:val="28"/>
      <w:szCs w:val="20"/>
    </w:rPr>
  </w:style>
  <w:style w:type="paragraph" w:styleId="12">
    <w:name w:val="heading 6"/>
    <w:basedOn w:val="1"/>
    <w:next w:val="1"/>
    <w:link w:val="112"/>
    <w:qFormat/>
    <w:locked/>
    <w:uiPriority w:val="0"/>
    <w:pPr>
      <w:keepNext/>
      <w:keepLines/>
      <w:spacing w:line="360" w:lineRule="auto"/>
      <w:jc w:val="center"/>
      <w:outlineLvl w:val="5"/>
    </w:pPr>
    <w:rPr>
      <w:rFonts w:ascii="Arial" w:hAnsi="Arial"/>
      <w:b/>
      <w:bCs/>
      <w:sz w:val="24"/>
    </w:rPr>
  </w:style>
  <w:style w:type="paragraph" w:styleId="13">
    <w:name w:val="heading 7"/>
    <w:basedOn w:val="1"/>
    <w:next w:val="1"/>
    <w:link w:val="113"/>
    <w:qFormat/>
    <w:locked/>
    <w:uiPriority w:val="0"/>
    <w:pPr>
      <w:keepNext/>
      <w:keepLines/>
      <w:tabs>
        <w:tab w:val="left" w:pos="1296"/>
      </w:tabs>
      <w:adjustRightInd w:val="0"/>
      <w:snapToGrid w:val="0"/>
      <w:spacing w:before="240" w:after="64" w:line="320" w:lineRule="auto"/>
      <w:ind w:left="1296" w:leftChars="200" w:hanging="1296"/>
      <w:jc w:val="left"/>
      <w:outlineLvl w:val="6"/>
    </w:pPr>
    <w:rPr>
      <w:b/>
      <w:bCs/>
      <w:sz w:val="24"/>
    </w:rPr>
  </w:style>
  <w:style w:type="paragraph" w:styleId="14">
    <w:name w:val="heading 8"/>
    <w:basedOn w:val="1"/>
    <w:next w:val="10"/>
    <w:link w:val="114"/>
    <w:qFormat/>
    <w:locked/>
    <w:uiPriority w:val="0"/>
    <w:pPr>
      <w:keepNext/>
      <w:keepLines/>
      <w:tabs>
        <w:tab w:val="left" w:pos="1440"/>
      </w:tabs>
      <w:adjustRightInd w:val="0"/>
      <w:spacing w:line="360" w:lineRule="auto"/>
      <w:ind w:left="1440" w:hanging="1440"/>
      <w:textAlignment w:val="baseline"/>
      <w:outlineLvl w:val="7"/>
    </w:pPr>
    <w:rPr>
      <w:rFonts w:ascii="Arial" w:hAnsi="Arial"/>
      <w:kern w:val="0"/>
      <w:sz w:val="24"/>
      <w:szCs w:val="20"/>
    </w:rPr>
  </w:style>
  <w:style w:type="paragraph" w:styleId="15">
    <w:name w:val="heading 9"/>
    <w:basedOn w:val="1"/>
    <w:next w:val="10"/>
    <w:link w:val="115"/>
    <w:qFormat/>
    <w:locked/>
    <w:uiPriority w:val="0"/>
    <w:pPr>
      <w:keepNext/>
      <w:keepLines/>
      <w:tabs>
        <w:tab w:val="left" w:pos="1584"/>
      </w:tabs>
      <w:adjustRightInd w:val="0"/>
      <w:spacing w:line="360" w:lineRule="auto"/>
      <w:ind w:left="1584" w:hanging="1584"/>
      <w:textAlignment w:val="baseline"/>
      <w:outlineLvl w:val="8"/>
    </w:pPr>
    <w:rPr>
      <w:rFonts w:ascii="Arial" w:hAnsi="Arial"/>
      <w:kern w:val="0"/>
      <w:sz w:val="24"/>
      <w:szCs w:val="20"/>
    </w:rPr>
  </w:style>
  <w:style w:type="character" w:default="1" w:styleId="89">
    <w:name w:val="Default Paragraph Font"/>
    <w:semiHidden/>
    <w:unhideWhenUsed/>
    <w:qFormat/>
    <w:uiPriority w:val="1"/>
  </w:style>
  <w:style w:type="table" w:default="1" w:styleId="83">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link w:val="145"/>
    <w:unhideWhenUsed/>
    <w:qFormat/>
    <w:locked/>
    <w:uiPriority w:val="99"/>
    <w:pPr>
      <w:ind w:firstLine="420" w:firstLineChars="200"/>
    </w:pPr>
    <w:rPr>
      <w:szCs w:val="24"/>
    </w:rPr>
  </w:style>
  <w:style w:type="paragraph" w:styleId="3">
    <w:name w:val="Body Text Indent"/>
    <w:basedOn w:val="1"/>
    <w:link w:val="125"/>
    <w:qFormat/>
    <w:uiPriority w:val="99"/>
    <w:pPr>
      <w:spacing w:after="120"/>
      <w:ind w:left="420" w:leftChars="200"/>
    </w:pPr>
    <w:rPr>
      <w:kern w:val="0"/>
      <w:sz w:val="24"/>
      <w:szCs w:val="20"/>
    </w:rPr>
  </w:style>
  <w:style w:type="paragraph" w:styleId="4">
    <w:name w:val="macro"/>
    <w:basedOn w:val="1"/>
    <w:link w:val="105"/>
    <w:qFormat/>
    <w:locked/>
    <w:uiPriority w:val="0"/>
    <w:pPr>
      <w:widowControl/>
      <w:spacing w:before="100" w:beforeAutospacing="1" w:after="100" w:afterAutospacing="1"/>
      <w:jc w:val="left"/>
    </w:pPr>
    <w:rPr>
      <w:rFonts w:ascii="宋体" w:hAnsi="宋体"/>
      <w:sz w:val="24"/>
    </w:rPr>
  </w:style>
  <w:style w:type="paragraph" w:styleId="10">
    <w:name w:val="Normal Indent"/>
    <w:basedOn w:val="1"/>
    <w:next w:val="11"/>
    <w:link w:val="111"/>
    <w:qFormat/>
    <w:locked/>
    <w:uiPriority w:val="99"/>
    <w:pPr>
      <w:ind w:firstLine="420" w:firstLineChars="200"/>
    </w:pPr>
  </w:style>
  <w:style w:type="paragraph" w:styleId="11">
    <w:name w:val="Plain Text"/>
    <w:basedOn w:val="1"/>
    <w:link w:val="104"/>
    <w:qFormat/>
    <w:locked/>
    <w:uiPriority w:val="0"/>
    <w:rPr>
      <w:rFonts w:ascii="宋体" w:hAnsi="Courier New" w:cs="Courier New"/>
    </w:rPr>
  </w:style>
  <w:style w:type="paragraph" w:styleId="16">
    <w:name w:val="List 3"/>
    <w:basedOn w:val="1"/>
    <w:qFormat/>
    <w:locked/>
    <w:uiPriority w:val="0"/>
    <w:pPr>
      <w:spacing w:before="60"/>
      <w:ind w:left="1260" w:hanging="420"/>
    </w:pPr>
    <w:rPr>
      <w:rFonts w:ascii="Arial" w:hAnsi="Arial" w:eastAsia="仿宋_GB2312"/>
      <w:kern w:val="0"/>
      <w:sz w:val="24"/>
      <w:szCs w:val="20"/>
    </w:rPr>
  </w:style>
  <w:style w:type="paragraph" w:styleId="17">
    <w:name w:val="toc 7"/>
    <w:basedOn w:val="1"/>
    <w:next w:val="1"/>
    <w:qFormat/>
    <w:locked/>
    <w:uiPriority w:val="39"/>
    <w:pPr>
      <w:snapToGrid w:val="0"/>
      <w:spacing w:line="500" w:lineRule="exact"/>
      <w:ind w:left="1440"/>
      <w:jc w:val="left"/>
    </w:pPr>
    <w:rPr>
      <w:sz w:val="18"/>
      <w:szCs w:val="18"/>
    </w:rPr>
  </w:style>
  <w:style w:type="paragraph" w:styleId="18">
    <w:name w:val="List Number 2"/>
    <w:basedOn w:val="1"/>
    <w:qFormat/>
    <w:locked/>
    <w:uiPriority w:val="0"/>
    <w:pPr>
      <w:tabs>
        <w:tab w:val="left" w:pos="780"/>
      </w:tabs>
      <w:spacing w:before="60"/>
      <w:ind w:left="780" w:hanging="360"/>
    </w:pPr>
    <w:rPr>
      <w:rFonts w:ascii="Arial" w:hAnsi="Arial" w:eastAsia="仿宋_GB2312"/>
      <w:kern w:val="0"/>
      <w:sz w:val="24"/>
      <w:szCs w:val="20"/>
    </w:rPr>
  </w:style>
  <w:style w:type="paragraph" w:styleId="19">
    <w:name w:val="table of authorities"/>
    <w:basedOn w:val="1"/>
    <w:next w:val="1"/>
    <w:qFormat/>
    <w:locked/>
    <w:uiPriority w:val="0"/>
    <w:pPr>
      <w:ind w:left="210" w:hanging="210"/>
      <w:jc w:val="left"/>
    </w:pPr>
    <w:rPr>
      <w:sz w:val="20"/>
      <w:szCs w:val="20"/>
    </w:rPr>
  </w:style>
  <w:style w:type="paragraph" w:styleId="20">
    <w:name w:val="Note Heading"/>
    <w:basedOn w:val="1"/>
    <w:next w:val="1"/>
    <w:link w:val="116"/>
    <w:qFormat/>
    <w:locked/>
    <w:uiPriority w:val="0"/>
    <w:pPr>
      <w:jc w:val="center"/>
    </w:pPr>
    <w:rPr>
      <w:rFonts w:ascii="Arial" w:hAnsi="Arial"/>
      <w:bCs/>
      <w:sz w:val="28"/>
      <w:szCs w:val="28"/>
    </w:rPr>
  </w:style>
  <w:style w:type="paragraph" w:styleId="21">
    <w:name w:val="List Bullet 4"/>
    <w:basedOn w:val="1"/>
    <w:qFormat/>
    <w:locked/>
    <w:uiPriority w:val="0"/>
    <w:pPr>
      <w:tabs>
        <w:tab w:val="left" w:pos="1620"/>
      </w:tabs>
      <w:spacing w:before="60"/>
      <w:ind w:left="1620" w:leftChars="600" w:hanging="360" w:hangingChars="200"/>
    </w:pPr>
    <w:rPr>
      <w:rFonts w:ascii="Arial" w:hAnsi="Arial" w:eastAsia="仿宋_GB2312"/>
      <w:kern w:val="0"/>
      <w:sz w:val="24"/>
      <w:szCs w:val="20"/>
    </w:rPr>
  </w:style>
  <w:style w:type="paragraph" w:styleId="22">
    <w:name w:val="E-mail Signature"/>
    <w:basedOn w:val="1"/>
    <w:link w:val="117"/>
    <w:qFormat/>
    <w:locked/>
    <w:uiPriority w:val="0"/>
    <w:pPr>
      <w:spacing w:before="60"/>
      <w:ind w:firstLine="482"/>
    </w:pPr>
    <w:rPr>
      <w:rFonts w:ascii="Arial" w:hAnsi="Arial" w:eastAsia="仿宋_GB2312"/>
      <w:sz w:val="24"/>
      <w:szCs w:val="22"/>
    </w:rPr>
  </w:style>
  <w:style w:type="paragraph" w:styleId="23">
    <w:name w:val="List Number"/>
    <w:basedOn w:val="1"/>
    <w:qFormat/>
    <w:locked/>
    <w:uiPriority w:val="0"/>
    <w:pPr>
      <w:tabs>
        <w:tab w:val="left" w:pos="360"/>
      </w:tabs>
      <w:spacing w:before="60"/>
      <w:ind w:left="360" w:hanging="360" w:hangingChars="200"/>
    </w:pPr>
    <w:rPr>
      <w:rFonts w:ascii="Arial" w:hAnsi="Arial" w:eastAsia="仿宋_GB2312"/>
      <w:kern w:val="0"/>
      <w:sz w:val="24"/>
      <w:szCs w:val="20"/>
    </w:rPr>
  </w:style>
  <w:style w:type="paragraph" w:styleId="24">
    <w:name w:val="caption"/>
    <w:basedOn w:val="1"/>
    <w:next w:val="1"/>
    <w:link w:val="118"/>
    <w:qFormat/>
    <w:locked/>
    <w:uiPriority w:val="35"/>
    <w:pPr>
      <w:snapToGrid w:val="0"/>
      <w:spacing w:line="500" w:lineRule="exact"/>
      <w:jc w:val="left"/>
    </w:pPr>
    <w:rPr>
      <w:rFonts w:ascii="Arial" w:hAnsi="Arial" w:eastAsia="黑体" w:cs="Arial"/>
      <w:sz w:val="20"/>
      <w:szCs w:val="20"/>
    </w:rPr>
  </w:style>
  <w:style w:type="paragraph" w:styleId="25">
    <w:name w:val="List Bullet"/>
    <w:basedOn w:val="1"/>
    <w:qFormat/>
    <w:locked/>
    <w:uiPriority w:val="0"/>
    <w:pPr>
      <w:numPr>
        <w:ilvl w:val="0"/>
        <w:numId w:val="1"/>
      </w:numPr>
      <w:spacing w:line="360" w:lineRule="auto"/>
    </w:pPr>
    <w:rPr>
      <w:sz w:val="24"/>
    </w:rPr>
  </w:style>
  <w:style w:type="paragraph" w:styleId="26">
    <w:name w:val="envelope address"/>
    <w:basedOn w:val="1"/>
    <w:qFormat/>
    <w:locked/>
    <w:uiPriority w:val="0"/>
    <w:pPr>
      <w:snapToGrid w:val="0"/>
      <w:spacing w:before="60"/>
      <w:ind w:left="2880" w:firstLine="482"/>
    </w:pPr>
    <w:rPr>
      <w:rFonts w:ascii="Arial" w:hAnsi="Arial" w:eastAsia="仿宋_GB2312" w:cs="Arial"/>
      <w:kern w:val="0"/>
      <w:sz w:val="24"/>
      <w:szCs w:val="20"/>
    </w:rPr>
  </w:style>
  <w:style w:type="paragraph" w:styleId="27">
    <w:name w:val="Document Map"/>
    <w:basedOn w:val="1"/>
    <w:link w:val="119"/>
    <w:qFormat/>
    <w:locked/>
    <w:uiPriority w:val="99"/>
    <w:pPr>
      <w:shd w:val="clear" w:color="auto" w:fill="000080"/>
    </w:pPr>
  </w:style>
  <w:style w:type="paragraph" w:styleId="28">
    <w:name w:val="toa heading"/>
    <w:basedOn w:val="1"/>
    <w:next w:val="1"/>
    <w:qFormat/>
    <w:locked/>
    <w:uiPriority w:val="0"/>
    <w:pPr>
      <w:spacing w:before="120"/>
    </w:pPr>
    <w:rPr>
      <w:rFonts w:ascii="Arial" w:hAnsi="Arial" w:cs="Arial"/>
      <w:sz w:val="24"/>
    </w:rPr>
  </w:style>
  <w:style w:type="paragraph" w:styleId="29">
    <w:name w:val="annotation text"/>
    <w:basedOn w:val="1"/>
    <w:link w:val="120"/>
    <w:qFormat/>
    <w:uiPriority w:val="0"/>
    <w:pPr>
      <w:jc w:val="left"/>
    </w:pPr>
    <w:rPr>
      <w:kern w:val="0"/>
      <w:sz w:val="24"/>
      <w:szCs w:val="20"/>
    </w:rPr>
  </w:style>
  <w:style w:type="paragraph" w:styleId="30">
    <w:name w:val="Salutation"/>
    <w:basedOn w:val="1"/>
    <w:next w:val="1"/>
    <w:link w:val="121"/>
    <w:qFormat/>
    <w:locked/>
    <w:uiPriority w:val="0"/>
  </w:style>
  <w:style w:type="paragraph" w:styleId="31">
    <w:name w:val="Body Text 3"/>
    <w:basedOn w:val="1"/>
    <w:link w:val="122"/>
    <w:qFormat/>
    <w:locked/>
    <w:uiPriority w:val="0"/>
    <w:pPr>
      <w:spacing w:line="360" w:lineRule="auto"/>
    </w:pPr>
    <w:rPr>
      <w:rFonts w:ascii="宋体" w:hAnsi="宋体"/>
      <w:sz w:val="24"/>
    </w:rPr>
  </w:style>
  <w:style w:type="paragraph" w:styleId="32">
    <w:name w:val="Closing"/>
    <w:basedOn w:val="1"/>
    <w:link w:val="123"/>
    <w:qFormat/>
    <w:locked/>
    <w:uiPriority w:val="0"/>
    <w:pPr>
      <w:spacing w:before="60"/>
      <w:ind w:left="4320" w:firstLine="482"/>
    </w:pPr>
    <w:rPr>
      <w:rFonts w:ascii="Arial" w:hAnsi="Arial" w:eastAsia="仿宋_GB2312"/>
      <w:sz w:val="24"/>
      <w:szCs w:val="22"/>
    </w:rPr>
  </w:style>
  <w:style w:type="paragraph" w:styleId="33">
    <w:name w:val="List Bullet 3"/>
    <w:basedOn w:val="1"/>
    <w:qFormat/>
    <w:locked/>
    <w:uiPriority w:val="0"/>
    <w:pPr>
      <w:tabs>
        <w:tab w:val="left" w:pos="1200"/>
      </w:tabs>
      <w:spacing w:before="60"/>
      <w:ind w:left="1200" w:hanging="360"/>
    </w:pPr>
    <w:rPr>
      <w:rFonts w:ascii="Arial" w:hAnsi="Arial" w:eastAsia="仿宋_GB2312"/>
      <w:kern w:val="0"/>
      <w:sz w:val="24"/>
      <w:szCs w:val="20"/>
    </w:rPr>
  </w:style>
  <w:style w:type="paragraph" w:styleId="34">
    <w:name w:val="Body Text"/>
    <w:basedOn w:val="1"/>
    <w:next w:val="35"/>
    <w:link w:val="124"/>
    <w:qFormat/>
    <w:uiPriority w:val="0"/>
    <w:pPr>
      <w:widowControl/>
      <w:snapToGrid w:val="0"/>
      <w:spacing w:before="60" w:after="160" w:line="259" w:lineRule="auto"/>
      <w:ind w:right="113"/>
    </w:pPr>
    <w:rPr>
      <w:kern w:val="0"/>
      <w:sz w:val="18"/>
      <w:szCs w:val="20"/>
    </w:rPr>
  </w:style>
  <w:style w:type="paragraph" w:styleId="35">
    <w:name w:val="List Bullet 5"/>
    <w:basedOn w:val="1"/>
    <w:qFormat/>
    <w:locked/>
    <w:uiPriority w:val="0"/>
    <w:pPr>
      <w:tabs>
        <w:tab w:val="left" w:pos="2040"/>
      </w:tabs>
      <w:spacing w:before="60"/>
      <w:ind w:left="2040" w:hanging="360"/>
    </w:pPr>
    <w:rPr>
      <w:rFonts w:ascii="Arial" w:hAnsi="Arial" w:eastAsia="仿宋_GB2312"/>
      <w:kern w:val="0"/>
      <w:sz w:val="24"/>
      <w:szCs w:val="20"/>
    </w:rPr>
  </w:style>
  <w:style w:type="paragraph" w:styleId="36">
    <w:name w:val="List Number 3"/>
    <w:basedOn w:val="1"/>
    <w:qFormat/>
    <w:locked/>
    <w:uiPriority w:val="0"/>
    <w:pPr>
      <w:tabs>
        <w:tab w:val="left" w:pos="1200"/>
      </w:tabs>
      <w:spacing w:before="60"/>
      <w:ind w:left="1200" w:hanging="360"/>
    </w:pPr>
    <w:rPr>
      <w:rFonts w:ascii="Arial" w:hAnsi="Arial" w:eastAsia="仿宋_GB2312"/>
      <w:kern w:val="0"/>
      <w:sz w:val="24"/>
      <w:szCs w:val="20"/>
    </w:rPr>
  </w:style>
  <w:style w:type="paragraph" w:styleId="37">
    <w:name w:val="List 2"/>
    <w:basedOn w:val="1"/>
    <w:qFormat/>
    <w:locked/>
    <w:uiPriority w:val="0"/>
    <w:pPr>
      <w:ind w:left="100" w:leftChars="200" w:hanging="200" w:hangingChars="200"/>
    </w:pPr>
    <w:rPr>
      <w:rFonts w:eastAsia="仿宋_GB2312"/>
      <w:snapToGrid w:val="0"/>
      <w:color w:val="000000"/>
      <w:kern w:val="0"/>
      <w:sz w:val="28"/>
      <w:szCs w:val="32"/>
    </w:rPr>
  </w:style>
  <w:style w:type="paragraph" w:styleId="38">
    <w:name w:val="List Continue"/>
    <w:basedOn w:val="1"/>
    <w:qFormat/>
    <w:locked/>
    <w:uiPriority w:val="0"/>
    <w:pPr>
      <w:spacing w:after="120"/>
      <w:ind w:left="420" w:leftChars="200"/>
    </w:pPr>
  </w:style>
  <w:style w:type="paragraph" w:styleId="39">
    <w:name w:val="Block Text"/>
    <w:basedOn w:val="1"/>
    <w:qFormat/>
    <w:locked/>
    <w:uiPriority w:val="0"/>
    <w:pPr>
      <w:autoSpaceDE w:val="0"/>
      <w:autoSpaceDN w:val="0"/>
      <w:adjustRightInd w:val="0"/>
      <w:ind w:left="98" w:right="72" w:firstLine="490" w:firstLineChars="175"/>
      <w:jc w:val="left"/>
    </w:pPr>
    <w:rPr>
      <w:rFonts w:ascii="宋体" w:hAnsi="宋体"/>
      <w:kern w:val="0"/>
      <w:sz w:val="28"/>
      <w:szCs w:val="26"/>
    </w:rPr>
  </w:style>
  <w:style w:type="paragraph" w:styleId="40">
    <w:name w:val="List Bullet 2"/>
    <w:basedOn w:val="1"/>
    <w:qFormat/>
    <w:locked/>
    <w:uiPriority w:val="0"/>
    <w:pPr>
      <w:tabs>
        <w:tab w:val="left" w:pos="780"/>
      </w:tabs>
      <w:spacing w:before="60"/>
      <w:ind w:left="780" w:leftChars="200" w:hanging="360" w:hangingChars="200"/>
    </w:pPr>
    <w:rPr>
      <w:rFonts w:ascii="Arial" w:hAnsi="Arial" w:eastAsia="仿宋_GB2312"/>
      <w:kern w:val="0"/>
      <w:sz w:val="24"/>
      <w:szCs w:val="20"/>
    </w:rPr>
  </w:style>
  <w:style w:type="paragraph" w:styleId="41">
    <w:name w:val="HTML Address"/>
    <w:basedOn w:val="1"/>
    <w:link w:val="127"/>
    <w:qFormat/>
    <w:locked/>
    <w:uiPriority w:val="0"/>
    <w:pPr>
      <w:spacing w:before="60"/>
      <w:ind w:firstLine="482"/>
    </w:pPr>
    <w:rPr>
      <w:rFonts w:ascii="Arial" w:hAnsi="Arial" w:eastAsia="仿宋_GB2312"/>
      <w:i/>
      <w:iCs/>
      <w:sz w:val="24"/>
      <w:szCs w:val="22"/>
    </w:rPr>
  </w:style>
  <w:style w:type="paragraph" w:styleId="42">
    <w:name w:val="index 4"/>
    <w:basedOn w:val="1"/>
    <w:next w:val="1"/>
    <w:qFormat/>
    <w:locked/>
    <w:uiPriority w:val="0"/>
    <w:pPr>
      <w:spacing w:line="360" w:lineRule="auto"/>
      <w:ind w:left="600" w:leftChars="600" w:firstLine="200" w:firstLineChars="200"/>
    </w:pPr>
    <w:rPr>
      <w:rFonts w:ascii="宋体"/>
      <w:sz w:val="24"/>
    </w:rPr>
  </w:style>
  <w:style w:type="paragraph" w:styleId="43">
    <w:name w:val="toc 5"/>
    <w:basedOn w:val="1"/>
    <w:next w:val="1"/>
    <w:qFormat/>
    <w:locked/>
    <w:uiPriority w:val="39"/>
    <w:pPr>
      <w:snapToGrid w:val="0"/>
      <w:spacing w:line="500" w:lineRule="exact"/>
      <w:ind w:left="960"/>
      <w:jc w:val="left"/>
    </w:pPr>
    <w:rPr>
      <w:sz w:val="18"/>
      <w:szCs w:val="18"/>
    </w:rPr>
  </w:style>
  <w:style w:type="paragraph" w:styleId="44">
    <w:name w:val="toc 3"/>
    <w:basedOn w:val="1"/>
    <w:next w:val="1"/>
    <w:qFormat/>
    <w:locked/>
    <w:uiPriority w:val="39"/>
    <w:pPr>
      <w:snapToGrid w:val="0"/>
      <w:spacing w:line="500" w:lineRule="exact"/>
      <w:ind w:left="480"/>
      <w:jc w:val="left"/>
    </w:pPr>
    <w:rPr>
      <w:i/>
      <w:iCs/>
      <w:sz w:val="20"/>
      <w:szCs w:val="20"/>
    </w:rPr>
  </w:style>
  <w:style w:type="paragraph" w:styleId="45">
    <w:name w:val="List Number 4"/>
    <w:basedOn w:val="1"/>
    <w:qFormat/>
    <w:locked/>
    <w:uiPriority w:val="0"/>
    <w:pPr>
      <w:tabs>
        <w:tab w:val="left" w:pos="1620"/>
      </w:tabs>
      <w:spacing w:before="60"/>
      <w:ind w:left="1620" w:hanging="360"/>
    </w:pPr>
    <w:rPr>
      <w:rFonts w:ascii="Arial" w:hAnsi="Arial" w:eastAsia="仿宋_GB2312"/>
      <w:kern w:val="0"/>
      <w:sz w:val="24"/>
      <w:szCs w:val="20"/>
    </w:rPr>
  </w:style>
  <w:style w:type="paragraph" w:styleId="46">
    <w:name w:val="toc 8"/>
    <w:basedOn w:val="1"/>
    <w:next w:val="1"/>
    <w:qFormat/>
    <w:locked/>
    <w:uiPriority w:val="39"/>
    <w:pPr>
      <w:snapToGrid w:val="0"/>
      <w:spacing w:line="500" w:lineRule="exact"/>
      <w:ind w:left="1680"/>
      <w:jc w:val="left"/>
    </w:pPr>
    <w:rPr>
      <w:sz w:val="18"/>
      <w:szCs w:val="18"/>
    </w:rPr>
  </w:style>
  <w:style w:type="paragraph" w:styleId="47">
    <w:name w:val="Date"/>
    <w:basedOn w:val="1"/>
    <w:next w:val="1"/>
    <w:link w:val="128"/>
    <w:qFormat/>
    <w:uiPriority w:val="99"/>
    <w:pPr>
      <w:ind w:left="100" w:leftChars="2500"/>
    </w:pPr>
    <w:rPr>
      <w:kern w:val="0"/>
      <w:sz w:val="24"/>
      <w:szCs w:val="20"/>
    </w:rPr>
  </w:style>
  <w:style w:type="paragraph" w:styleId="48">
    <w:name w:val="Body Text Indent 2"/>
    <w:basedOn w:val="1"/>
    <w:link w:val="129"/>
    <w:qFormat/>
    <w:locked/>
    <w:uiPriority w:val="0"/>
    <w:pPr>
      <w:spacing w:before="120"/>
      <w:ind w:right="113" w:firstLine="570"/>
    </w:pPr>
    <w:rPr>
      <w:kern w:val="24"/>
      <w:sz w:val="28"/>
      <w:szCs w:val="20"/>
    </w:rPr>
  </w:style>
  <w:style w:type="paragraph" w:styleId="49">
    <w:name w:val="endnote text"/>
    <w:basedOn w:val="1"/>
    <w:link w:val="130"/>
    <w:qFormat/>
    <w:locked/>
    <w:uiPriority w:val="0"/>
    <w:pPr>
      <w:snapToGrid w:val="0"/>
      <w:jc w:val="left"/>
    </w:pPr>
  </w:style>
  <w:style w:type="paragraph" w:styleId="50">
    <w:name w:val="List Continue 5"/>
    <w:basedOn w:val="1"/>
    <w:qFormat/>
    <w:locked/>
    <w:uiPriority w:val="0"/>
    <w:pPr>
      <w:spacing w:before="60" w:after="120"/>
      <w:ind w:left="2100" w:firstLine="482"/>
    </w:pPr>
    <w:rPr>
      <w:rFonts w:ascii="Arial" w:hAnsi="Arial" w:eastAsia="仿宋_GB2312"/>
      <w:kern w:val="0"/>
      <w:sz w:val="24"/>
      <w:szCs w:val="20"/>
    </w:rPr>
  </w:style>
  <w:style w:type="paragraph" w:styleId="51">
    <w:name w:val="Balloon Text"/>
    <w:basedOn w:val="1"/>
    <w:link w:val="131"/>
    <w:semiHidden/>
    <w:qFormat/>
    <w:uiPriority w:val="0"/>
    <w:rPr>
      <w:kern w:val="0"/>
      <w:sz w:val="18"/>
      <w:szCs w:val="20"/>
    </w:rPr>
  </w:style>
  <w:style w:type="paragraph" w:styleId="52">
    <w:name w:val="footer"/>
    <w:basedOn w:val="1"/>
    <w:link w:val="132"/>
    <w:qFormat/>
    <w:uiPriority w:val="99"/>
    <w:pPr>
      <w:tabs>
        <w:tab w:val="center" w:pos="4153"/>
        <w:tab w:val="right" w:pos="8306"/>
      </w:tabs>
      <w:snapToGrid w:val="0"/>
      <w:jc w:val="left"/>
    </w:pPr>
    <w:rPr>
      <w:kern w:val="0"/>
      <w:sz w:val="18"/>
      <w:szCs w:val="20"/>
    </w:rPr>
  </w:style>
  <w:style w:type="paragraph" w:styleId="53">
    <w:name w:val="envelope return"/>
    <w:basedOn w:val="1"/>
    <w:qFormat/>
    <w:locked/>
    <w:uiPriority w:val="0"/>
    <w:pPr>
      <w:snapToGrid w:val="0"/>
      <w:spacing w:before="60"/>
      <w:ind w:firstLine="482"/>
    </w:pPr>
    <w:rPr>
      <w:rFonts w:ascii="Arial" w:hAnsi="Arial" w:eastAsia="仿宋_GB2312" w:cs="Arial"/>
      <w:kern w:val="0"/>
      <w:sz w:val="24"/>
      <w:szCs w:val="20"/>
    </w:rPr>
  </w:style>
  <w:style w:type="paragraph" w:styleId="54">
    <w:name w:val="header"/>
    <w:basedOn w:val="1"/>
    <w:next w:val="55"/>
    <w:link w:val="133"/>
    <w:qFormat/>
    <w:uiPriority w:val="99"/>
    <w:pPr>
      <w:pBdr>
        <w:bottom w:val="single" w:color="auto" w:sz="6" w:space="1"/>
      </w:pBdr>
      <w:tabs>
        <w:tab w:val="center" w:pos="4153"/>
        <w:tab w:val="right" w:pos="8306"/>
      </w:tabs>
      <w:snapToGrid w:val="0"/>
      <w:jc w:val="center"/>
    </w:pPr>
    <w:rPr>
      <w:kern w:val="0"/>
      <w:sz w:val="18"/>
      <w:szCs w:val="20"/>
    </w:rPr>
  </w:style>
  <w:style w:type="paragraph" w:customStyle="1" w:styleId="55">
    <w:name w:val="样式5"/>
    <w:basedOn w:val="56"/>
    <w:next w:val="1"/>
    <w:link w:val="265"/>
    <w:qFormat/>
    <w:uiPriority w:val="0"/>
    <w:pPr>
      <w:widowControl w:val="0"/>
      <w:snapToGrid/>
      <w:spacing w:before="0" w:after="0" w:line="240" w:lineRule="auto"/>
      <w:ind w:right="-105" w:rightChars="-50"/>
      <w:jc w:val="center"/>
    </w:pPr>
    <w:rPr>
      <w:rFonts w:ascii="宋体"/>
      <w:sz w:val="20"/>
      <w:szCs w:val="21"/>
    </w:rPr>
  </w:style>
  <w:style w:type="paragraph" w:customStyle="1" w:styleId="56">
    <w:name w:val="正文1"/>
    <w:basedOn w:val="34"/>
    <w:next w:val="1"/>
    <w:link w:val="266"/>
    <w:qFormat/>
    <w:uiPriority w:val="0"/>
    <w:pPr>
      <w:adjustRightInd w:val="0"/>
      <w:spacing w:line="500" w:lineRule="atLeast"/>
      <w:ind w:firstLine="567"/>
    </w:pPr>
    <w:rPr>
      <w:sz w:val="28"/>
    </w:rPr>
  </w:style>
  <w:style w:type="paragraph" w:styleId="57">
    <w:name w:val="Signature"/>
    <w:basedOn w:val="1"/>
    <w:link w:val="134"/>
    <w:qFormat/>
    <w:locked/>
    <w:uiPriority w:val="0"/>
    <w:pPr>
      <w:spacing w:before="60"/>
      <w:ind w:left="4320" w:firstLine="482"/>
    </w:pPr>
    <w:rPr>
      <w:rFonts w:ascii="Arial" w:hAnsi="Arial" w:eastAsia="仿宋_GB2312"/>
      <w:sz w:val="24"/>
      <w:szCs w:val="22"/>
    </w:rPr>
  </w:style>
  <w:style w:type="paragraph" w:styleId="58">
    <w:name w:val="toc 1"/>
    <w:basedOn w:val="1"/>
    <w:next w:val="1"/>
    <w:link w:val="135"/>
    <w:qFormat/>
    <w:locked/>
    <w:uiPriority w:val="39"/>
    <w:pPr>
      <w:tabs>
        <w:tab w:val="right" w:leader="dot" w:pos="9060"/>
      </w:tabs>
      <w:snapToGrid w:val="0"/>
      <w:spacing w:before="120" w:after="120" w:line="360" w:lineRule="auto"/>
      <w:jc w:val="left"/>
    </w:pPr>
    <w:rPr>
      <w:b/>
      <w:bCs/>
      <w:caps/>
      <w:sz w:val="20"/>
      <w:szCs w:val="20"/>
    </w:rPr>
  </w:style>
  <w:style w:type="paragraph" w:styleId="59">
    <w:name w:val="List Continue 4"/>
    <w:basedOn w:val="1"/>
    <w:qFormat/>
    <w:locked/>
    <w:uiPriority w:val="0"/>
    <w:pPr>
      <w:spacing w:before="60" w:after="120"/>
      <w:ind w:left="1680" w:firstLine="482"/>
    </w:pPr>
    <w:rPr>
      <w:rFonts w:ascii="Arial" w:hAnsi="Arial" w:eastAsia="仿宋_GB2312"/>
      <w:kern w:val="0"/>
      <w:sz w:val="24"/>
      <w:szCs w:val="20"/>
    </w:rPr>
  </w:style>
  <w:style w:type="paragraph" w:styleId="60">
    <w:name w:val="toc 4"/>
    <w:basedOn w:val="1"/>
    <w:next w:val="1"/>
    <w:qFormat/>
    <w:locked/>
    <w:uiPriority w:val="39"/>
    <w:pPr>
      <w:tabs>
        <w:tab w:val="right" w:leader="dot" w:pos="9060"/>
      </w:tabs>
      <w:snapToGrid w:val="0"/>
      <w:spacing w:line="360" w:lineRule="auto"/>
      <w:ind w:left="720"/>
      <w:jc w:val="left"/>
    </w:pPr>
    <w:rPr>
      <w:b/>
      <w:sz w:val="18"/>
      <w:szCs w:val="18"/>
    </w:rPr>
  </w:style>
  <w:style w:type="paragraph" w:styleId="61">
    <w:name w:val="index heading"/>
    <w:basedOn w:val="1"/>
    <w:next w:val="62"/>
    <w:qFormat/>
    <w:locked/>
    <w:uiPriority w:val="0"/>
  </w:style>
  <w:style w:type="paragraph" w:styleId="62">
    <w:name w:val="index 1"/>
    <w:basedOn w:val="1"/>
    <w:next w:val="1"/>
    <w:unhideWhenUsed/>
    <w:qFormat/>
    <w:locked/>
    <w:uiPriority w:val="0"/>
  </w:style>
  <w:style w:type="paragraph" w:styleId="63">
    <w:name w:val="Subtitle"/>
    <w:basedOn w:val="1"/>
    <w:link w:val="136"/>
    <w:qFormat/>
    <w:locked/>
    <w:uiPriority w:val="0"/>
    <w:pPr>
      <w:spacing w:before="240" w:after="60" w:line="312" w:lineRule="auto"/>
      <w:ind w:firstLine="482"/>
      <w:jc w:val="center"/>
      <w:outlineLvl w:val="1"/>
    </w:pPr>
    <w:rPr>
      <w:rFonts w:ascii="Arial" w:hAnsi="Arial" w:eastAsia="仿宋_GB2312"/>
      <w:b/>
      <w:bCs/>
      <w:kern w:val="28"/>
      <w:sz w:val="32"/>
      <w:szCs w:val="32"/>
    </w:rPr>
  </w:style>
  <w:style w:type="paragraph" w:styleId="64">
    <w:name w:val="List Number 5"/>
    <w:basedOn w:val="1"/>
    <w:qFormat/>
    <w:locked/>
    <w:uiPriority w:val="0"/>
    <w:pPr>
      <w:tabs>
        <w:tab w:val="left" w:pos="420"/>
      </w:tabs>
      <w:spacing w:before="60"/>
      <w:ind w:left="420" w:hanging="420"/>
    </w:pPr>
    <w:rPr>
      <w:rFonts w:ascii="Arial" w:hAnsi="Arial" w:eastAsia="仿宋_GB2312"/>
      <w:kern w:val="0"/>
      <w:sz w:val="24"/>
      <w:szCs w:val="20"/>
    </w:rPr>
  </w:style>
  <w:style w:type="paragraph" w:styleId="65">
    <w:name w:val="List"/>
    <w:basedOn w:val="1"/>
    <w:qFormat/>
    <w:locked/>
    <w:uiPriority w:val="0"/>
    <w:pPr>
      <w:snapToGrid w:val="0"/>
      <w:spacing w:line="500" w:lineRule="exact"/>
      <w:jc w:val="left"/>
    </w:pPr>
    <w:rPr>
      <w:szCs w:val="20"/>
    </w:rPr>
  </w:style>
  <w:style w:type="paragraph" w:styleId="66">
    <w:name w:val="footnote text"/>
    <w:basedOn w:val="1"/>
    <w:link w:val="137"/>
    <w:qFormat/>
    <w:locked/>
    <w:uiPriority w:val="0"/>
    <w:pPr>
      <w:snapToGrid w:val="0"/>
      <w:spacing w:line="360" w:lineRule="auto"/>
      <w:ind w:firstLine="200" w:firstLineChars="200"/>
      <w:jc w:val="left"/>
    </w:pPr>
    <w:rPr>
      <w:rFonts w:ascii="宋体"/>
      <w:sz w:val="18"/>
      <w:szCs w:val="18"/>
    </w:rPr>
  </w:style>
  <w:style w:type="paragraph" w:styleId="67">
    <w:name w:val="toc 6"/>
    <w:basedOn w:val="1"/>
    <w:next w:val="1"/>
    <w:qFormat/>
    <w:locked/>
    <w:uiPriority w:val="39"/>
    <w:pPr>
      <w:snapToGrid w:val="0"/>
      <w:spacing w:line="500" w:lineRule="exact"/>
      <w:ind w:left="1200"/>
      <w:jc w:val="left"/>
    </w:pPr>
    <w:rPr>
      <w:sz w:val="18"/>
      <w:szCs w:val="18"/>
    </w:rPr>
  </w:style>
  <w:style w:type="paragraph" w:styleId="68">
    <w:name w:val="List 5"/>
    <w:basedOn w:val="1"/>
    <w:qFormat/>
    <w:locked/>
    <w:uiPriority w:val="0"/>
    <w:pPr>
      <w:spacing w:before="60"/>
      <w:ind w:left="2100" w:hanging="420"/>
    </w:pPr>
    <w:rPr>
      <w:rFonts w:ascii="Arial" w:hAnsi="Arial" w:eastAsia="仿宋_GB2312"/>
      <w:kern w:val="0"/>
      <w:sz w:val="24"/>
      <w:szCs w:val="20"/>
    </w:rPr>
  </w:style>
  <w:style w:type="paragraph" w:styleId="69">
    <w:name w:val="Body Text Indent 3"/>
    <w:basedOn w:val="1"/>
    <w:link w:val="138"/>
    <w:qFormat/>
    <w:locked/>
    <w:uiPriority w:val="0"/>
    <w:pPr>
      <w:spacing w:after="120"/>
      <w:ind w:left="420" w:leftChars="200"/>
    </w:pPr>
    <w:rPr>
      <w:sz w:val="16"/>
      <w:szCs w:val="16"/>
    </w:rPr>
  </w:style>
  <w:style w:type="paragraph" w:styleId="70">
    <w:name w:val="table of figures"/>
    <w:basedOn w:val="1"/>
    <w:next w:val="1"/>
    <w:qFormat/>
    <w:locked/>
    <w:uiPriority w:val="0"/>
    <w:pPr>
      <w:tabs>
        <w:tab w:val="right" w:leader="dot" w:pos="8312"/>
      </w:tabs>
      <w:adjustRightInd w:val="0"/>
      <w:spacing w:line="360" w:lineRule="auto"/>
      <w:textAlignment w:val="baseline"/>
    </w:pPr>
    <w:rPr>
      <w:rFonts w:ascii="宋体"/>
      <w:kern w:val="0"/>
      <w:szCs w:val="20"/>
    </w:rPr>
  </w:style>
  <w:style w:type="paragraph" w:styleId="71">
    <w:name w:val="toc 2"/>
    <w:basedOn w:val="1"/>
    <w:next w:val="1"/>
    <w:qFormat/>
    <w:locked/>
    <w:uiPriority w:val="39"/>
    <w:pPr>
      <w:tabs>
        <w:tab w:val="right" w:leader="dot" w:pos="9060"/>
      </w:tabs>
      <w:snapToGrid w:val="0"/>
      <w:ind w:left="240"/>
      <w:jc w:val="left"/>
    </w:pPr>
    <w:rPr>
      <w:smallCaps/>
      <w:sz w:val="20"/>
      <w:szCs w:val="20"/>
    </w:rPr>
  </w:style>
  <w:style w:type="paragraph" w:styleId="72">
    <w:name w:val="toc 9"/>
    <w:basedOn w:val="1"/>
    <w:next w:val="1"/>
    <w:qFormat/>
    <w:locked/>
    <w:uiPriority w:val="39"/>
    <w:pPr>
      <w:snapToGrid w:val="0"/>
      <w:spacing w:line="500" w:lineRule="exact"/>
      <w:ind w:left="1920"/>
      <w:jc w:val="left"/>
    </w:pPr>
    <w:rPr>
      <w:sz w:val="18"/>
      <w:szCs w:val="18"/>
    </w:rPr>
  </w:style>
  <w:style w:type="paragraph" w:styleId="73">
    <w:name w:val="Body Text 2"/>
    <w:basedOn w:val="1"/>
    <w:link w:val="139"/>
    <w:qFormat/>
    <w:locked/>
    <w:uiPriority w:val="0"/>
    <w:rPr>
      <w:rFonts w:eastAsia="仿宋_GB2312"/>
      <w:sz w:val="32"/>
    </w:rPr>
  </w:style>
  <w:style w:type="paragraph" w:styleId="74">
    <w:name w:val="List 4"/>
    <w:basedOn w:val="1"/>
    <w:qFormat/>
    <w:locked/>
    <w:uiPriority w:val="0"/>
    <w:pPr>
      <w:spacing w:before="60"/>
      <w:ind w:left="1680" w:hanging="420"/>
    </w:pPr>
    <w:rPr>
      <w:rFonts w:ascii="Arial" w:hAnsi="Arial" w:eastAsia="仿宋_GB2312"/>
      <w:kern w:val="0"/>
      <w:sz w:val="24"/>
      <w:szCs w:val="20"/>
    </w:rPr>
  </w:style>
  <w:style w:type="paragraph" w:styleId="75">
    <w:name w:val="List Continue 2"/>
    <w:basedOn w:val="1"/>
    <w:qFormat/>
    <w:locked/>
    <w:uiPriority w:val="0"/>
    <w:pPr>
      <w:spacing w:before="60" w:after="120"/>
      <w:ind w:left="840" w:firstLine="482"/>
    </w:pPr>
    <w:rPr>
      <w:rFonts w:ascii="Arial" w:hAnsi="Arial" w:eastAsia="仿宋_GB2312"/>
      <w:kern w:val="0"/>
      <w:sz w:val="24"/>
      <w:szCs w:val="20"/>
    </w:rPr>
  </w:style>
  <w:style w:type="paragraph" w:styleId="76">
    <w:name w:val="Message Header"/>
    <w:basedOn w:val="1"/>
    <w:link w:val="140"/>
    <w:qFormat/>
    <w:locked/>
    <w:uiPriority w:val="0"/>
    <w:pPr>
      <w:pBdr>
        <w:top w:val="single" w:color="auto" w:sz="6" w:space="1"/>
        <w:left w:val="single" w:color="auto" w:sz="6" w:space="1"/>
        <w:bottom w:val="single" w:color="auto" w:sz="6" w:space="1"/>
        <w:right w:val="single" w:color="auto" w:sz="6" w:space="1"/>
      </w:pBdr>
      <w:shd w:val="pct20" w:color="auto" w:fill="auto"/>
      <w:spacing w:before="60"/>
      <w:ind w:left="1080" w:hanging="1080"/>
    </w:pPr>
    <w:rPr>
      <w:rFonts w:ascii="宋体" w:hAnsi="宋体" w:cs="宋体"/>
      <w:sz w:val="24"/>
    </w:rPr>
  </w:style>
  <w:style w:type="paragraph" w:styleId="77">
    <w:name w:val="HTML Preformatted"/>
    <w:basedOn w:val="1"/>
    <w:link w:val="141"/>
    <w:qFormat/>
    <w:locked/>
    <w:uiPriority w:val="0"/>
    <w:rPr>
      <w:rFonts w:ascii="Courier New" w:hAnsi="Courier New" w:cs="Courier New"/>
      <w:sz w:val="20"/>
      <w:szCs w:val="20"/>
    </w:rPr>
  </w:style>
  <w:style w:type="paragraph" w:styleId="78">
    <w:name w:val="Normal (Web)"/>
    <w:basedOn w:val="1"/>
    <w:link w:val="142"/>
    <w:qFormat/>
    <w:uiPriority w:val="0"/>
    <w:pPr>
      <w:widowControl/>
      <w:spacing w:before="100" w:beforeAutospacing="1" w:after="100" w:afterAutospacing="1"/>
      <w:jc w:val="left"/>
    </w:pPr>
    <w:rPr>
      <w:rFonts w:ascii="宋体" w:hAnsi="宋体"/>
      <w:kern w:val="0"/>
      <w:sz w:val="24"/>
      <w:szCs w:val="20"/>
    </w:rPr>
  </w:style>
  <w:style w:type="paragraph" w:styleId="79">
    <w:name w:val="List Continue 3"/>
    <w:basedOn w:val="1"/>
    <w:qFormat/>
    <w:locked/>
    <w:uiPriority w:val="0"/>
    <w:pPr>
      <w:spacing w:before="60" w:after="120"/>
      <w:ind w:left="1260" w:firstLine="482"/>
    </w:pPr>
    <w:rPr>
      <w:rFonts w:ascii="Arial" w:hAnsi="Arial" w:eastAsia="仿宋_GB2312"/>
      <w:kern w:val="0"/>
      <w:sz w:val="24"/>
      <w:szCs w:val="20"/>
    </w:rPr>
  </w:style>
  <w:style w:type="paragraph" w:styleId="80">
    <w:name w:val="Title"/>
    <w:basedOn w:val="1"/>
    <w:next w:val="1"/>
    <w:link w:val="143"/>
    <w:qFormat/>
    <w:locked/>
    <w:uiPriority w:val="0"/>
    <w:pPr>
      <w:spacing w:before="240" w:after="60"/>
      <w:jc w:val="center"/>
      <w:outlineLvl w:val="0"/>
    </w:pPr>
    <w:rPr>
      <w:rFonts w:ascii="Cambria" w:hAnsi="Cambria"/>
      <w:b/>
      <w:bCs/>
      <w:sz w:val="32"/>
      <w:szCs w:val="32"/>
    </w:rPr>
  </w:style>
  <w:style w:type="paragraph" w:styleId="81">
    <w:name w:val="annotation subject"/>
    <w:basedOn w:val="29"/>
    <w:next w:val="29"/>
    <w:link w:val="144"/>
    <w:semiHidden/>
    <w:qFormat/>
    <w:uiPriority w:val="0"/>
    <w:rPr>
      <w:b/>
    </w:rPr>
  </w:style>
  <w:style w:type="paragraph" w:styleId="82">
    <w:name w:val="Body Text First Indent"/>
    <w:basedOn w:val="34"/>
    <w:next w:val="1"/>
    <w:link w:val="126"/>
    <w:qFormat/>
    <w:locked/>
    <w:uiPriority w:val="0"/>
    <w:pPr>
      <w:widowControl w:val="0"/>
      <w:snapToGrid/>
      <w:spacing w:before="0" w:after="120" w:line="240" w:lineRule="auto"/>
      <w:ind w:right="0" w:firstLine="420" w:firstLineChars="100"/>
    </w:pPr>
    <w:rPr>
      <w:kern w:val="2"/>
      <w:sz w:val="21"/>
      <w:szCs w:val="24"/>
    </w:rPr>
  </w:style>
  <w:style w:type="table" w:styleId="84">
    <w:name w:val="Table Grid"/>
    <w:basedOn w:val="8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5">
    <w:name w:val="Table Theme"/>
    <w:basedOn w:val="83"/>
    <w:qFormat/>
    <w:locked/>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6">
    <w:name w:val="Table Grid 1"/>
    <w:basedOn w:val="83"/>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7">
    <w:name w:val="Table Grid 5"/>
    <w:basedOn w:val="83"/>
    <w:qFormat/>
    <w:locked/>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8">
    <w:name w:val="Table Professional"/>
    <w:basedOn w:val="83"/>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90">
    <w:name w:val="Strong"/>
    <w:qFormat/>
    <w:locked/>
    <w:uiPriority w:val="0"/>
    <w:rPr>
      <w:b/>
      <w:bCs/>
    </w:rPr>
  </w:style>
  <w:style w:type="character" w:styleId="91">
    <w:name w:val="endnote reference"/>
    <w:qFormat/>
    <w:locked/>
    <w:uiPriority w:val="0"/>
    <w:rPr>
      <w:rFonts w:ascii="宋体" w:hAnsi="宋体" w:eastAsia="宋体" w:cs="宋体"/>
      <w:kern w:val="2"/>
      <w:sz w:val="21"/>
      <w:szCs w:val="24"/>
      <w:vertAlign w:val="superscript"/>
      <w:lang w:val="en-US" w:eastAsia="zh-CN" w:bidi="ar-SA"/>
    </w:rPr>
  </w:style>
  <w:style w:type="character" w:styleId="92">
    <w:name w:val="page number"/>
    <w:qFormat/>
    <w:locked/>
    <w:uiPriority w:val="0"/>
  </w:style>
  <w:style w:type="character" w:styleId="93">
    <w:name w:val="FollowedHyperlink"/>
    <w:unhideWhenUsed/>
    <w:qFormat/>
    <w:locked/>
    <w:uiPriority w:val="99"/>
    <w:rPr>
      <w:color w:val="954F72"/>
      <w:u w:val="single"/>
    </w:rPr>
  </w:style>
  <w:style w:type="character" w:styleId="94">
    <w:name w:val="Emphasis"/>
    <w:qFormat/>
    <w:locked/>
    <w:uiPriority w:val="0"/>
    <w:rPr>
      <w:rFonts w:ascii="宋体" w:hAnsi="宋体" w:eastAsia="宋体" w:cs="宋体"/>
      <w:color w:val="CC0000"/>
      <w:kern w:val="2"/>
      <w:sz w:val="24"/>
      <w:szCs w:val="24"/>
      <w:lang w:val="en-US" w:eastAsia="zh-CN" w:bidi="ar-SA"/>
    </w:rPr>
  </w:style>
  <w:style w:type="character" w:styleId="95">
    <w:name w:val="Hyperlink"/>
    <w:qFormat/>
    <w:locked/>
    <w:uiPriority w:val="99"/>
    <w:rPr>
      <w:color w:val="0000FF"/>
      <w:u w:val="single"/>
    </w:rPr>
  </w:style>
  <w:style w:type="character" w:styleId="96">
    <w:name w:val="HTML Code"/>
    <w:qFormat/>
    <w:locked/>
    <w:uiPriority w:val="0"/>
    <w:rPr>
      <w:rFonts w:ascii="黑体" w:hAnsi="Courier New" w:eastAsia="黑体" w:cs="Courier New"/>
      <w:sz w:val="24"/>
      <w:szCs w:val="24"/>
    </w:rPr>
  </w:style>
  <w:style w:type="character" w:styleId="97">
    <w:name w:val="annotation reference"/>
    <w:semiHidden/>
    <w:qFormat/>
    <w:uiPriority w:val="0"/>
    <w:rPr>
      <w:sz w:val="21"/>
    </w:rPr>
  </w:style>
  <w:style w:type="character" w:styleId="98">
    <w:name w:val="footnote reference"/>
    <w:qFormat/>
    <w:locked/>
    <w:uiPriority w:val="0"/>
    <w:rPr>
      <w:rFonts w:ascii="宋体" w:hAnsi="宋体" w:eastAsia="宋体" w:cs="宋体"/>
      <w:kern w:val="2"/>
      <w:sz w:val="24"/>
      <w:szCs w:val="24"/>
      <w:vertAlign w:val="superscript"/>
      <w:lang w:val="en-US" w:eastAsia="zh-CN" w:bidi="ar-SA"/>
    </w:rPr>
  </w:style>
  <w:style w:type="paragraph" w:customStyle="1" w:styleId="99">
    <w:name w:val="样式 正文文本缩进 + 行距: 1.5 倍行距"/>
    <w:basedOn w:val="100"/>
    <w:next w:val="1"/>
    <w:qFormat/>
    <w:uiPriority w:val="0"/>
    <w:pPr>
      <w:ind w:left="90" w:leftChars="32" w:firstLine="560"/>
    </w:pPr>
    <w:rPr>
      <w:rFonts w:cs="宋体"/>
    </w:rPr>
  </w:style>
  <w:style w:type="paragraph" w:customStyle="1" w:styleId="100">
    <w:name w:val="Body Text Indent"/>
    <w:basedOn w:val="1"/>
    <w:next w:val="99"/>
    <w:qFormat/>
    <w:uiPriority w:val="0"/>
    <w:pPr>
      <w:spacing w:after="120" w:afterLines="0"/>
      <w:ind w:left="420" w:leftChars="200"/>
    </w:pPr>
    <w:rPr>
      <w:rFonts w:ascii="Times New Roman" w:hAnsi="Times New Roman" w:eastAsia="宋体"/>
      <w:sz w:val="24"/>
    </w:rPr>
  </w:style>
  <w:style w:type="paragraph" w:customStyle="1" w:styleId="101">
    <w:name w:val="正文文本缩进1"/>
    <w:basedOn w:val="102"/>
    <w:next w:val="99"/>
    <w:qFormat/>
    <w:uiPriority w:val="0"/>
    <w:pPr>
      <w:spacing w:after="120" w:line="360" w:lineRule="auto"/>
      <w:ind w:left="420" w:leftChars="200" w:firstLine="200" w:firstLineChars="200"/>
    </w:pPr>
    <w:rPr>
      <w:sz w:val="24"/>
    </w:rPr>
  </w:style>
  <w:style w:type="paragraph" w:customStyle="1" w:styleId="102">
    <w:name w:val="Normal New New New New New New New New New New New New New New New New New New New New New New New New New New New New New New New New New New New New New New New New New New New New New New New New New New New New New New New New New New New New New 53"/>
    <w:qFormat/>
    <w:uiPriority w:val="0"/>
    <w:pPr>
      <w:widowControl w:val="0"/>
      <w:jc w:val="both"/>
    </w:pPr>
    <w:rPr>
      <w:rFonts w:hint="eastAsia" w:ascii="Calibri" w:hAnsi="Calibri" w:eastAsia="宋体" w:cs="Times New Roman"/>
      <w:kern w:val="2"/>
      <w:sz w:val="21"/>
      <w:lang w:val="en-US" w:eastAsia="zh-CN" w:bidi="ar-SA"/>
    </w:rPr>
  </w:style>
  <w:style w:type="paragraph" w:customStyle="1" w:styleId="103">
    <w:name w:val="一般内容"/>
    <w:basedOn w:val="1"/>
    <w:qFormat/>
    <w:uiPriority w:val="0"/>
    <w:pPr>
      <w:spacing w:line="360" w:lineRule="auto"/>
      <w:ind w:firstLine="200" w:firstLineChars="200"/>
    </w:pPr>
    <w:rPr>
      <w:rFonts w:ascii="Arial" w:hAnsi="Arial"/>
      <w:bCs/>
      <w:sz w:val="24"/>
    </w:rPr>
  </w:style>
  <w:style w:type="character" w:customStyle="1" w:styleId="104">
    <w:name w:val="纯文本 字符"/>
    <w:link w:val="11"/>
    <w:qFormat/>
    <w:uiPriority w:val="0"/>
    <w:rPr>
      <w:rFonts w:ascii="宋体" w:hAnsi="Courier New" w:cs="Courier New"/>
      <w:kern w:val="2"/>
      <w:sz w:val="21"/>
      <w:szCs w:val="21"/>
    </w:rPr>
  </w:style>
  <w:style w:type="character" w:customStyle="1" w:styleId="105">
    <w:name w:val="宏文本 字符"/>
    <w:link w:val="4"/>
    <w:qFormat/>
    <w:uiPriority w:val="0"/>
    <w:rPr>
      <w:rFonts w:ascii="宋体" w:hAnsi="宋体"/>
      <w:kern w:val="2"/>
      <w:sz w:val="24"/>
      <w:szCs w:val="24"/>
    </w:rPr>
  </w:style>
  <w:style w:type="character" w:customStyle="1" w:styleId="106">
    <w:name w:val="标题 1 字符"/>
    <w:link w:val="5"/>
    <w:qFormat/>
    <w:uiPriority w:val="9"/>
    <w:rPr>
      <w:rFonts w:eastAsia="黑体"/>
      <w:b/>
      <w:bCs/>
      <w:color w:val="000000"/>
      <w:kern w:val="44"/>
      <w:sz w:val="30"/>
      <w:szCs w:val="30"/>
    </w:rPr>
  </w:style>
  <w:style w:type="character" w:customStyle="1" w:styleId="107">
    <w:name w:val="标题 2 字符"/>
    <w:link w:val="6"/>
    <w:qFormat/>
    <w:uiPriority w:val="9"/>
    <w:rPr>
      <w:rFonts w:ascii="Arial" w:hAnsi="Arial" w:eastAsia="黑体"/>
      <w:b/>
      <w:bCs/>
      <w:kern w:val="2"/>
      <w:sz w:val="32"/>
      <w:szCs w:val="32"/>
    </w:rPr>
  </w:style>
  <w:style w:type="character" w:customStyle="1" w:styleId="108">
    <w:name w:val="标题 3 字符"/>
    <w:link w:val="7"/>
    <w:qFormat/>
    <w:uiPriority w:val="9"/>
    <w:rPr>
      <w:b/>
      <w:bCs/>
      <w:kern w:val="2"/>
      <w:sz w:val="32"/>
      <w:szCs w:val="32"/>
    </w:rPr>
  </w:style>
  <w:style w:type="character" w:customStyle="1" w:styleId="109">
    <w:name w:val="标题 4 字符"/>
    <w:link w:val="8"/>
    <w:qFormat/>
    <w:uiPriority w:val="0"/>
    <w:rPr>
      <w:rFonts w:ascii="Cambria" w:hAnsi="Cambria"/>
      <w:b/>
      <w:bCs/>
      <w:kern w:val="2"/>
      <w:sz w:val="28"/>
      <w:szCs w:val="28"/>
    </w:rPr>
  </w:style>
  <w:style w:type="character" w:customStyle="1" w:styleId="110">
    <w:name w:val="标题 5 字符"/>
    <w:link w:val="9"/>
    <w:qFormat/>
    <w:uiPriority w:val="0"/>
    <w:rPr>
      <w:b/>
      <w:kern w:val="2"/>
      <w:sz w:val="28"/>
    </w:rPr>
  </w:style>
  <w:style w:type="character" w:customStyle="1" w:styleId="111">
    <w:name w:val="正文缩进 字符"/>
    <w:link w:val="10"/>
    <w:qFormat/>
    <w:uiPriority w:val="99"/>
    <w:rPr>
      <w:kern w:val="2"/>
      <w:sz w:val="21"/>
      <w:szCs w:val="24"/>
    </w:rPr>
  </w:style>
  <w:style w:type="character" w:customStyle="1" w:styleId="112">
    <w:name w:val="标题 6 字符"/>
    <w:link w:val="12"/>
    <w:qFormat/>
    <w:uiPriority w:val="0"/>
    <w:rPr>
      <w:rFonts w:ascii="Arial" w:hAnsi="Arial"/>
      <w:b/>
      <w:bCs/>
      <w:kern w:val="2"/>
      <w:sz w:val="24"/>
      <w:szCs w:val="24"/>
    </w:rPr>
  </w:style>
  <w:style w:type="character" w:customStyle="1" w:styleId="113">
    <w:name w:val="标题 7 字符"/>
    <w:link w:val="13"/>
    <w:qFormat/>
    <w:uiPriority w:val="0"/>
    <w:rPr>
      <w:b/>
      <w:bCs/>
      <w:kern w:val="2"/>
      <w:sz w:val="24"/>
      <w:szCs w:val="24"/>
    </w:rPr>
  </w:style>
  <w:style w:type="character" w:customStyle="1" w:styleId="114">
    <w:name w:val="标题 8 字符"/>
    <w:link w:val="14"/>
    <w:qFormat/>
    <w:uiPriority w:val="0"/>
    <w:rPr>
      <w:rFonts w:ascii="Arial" w:hAnsi="Arial"/>
      <w:sz w:val="24"/>
    </w:rPr>
  </w:style>
  <w:style w:type="character" w:customStyle="1" w:styleId="115">
    <w:name w:val="标题 9 字符"/>
    <w:link w:val="15"/>
    <w:qFormat/>
    <w:uiPriority w:val="0"/>
    <w:rPr>
      <w:rFonts w:ascii="Arial" w:hAnsi="Arial"/>
      <w:sz w:val="24"/>
    </w:rPr>
  </w:style>
  <w:style w:type="character" w:customStyle="1" w:styleId="116">
    <w:name w:val="注释标题 字符"/>
    <w:link w:val="20"/>
    <w:qFormat/>
    <w:uiPriority w:val="0"/>
    <w:rPr>
      <w:rFonts w:ascii="Arial" w:hAnsi="Arial"/>
      <w:bCs/>
      <w:kern w:val="2"/>
      <w:sz w:val="28"/>
      <w:szCs w:val="28"/>
    </w:rPr>
  </w:style>
  <w:style w:type="character" w:customStyle="1" w:styleId="117">
    <w:name w:val="电子邮件签名 字符"/>
    <w:link w:val="22"/>
    <w:qFormat/>
    <w:uiPriority w:val="0"/>
    <w:rPr>
      <w:rFonts w:ascii="Arial" w:hAnsi="Arial" w:eastAsia="仿宋_GB2312"/>
      <w:kern w:val="2"/>
      <w:sz w:val="24"/>
      <w:szCs w:val="22"/>
    </w:rPr>
  </w:style>
  <w:style w:type="character" w:customStyle="1" w:styleId="118">
    <w:name w:val="题注 字符"/>
    <w:link w:val="24"/>
    <w:qFormat/>
    <w:uiPriority w:val="35"/>
    <w:rPr>
      <w:rFonts w:ascii="Arial" w:hAnsi="Arial" w:eastAsia="黑体" w:cs="Arial"/>
      <w:kern w:val="2"/>
    </w:rPr>
  </w:style>
  <w:style w:type="character" w:customStyle="1" w:styleId="119">
    <w:name w:val="文档结构图 字符"/>
    <w:link w:val="27"/>
    <w:qFormat/>
    <w:uiPriority w:val="99"/>
    <w:rPr>
      <w:kern w:val="2"/>
      <w:sz w:val="21"/>
      <w:szCs w:val="24"/>
      <w:shd w:val="clear" w:color="auto" w:fill="000080"/>
    </w:rPr>
  </w:style>
  <w:style w:type="character" w:customStyle="1" w:styleId="120">
    <w:name w:val="批注文字 字符"/>
    <w:link w:val="29"/>
    <w:qFormat/>
    <w:locked/>
    <w:uiPriority w:val="0"/>
    <w:rPr>
      <w:rFonts w:ascii="Times New Roman" w:hAnsi="Times New Roman" w:eastAsia="宋体"/>
      <w:sz w:val="24"/>
    </w:rPr>
  </w:style>
  <w:style w:type="character" w:customStyle="1" w:styleId="121">
    <w:name w:val="称呼 字符"/>
    <w:link w:val="30"/>
    <w:qFormat/>
    <w:uiPriority w:val="0"/>
    <w:rPr>
      <w:kern w:val="2"/>
      <w:sz w:val="21"/>
      <w:szCs w:val="24"/>
    </w:rPr>
  </w:style>
  <w:style w:type="character" w:customStyle="1" w:styleId="122">
    <w:name w:val="正文文本 3 字符"/>
    <w:link w:val="31"/>
    <w:qFormat/>
    <w:uiPriority w:val="0"/>
    <w:rPr>
      <w:rFonts w:ascii="宋体" w:hAnsi="宋体"/>
      <w:kern w:val="2"/>
      <w:sz w:val="24"/>
      <w:szCs w:val="24"/>
    </w:rPr>
  </w:style>
  <w:style w:type="character" w:customStyle="1" w:styleId="123">
    <w:name w:val="结束语 字符"/>
    <w:link w:val="32"/>
    <w:qFormat/>
    <w:uiPriority w:val="0"/>
    <w:rPr>
      <w:rFonts w:ascii="Arial" w:hAnsi="Arial" w:eastAsia="仿宋_GB2312"/>
      <w:kern w:val="2"/>
      <w:sz w:val="24"/>
      <w:szCs w:val="22"/>
    </w:rPr>
  </w:style>
  <w:style w:type="character" w:customStyle="1" w:styleId="124">
    <w:name w:val="正文文本 字符"/>
    <w:link w:val="34"/>
    <w:qFormat/>
    <w:locked/>
    <w:uiPriority w:val="0"/>
    <w:rPr>
      <w:sz w:val="18"/>
    </w:rPr>
  </w:style>
  <w:style w:type="character" w:customStyle="1" w:styleId="125">
    <w:name w:val="正文文本缩进 字符"/>
    <w:link w:val="3"/>
    <w:qFormat/>
    <w:locked/>
    <w:uiPriority w:val="99"/>
    <w:rPr>
      <w:rFonts w:ascii="Times New Roman" w:hAnsi="Times New Roman" w:eastAsia="宋体"/>
      <w:sz w:val="24"/>
    </w:rPr>
  </w:style>
  <w:style w:type="character" w:customStyle="1" w:styleId="126">
    <w:name w:val="正文文本首行缩进 字符"/>
    <w:link w:val="82"/>
    <w:qFormat/>
    <w:uiPriority w:val="0"/>
    <w:rPr>
      <w:kern w:val="2"/>
      <w:sz w:val="21"/>
      <w:szCs w:val="24"/>
    </w:rPr>
  </w:style>
  <w:style w:type="character" w:customStyle="1" w:styleId="127">
    <w:name w:val="HTML 地址 字符"/>
    <w:link w:val="41"/>
    <w:qFormat/>
    <w:uiPriority w:val="0"/>
    <w:rPr>
      <w:rFonts w:ascii="Arial" w:hAnsi="Arial" w:eastAsia="仿宋_GB2312"/>
      <w:i/>
      <w:iCs/>
      <w:kern w:val="2"/>
      <w:sz w:val="24"/>
      <w:szCs w:val="22"/>
    </w:rPr>
  </w:style>
  <w:style w:type="character" w:customStyle="1" w:styleId="128">
    <w:name w:val="日期 字符1"/>
    <w:link w:val="47"/>
    <w:qFormat/>
    <w:locked/>
    <w:uiPriority w:val="0"/>
    <w:rPr>
      <w:rFonts w:ascii="Times New Roman" w:hAnsi="Times New Roman" w:eastAsia="宋体"/>
      <w:sz w:val="24"/>
    </w:rPr>
  </w:style>
  <w:style w:type="character" w:customStyle="1" w:styleId="129">
    <w:name w:val="正文文本缩进 2 字符"/>
    <w:link w:val="48"/>
    <w:qFormat/>
    <w:uiPriority w:val="0"/>
    <w:rPr>
      <w:kern w:val="24"/>
      <w:sz w:val="28"/>
    </w:rPr>
  </w:style>
  <w:style w:type="character" w:customStyle="1" w:styleId="130">
    <w:name w:val="尾注文本 字符"/>
    <w:link w:val="49"/>
    <w:qFormat/>
    <w:uiPriority w:val="0"/>
    <w:rPr>
      <w:kern w:val="2"/>
      <w:sz w:val="21"/>
      <w:szCs w:val="24"/>
    </w:rPr>
  </w:style>
  <w:style w:type="character" w:customStyle="1" w:styleId="131">
    <w:name w:val="批注框文本 字符"/>
    <w:link w:val="51"/>
    <w:semiHidden/>
    <w:qFormat/>
    <w:locked/>
    <w:uiPriority w:val="0"/>
    <w:rPr>
      <w:rFonts w:ascii="Times New Roman" w:hAnsi="Times New Roman" w:eastAsia="宋体"/>
      <w:sz w:val="18"/>
    </w:rPr>
  </w:style>
  <w:style w:type="character" w:customStyle="1" w:styleId="132">
    <w:name w:val="页脚 字符1"/>
    <w:link w:val="52"/>
    <w:qFormat/>
    <w:locked/>
    <w:uiPriority w:val="99"/>
    <w:rPr>
      <w:sz w:val="18"/>
    </w:rPr>
  </w:style>
  <w:style w:type="character" w:customStyle="1" w:styleId="133">
    <w:name w:val="页眉 字符"/>
    <w:link w:val="54"/>
    <w:qFormat/>
    <w:locked/>
    <w:uiPriority w:val="99"/>
    <w:rPr>
      <w:sz w:val="18"/>
    </w:rPr>
  </w:style>
  <w:style w:type="character" w:customStyle="1" w:styleId="134">
    <w:name w:val="签名 字符"/>
    <w:link w:val="57"/>
    <w:qFormat/>
    <w:uiPriority w:val="0"/>
    <w:rPr>
      <w:rFonts w:ascii="Arial" w:hAnsi="Arial" w:eastAsia="仿宋_GB2312"/>
      <w:kern w:val="2"/>
      <w:sz w:val="24"/>
      <w:szCs w:val="22"/>
    </w:rPr>
  </w:style>
  <w:style w:type="character" w:customStyle="1" w:styleId="135">
    <w:name w:val="TOC 1 字符"/>
    <w:link w:val="58"/>
    <w:qFormat/>
    <w:uiPriority w:val="39"/>
    <w:rPr>
      <w:b/>
      <w:bCs/>
      <w:caps/>
      <w:kern w:val="2"/>
    </w:rPr>
  </w:style>
  <w:style w:type="character" w:customStyle="1" w:styleId="136">
    <w:name w:val="副标题 字符"/>
    <w:link w:val="63"/>
    <w:qFormat/>
    <w:uiPriority w:val="0"/>
    <w:rPr>
      <w:rFonts w:ascii="Arial" w:hAnsi="Arial" w:eastAsia="仿宋_GB2312"/>
      <w:b/>
      <w:bCs/>
      <w:kern w:val="28"/>
      <w:sz w:val="32"/>
      <w:szCs w:val="32"/>
    </w:rPr>
  </w:style>
  <w:style w:type="character" w:customStyle="1" w:styleId="137">
    <w:name w:val="脚注文本 字符"/>
    <w:link w:val="66"/>
    <w:qFormat/>
    <w:uiPriority w:val="0"/>
    <w:rPr>
      <w:rFonts w:ascii="宋体"/>
      <w:kern w:val="2"/>
      <w:sz w:val="18"/>
      <w:szCs w:val="18"/>
    </w:rPr>
  </w:style>
  <w:style w:type="character" w:customStyle="1" w:styleId="138">
    <w:name w:val="正文文本缩进 3 字符"/>
    <w:link w:val="69"/>
    <w:qFormat/>
    <w:uiPriority w:val="0"/>
    <w:rPr>
      <w:kern w:val="2"/>
      <w:sz w:val="16"/>
      <w:szCs w:val="16"/>
    </w:rPr>
  </w:style>
  <w:style w:type="character" w:customStyle="1" w:styleId="139">
    <w:name w:val="正文文本 2 字符"/>
    <w:link w:val="73"/>
    <w:qFormat/>
    <w:uiPriority w:val="0"/>
    <w:rPr>
      <w:rFonts w:eastAsia="仿宋_GB2312"/>
      <w:kern w:val="2"/>
      <w:sz w:val="32"/>
      <w:szCs w:val="24"/>
    </w:rPr>
  </w:style>
  <w:style w:type="character" w:customStyle="1" w:styleId="140">
    <w:name w:val="信息标题 字符"/>
    <w:link w:val="76"/>
    <w:qFormat/>
    <w:uiPriority w:val="0"/>
    <w:rPr>
      <w:rFonts w:ascii="宋体" w:hAnsi="宋体" w:cs="宋体"/>
      <w:kern w:val="2"/>
      <w:sz w:val="24"/>
      <w:szCs w:val="21"/>
      <w:shd w:val="pct20" w:color="auto" w:fill="auto"/>
    </w:rPr>
  </w:style>
  <w:style w:type="character" w:customStyle="1" w:styleId="141">
    <w:name w:val="HTML 预设格式 字符"/>
    <w:link w:val="77"/>
    <w:qFormat/>
    <w:uiPriority w:val="0"/>
    <w:rPr>
      <w:rFonts w:ascii="Courier New" w:hAnsi="Courier New" w:cs="Courier New"/>
      <w:kern w:val="2"/>
    </w:rPr>
  </w:style>
  <w:style w:type="character" w:customStyle="1" w:styleId="142">
    <w:name w:val="普通(网站) 字符"/>
    <w:link w:val="78"/>
    <w:qFormat/>
    <w:locked/>
    <w:uiPriority w:val="0"/>
    <w:rPr>
      <w:rFonts w:ascii="宋体" w:hAnsi="宋体" w:eastAsia="宋体"/>
      <w:sz w:val="24"/>
    </w:rPr>
  </w:style>
  <w:style w:type="character" w:customStyle="1" w:styleId="143">
    <w:name w:val="标题 字符"/>
    <w:link w:val="80"/>
    <w:qFormat/>
    <w:uiPriority w:val="0"/>
    <w:rPr>
      <w:rFonts w:ascii="Cambria" w:hAnsi="Cambria"/>
      <w:b/>
      <w:bCs/>
      <w:kern w:val="2"/>
      <w:sz w:val="32"/>
      <w:szCs w:val="32"/>
    </w:rPr>
  </w:style>
  <w:style w:type="character" w:customStyle="1" w:styleId="144">
    <w:name w:val="批注主题 字符"/>
    <w:link w:val="81"/>
    <w:semiHidden/>
    <w:qFormat/>
    <w:locked/>
    <w:uiPriority w:val="0"/>
    <w:rPr>
      <w:rFonts w:ascii="Times New Roman" w:hAnsi="Times New Roman" w:eastAsia="宋体"/>
      <w:b/>
      <w:kern w:val="2"/>
      <w:sz w:val="24"/>
    </w:rPr>
  </w:style>
  <w:style w:type="character" w:customStyle="1" w:styleId="145">
    <w:name w:val="正文文本首行缩进 2 字符"/>
    <w:link w:val="2"/>
    <w:qFormat/>
    <w:uiPriority w:val="99"/>
    <w:rPr>
      <w:rFonts w:ascii="Times New Roman" w:hAnsi="Times New Roman" w:eastAsia="宋体"/>
      <w:kern w:val="2"/>
      <w:sz w:val="21"/>
      <w:szCs w:val="24"/>
    </w:rPr>
  </w:style>
  <w:style w:type="character" w:customStyle="1" w:styleId="146">
    <w:name w:val="内容"/>
    <w:qFormat/>
    <w:uiPriority w:val="0"/>
  </w:style>
  <w:style w:type="character" w:customStyle="1" w:styleId="147">
    <w:name w:val="页脚 字符"/>
    <w:qFormat/>
    <w:uiPriority w:val="99"/>
  </w:style>
  <w:style w:type="character" w:customStyle="1" w:styleId="148">
    <w:name w:val="样式2 Char"/>
    <w:link w:val="149"/>
    <w:qFormat/>
    <w:uiPriority w:val="0"/>
    <w:rPr>
      <w:rFonts w:ascii="宋体"/>
      <w:b/>
      <w:kern w:val="2"/>
      <w:sz w:val="24"/>
      <w:szCs w:val="28"/>
    </w:rPr>
  </w:style>
  <w:style w:type="paragraph" w:customStyle="1" w:styleId="149">
    <w:name w:val="样式2"/>
    <w:basedOn w:val="1"/>
    <w:link w:val="148"/>
    <w:qFormat/>
    <w:uiPriority w:val="0"/>
    <w:pPr>
      <w:widowControl/>
      <w:spacing w:line="360" w:lineRule="auto"/>
      <w:jc w:val="center"/>
    </w:pPr>
    <w:rPr>
      <w:rFonts w:ascii="宋体"/>
      <w:b/>
      <w:sz w:val="24"/>
      <w:szCs w:val="28"/>
    </w:rPr>
  </w:style>
  <w:style w:type="character" w:customStyle="1" w:styleId="150">
    <w:name w:val="标题 3 Char Char"/>
    <w:qFormat/>
    <w:uiPriority w:val="0"/>
    <w:rPr>
      <w:rFonts w:ascii="宋体" w:hAnsi="宋体" w:eastAsia="宋体" w:cs="宋体"/>
      <w:b/>
      <w:bCs/>
      <w:color w:val="000000"/>
      <w:kern w:val="2"/>
      <w:sz w:val="32"/>
      <w:szCs w:val="24"/>
      <w:lang w:val="zh-CN" w:eastAsia="zh-CN" w:bidi="ar-SA"/>
    </w:rPr>
  </w:style>
  <w:style w:type="character" w:customStyle="1" w:styleId="151">
    <w:name w:val="参加人员 Char Char"/>
    <w:link w:val="152"/>
    <w:qFormat/>
    <w:uiPriority w:val="0"/>
    <w:rPr>
      <w:sz w:val="24"/>
    </w:rPr>
  </w:style>
  <w:style w:type="paragraph" w:customStyle="1" w:styleId="152">
    <w:name w:val="参加人员"/>
    <w:basedOn w:val="1"/>
    <w:link w:val="151"/>
    <w:qFormat/>
    <w:uiPriority w:val="0"/>
    <w:pPr>
      <w:spacing w:line="360" w:lineRule="auto"/>
    </w:pPr>
    <w:rPr>
      <w:kern w:val="0"/>
      <w:sz w:val="24"/>
      <w:szCs w:val="20"/>
    </w:rPr>
  </w:style>
  <w:style w:type="character" w:customStyle="1" w:styleId="153">
    <w:name w:val="正文王 Char Char"/>
    <w:link w:val="154"/>
    <w:semiHidden/>
    <w:qFormat/>
    <w:uiPriority w:val="0"/>
    <w:rPr>
      <w:snapToGrid/>
      <w:color w:val="000000"/>
      <w:sz w:val="21"/>
      <w:szCs w:val="21"/>
    </w:rPr>
  </w:style>
  <w:style w:type="paragraph" w:customStyle="1" w:styleId="154">
    <w:name w:val="正文王"/>
    <w:basedOn w:val="1"/>
    <w:link w:val="153"/>
    <w:semiHidden/>
    <w:qFormat/>
    <w:uiPriority w:val="0"/>
    <w:pPr>
      <w:adjustRightInd w:val="0"/>
      <w:snapToGrid w:val="0"/>
      <w:spacing w:line="320" w:lineRule="exact"/>
      <w:jc w:val="center"/>
    </w:pPr>
    <w:rPr>
      <w:snapToGrid w:val="0"/>
      <w:color w:val="000000"/>
      <w:kern w:val="0"/>
    </w:rPr>
  </w:style>
  <w:style w:type="character" w:customStyle="1" w:styleId="155">
    <w:name w:val="style11"/>
    <w:qFormat/>
    <w:uiPriority w:val="0"/>
    <w:rPr>
      <w:rFonts w:ascii="宋体" w:hAnsi="宋体" w:eastAsia="宋体" w:cs="宋体"/>
      <w:color w:val="000000"/>
      <w:kern w:val="2"/>
      <w:sz w:val="24"/>
      <w:szCs w:val="24"/>
      <w:lang w:val="en-US" w:eastAsia="zh-CN" w:bidi="ar-SA"/>
    </w:rPr>
  </w:style>
  <w:style w:type="character" w:customStyle="1" w:styleId="156">
    <w:name w:val="title6"/>
    <w:qFormat/>
    <w:uiPriority w:val="0"/>
    <w:rPr>
      <w:rFonts w:ascii="宋体" w:hAnsi="宋体" w:eastAsia="宋体" w:cs="宋体"/>
      <w:kern w:val="2"/>
      <w:sz w:val="24"/>
      <w:szCs w:val="24"/>
      <w:lang w:val="en-US" w:eastAsia="zh-CN" w:bidi="ar-SA"/>
    </w:rPr>
  </w:style>
  <w:style w:type="character" w:customStyle="1" w:styleId="157">
    <w:name w:val="f12h201"/>
    <w:qFormat/>
    <w:uiPriority w:val="0"/>
    <w:rPr>
      <w:rFonts w:ascii="宋体" w:hAnsi="宋体" w:eastAsia="宋体" w:cs="宋体"/>
      <w:kern w:val="2"/>
      <w:sz w:val="18"/>
      <w:szCs w:val="18"/>
      <w:lang w:val="en-US" w:eastAsia="zh-CN" w:bidi="ar-SA"/>
    </w:rPr>
  </w:style>
  <w:style w:type="character" w:customStyle="1" w:styleId="158">
    <w:name w:val="apple-converted-space"/>
    <w:qFormat/>
    <w:uiPriority w:val="0"/>
  </w:style>
  <w:style w:type="character" w:customStyle="1" w:styleId="159">
    <w:name w:val="表头 Char Char"/>
    <w:link w:val="160"/>
    <w:qFormat/>
    <w:uiPriority w:val="0"/>
    <w:rPr>
      <w:rFonts w:eastAsia="黑体"/>
      <w:spacing w:val="-10"/>
      <w:sz w:val="21"/>
    </w:rPr>
  </w:style>
  <w:style w:type="paragraph" w:customStyle="1" w:styleId="160">
    <w:name w:val="表头"/>
    <w:basedOn w:val="1"/>
    <w:link w:val="159"/>
    <w:qFormat/>
    <w:uiPriority w:val="0"/>
    <w:pPr>
      <w:adjustRightInd w:val="0"/>
      <w:snapToGrid w:val="0"/>
      <w:spacing w:line="320" w:lineRule="atLeast"/>
      <w:jc w:val="center"/>
      <w:textAlignment w:val="baseline"/>
    </w:pPr>
    <w:rPr>
      <w:rFonts w:eastAsia="黑体"/>
      <w:spacing w:val="-10"/>
      <w:kern w:val="0"/>
      <w:szCs w:val="20"/>
    </w:rPr>
  </w:style>
  <w:style w:type="character" w:customStyle="1" w:styleId="161">
    <w:name w:val="btd1"/>
    <w:qFormat/>
    <w:uiPriority w:val="0"/>
    <w:rPr>
      <w:rFonts w:ascii="宋体" w:hAnsi="宋体" w:eastAsia="宋体" w:cs="宋体"/>
      <w:b/>
      <w:bCs/>
      <w:kern w:val="2"/>
      <w:sz w:val="24"/>
      <w:szCs w:val="24"/>
      <w:lang w:val="en-US" w:eastAsia="zh-CN" w:bidi="ar-SA"/>
    </w:rPr>
  </w:style>
  <w:style w:type="character" w:customStyle="1" w:styleId="162">
    <w:name w:val="表格格式 Char"/>
    <w:link w:val="163"/>
    <w:qFormat/>
    <w:uiPriority w:val="0"/>
    <w:rPr>
      <w:rFonts w:ascii="宋体" w:hAnsi="宋体" w:cs="宋体"/>
      <w:color w:val="000000"/>
      <w:szCs w:val="21"/>
    </w:rPr>
  </w:style>
  <w:style w:type="paragraph" w:customStyle="1" w:styleId="163">
    <w:name w:val="表格格式"/>
    <w:basedOn w:val="1"/>
    <w:link w:val="162"/>
    <w:qFormat/>
    <w:uiPriority w:val="0"/>
    <w:pPr>
      <w:snapToGrid w:val="0"/>
      <w:jc w:val="center"/>
    </w:pPr>
    <w:rPr>
      <w:rFonts w:ascii="宋体" w:hAnsi="宋体" w:cs="宋体"/>
      <w:color w:val="000000"/>
      <w:kern w:val="0"/>
      <w:sz w:val="20"/>
    </w:rPr>
  </w:style>
  <w:style w:type="character" w:customStyle="1" w:styleId="164">
    <w:name w:val="样式68 Char Char"/>
    <w:link w:val="165"/>
    <w:qFormat/>
    <w:uiPriority w:val="0"/>
    <w:rPr>
      <w:rFonts w:ascii="宋体" w:hAnsi="宋体"/>
      <w:color w:val="000000"/>
      <w:spacing w:val="-2"/>
      <w:sz w:val="28"/>
    </w:rPr>
  </w:style>
  <w:style w:type="paragraph" w:customStyle="1" w:styleId="165">
    <w:name w:val="样式68"/>
    <w:basedOn w:val="1"/>
    <w:link w:val="164"/>
    <w:qFormat/>
    <w:uiPriority w:val="0"/>
    <w:pPr>
      <w:ind w:firstLine="552" w:firstLineChars="200"/>
    </w:pPr>
    <w:rPr>
      <w:rFonts w:ascii="宋体" w:hAnsi="宋体"/>
      <w:color w:val="000000"/>
      <w:spacing w:val="-2"/>
      <w:kern w:val="0"/>
      <w:sz w:val="28"/>
      <w:szCs w:val="20"/>
    </w:rPr>
  </w:style>
  <w:style w:type="character" w:customStyle="1" w:styleId="166">
    <w:name w:val="正文3 Char1"/>
    <w:link w:val="167"/>
    <w:qFormat/>
    <w:uiPriority w:val="0"/>
    <w:rPr>
      <w:sz w:val="30"/>
      <w:szCs w:val="24"/>
    </w:rPr>
  </w:style>
  <w:style w:type="paragraph" w:customStyle="1" w:styleId="167">
    <w:name w:val="正文3"/>
    <w:basedOn w:val="1"/>
    <w:link w:val="166"/>
    <w:qFormat/>
    <w:uiPriority w:val="0"/>
    <w:pPr>
      <w:adjustRightInd w:val="0"/>
      <w:spacing w:line="360" w:lineRule="auto"/>
      <w:ind w:firstLine="624"/>
      <w:textAlignment w:val="baseline"/>
    </w:pPr>
    <w:rPr>
      <w:kern w:val="0"/>
      <w:sz w:val="30"/>
    </w:rPr>
  </w:style>
  <w:style w:type="character" w:customStyle="1" w:styleId="168">
    <w:name w:val="样式 样式 正文 行距: 固定值 25 磅 + 首行缩进:  2 字符1 Char"/>
    <w:link w:val="169"/>
    <w:qFormat/>
    <w:uiPriority w:val="0"/>
    <w:rPr>
      <w:rFonts w:cs="宋体"/>
      <w:kern w:val="2"/>
      <w:sz w:val="24"/>
      <w:szCs w:val="24"/>
    </w:rPr>
  </w:style>
  <w:style w:type="paragraph" w:customStyle="1" w:styleId="169">
    <w:name w:val="样式 样式 正文 行距: 固定值 25 磅 + 首行缩进:  2 字符1"/>
    <w:basedOn w:val="170"/>
    <w:link w:val="168"/>
    <w:qFormat/>
    <w:uiPriority w:val="0"/>
    <w:pPr>
      <w:ind w:firstLine="480"/>
    </w:pPr>
  </w:style>
  <w:style w:type="paragraph" w:customStyle="1" w:styleId="170">
    <w:name w:val="样式 正文 行距: 固定值 25 磅"/>
    <w:basedOn w:val="1"/>
    <w:link w:val="171"/>
    <w:semiHidden/>
    <w:qFormat/>
    <w:uiPriority w:val="0"/>
    <w:pPr>
      <w:adjustRightInd w:val="0"/>
      <w:spacing w:line="500" w:lineRule="exact"/>
      <w:ind w:firstLine="200" w:firstLineChars="200"/>
    </w:pPr>
    <w:rPr>
      <w:rFonts w:cs="宋体"/>
      <w:sz w:val="24"/>
    </w:rPr>
  </w:style>
  <w:style w:type="character" w:customStyle="1" w:styleId="171">
    <w:name w:val="样式 正文 行距: 固定值 25 磅 Char"/>
    <w:link w:val="170"/>
    <w:semiHidden/>
    <w:qFormat/>
    <w:uiPriority w:val="0"/>
    <w:rPr>
      <w:rFonts w:cs="宋体"/>
      <w:kern w:val="2"/>
      <w:sz w:val="24"/>
      <w:szCs w:val="24"/>
    </w:rPr>
  </w:style>
  <w:style w:type="character" w:customStyle="1" w:styleId="172">
    <w:name w:val="表头 Char Char Char"/>
    <w:qFormat/>
    <w:uiPriority w:val="0"/>
    <w:rPr>
      <w:rFonts w:ascii="宋体" w:hAnsi="宋体" w:eastAsia="宋体"/>
      <w:b/>
      <w:spacing w:val="-10"/>
      <w:sz w:val="24"/>
      <w:lang w:val="en-US" w:eastAsia="zh-CN" w:bidi="ar-SA"/>
    </w:rPr>
  </w:style>
  <w:style w:type="character" w:customStyle="1" w:styleId="173">
    <w:name w:val="Char Char13"/>
    <w:qFormat/>
    <w:uiPriority w:val="0"/>
    <w:rPr>
      <w:rFonts w:eastAsia="宋体"/>
      <w:kern w:val="2"/>
      <w:sz w:val="18"/>
      <w:szCs w:val="18"/>
      <w:lang w:val="en-US" w:eastAsia="zh-CN" w:bidi="ar-SA"/>
    </w:rPr>
  </w:style>
  <w:style w:type="character" w:customStyle="1" w:styleId="174">
    <w:name w:val="表格标题博泵 Char Char"/>
    <w:link w:val="175"/>
    <w:qFormat/>
    <w:uiPriority w:val="0"/>
    <w:rPr>
      <w:b/>
      <w:color w:val="000000"/>
    </w:rPr>
  </w:style>
  <w:style w:type="paragraph" w:customStyle="1" w:styleId="175">
    <w:name w:val="表格标题博泵"/>
    <w:basedOn w:val="1"/>
    <w:link w:val="174"/>
    <w:qFormat/>
    <w:uiPriority w:val="0"/>
    <w:pPr>
      <w:adjustRightInd w:val="0"/>
      <w:snapToGrid w:val="0"/>
      <w:jc w:val="center"/>
      <w:textAlignment w:val="baseline"/>
    </w:pPr>
    <w:rPr>
      <w:b/>
      <w:color w:val="000000"/>
      <w:kern w:val="0"/>
      <w:sz w:val="20"/>
      <w:szCs w:val="20"/>
    </w:rPr>
  </w:style>
  <w:style w:type="character" w:customStyle="1" w:styleId="176">
    <w:name w:val="al11"/>
    <w:qFormat/>
    <w:uiPriority w:val="0"/>
    <w:rPr>
      <w:color w:val="333333"/>
      <w:sz w:val="18"/>
      <w:szCs w:val="18"/>
    </w:rPr>
  </w:style>
  <w:style w:type="character" w:customStyle="1" w:styleId="177">
    <w:name w:val="表格内文字 Char"/>
    <w:link w:val="178"/>
    <w:qFormat/>
    <w:uiPriority w:val="0"/>
    <w:rPr>
      <w:rFonts w:eastAsia="仿宋_GB2312"/>
      <w:kern w:val="2"/>
      <w:sz w:val="24"/>
      <w:szCs w:val="24"/>
    </w:rPr>
  </w:style>
  <w:style w:type="paragraph" w:customStyle="1" w:styleId="178">
    <w:name w:val="表格内文字"/>
    <w:basedOn w:val="1"/>
    <w:link w:val="177"/>
    <w:qFormat/>
    <w:uiPriority w:val="0"/>
    <w:pPr>
      <w:tabs>
        <w:tab w:val="left" w:pos="0"/>
      </w:tabs>
      <w:adjustRightInd w:val="0"/>
      <w:snapToGrid w:val="0"/>
      <w:jc w:val="center"/>
    </w:pPr>
    <w:rPr>
      <w:rFonts w:eastAsia="仿宋_GB2312"/>
      <w:sz w:val="24"/>
    </w:rPr>
  </w:style>
  <w:style w:type="character" w:customStyle="1" w:styleId="179">
    <w:name w:val="Char Char9"/>
    <w:qFormat/>
    <w:uiPriority w:val="0"/>
    <w:rPr>
      <w:rFonts w:ascii="Cambria" w:hAnsi="Cambria" w:eastAsia="宋体" w:cs="宋体"/>
      <w:b/>
      <w:bCs/>
      <w:iCs/>
      <w:kern w:val="2"/>
      <w:sz w:val="30"/>
      <w:szCs w:val="28"/>
      <w:lang w:val="en-US" w:eastAsia="en-US" w:bidi="en-US"/>
    </w:rPr>
  </w:style>
  <w:style w:type="character" w:customStyle="1" w:styleId="180">
    <w:name w:val="px141"/>
    <w:qFormat/>
    <w:uiPriority w:val="0"/>
    <w:rPr>
      <w:sz w:val="21"/>
    </w:rPr>
  </w:style>
  <w:style w:type="character" w:customStyle="1" w:styleId="181">
    <w:name w:val="hz"/>
    <w:qFormat/>
    <w:uiPriority w:val="0"/>
  </w:style>
  <w:style w:type="character" w:customStyle="1" w:styleId="182">
    <w:name w:val="scs62"/>
    <w:qFormat/>
    <w:uiPriority w:val="0"/>
  </w:style>
  <w:style w:type="character" w:customStyle="1" w:styleId="183">
    <w:name w:val="样式75 Char Char"/>
    <w:link w:val="184"/>
    <w:qFormat/>
    <w:uiPriority w:val="0"/>
    <w:rPr>
      <w:rFonts w:ascii="黑体" w:hAnsi="宋体" w:eastAsia="黑体"/>
      <w:color w:val="000000"/>
      <w:sz w:val="28"/>
      <w:szCs w:val="28"/>
    </w:rPr>
  </w:style>
  <w:style w:type="paragraph" w:customStyle="1" w:styleId="184">
    <w:name w:val="样式75"/>
    <w:basedOn w:val="1"/>
    <w:link w:val="183"/>
    <w:qFormat/>
    <w:uiPriority w:val="0"/>
    <w:pPr>
      <w:spacing w:beforeLines="150" w:line="360" w:lineRule="auto"/>
    </w:pPr>
    <w:rPr>
      <w:rFonts w:ascii="黑体" w:hAnsi="宋体" w:eastAsia="黑体"/>
      <w:color w:val="000000"/>
      <w:kern w:val="0"/>
      <w:sz w:val="28"/>
      <w:szCs w:val="28"/>
    </w:rPr>
  </w:style>
  <w:style w:type="character" w:customStyle="1" w:styleId="185">
    <w:name w:val="标题1.1.1.1.1 Char1"/>
    <w:qFormat/>
    <w:uiPriority w:val="0"/>
    <w:rPr>
      <w:rFonts w:eastAsia="宋体"/>
      <w:b/>
      <w:bCs/>
      <w:sz w:val="28"/>
      <w:szCs w:val="28"/>
      <w:lang w:bidi="ar-SA"/>
    </w:rPr>
  </w:style>
  <w:style w:type="character" w:customStyle="1" w:styleId="186">
    <w:name w:val="图名 Char"/>
    <w:link w:val="187"/>
    <w:qFormat/>
    <w:uiPriority w:val="0"/>
    <w:rPr>
      <w:rFonts w:ascii="宋体" w:eastAsia="黑体"/>
      <w:sz w:val="24"/>
      <w:szCs w:val="24"/>
      <w:lang w:eastAsia="en-US" w:bidi="en-US"/>
    </w:rPr>
  </w:style>
  <w:style w:type="paragraph" w:customStyle="1" w:styleId="187">
    <w:name w:val="图名"/>
    <w:basedOn w:val="1"/>
    <w:link w:val="186"/>
    <w:qFormat/>
    <w:uiPriority w:val="0"/>
    <w:pPr>
      <w:widowControl/>
      <w:adjustRightInd w:val="0"/>
      <w:snapToGrid w:val="0"/>
      <w:spacing w:line="360" w:lineRule="auto"/>
      <w:jc w:val="center"/>
      <w:textAlignment w:val="baseline"/>
    </w:pPr>
    <w:rPr>
      <w:rFonts w:ascii="宋体" w:eastAsia="黑体"/>
      <w:kern w:val="0"/>
      <w:sz w:val="24"/>
      <w:lang w:eastAsia="en-US" w:bidi="en-US"/>
    </w:rPr>
  </w:style>
  <w:style w:type="character" w:customStyle="1" w:styleId="188">
    <w:name w:val="word131"/>
    <w:qFormat/>
    <w:uiPriority w:val="0"/>
    <w:rPr>
      <w:rFonts w:hint="default" w:ascii="ˎ̥" w:hAnsi="ˎ̥"/>
      <w:color w:val="000000"/>
      <w:sz w:val="20"/>
      <w:szCs w:val="20"/>
      <w:u w:val="none"/>
    </w:rPr>
  </w:style>
  <w:style w:type="character" w:customStyle="1" w:styleId="189">
    <w:name w:val="样式4 Char Char"/>
    <w:link w:val="190"/>
    <w:qFormat/>
    <w:uiPriority w:val="0"/>
    <w:rPr>
      <w:rFonts w:eastAsia="黑体" w:cs="宋体"/>
      <w:b/>
      <w:bCs/>
      <w:kern w:val="2"/>
      <w:sz w:val="28"/>
    </w:rPr>
  </w:style>
  <w:style w:type="paragraph" w:customStyle="1" w:styleId="190">
    <w:name w:val="样式4"/>
    <w:basedOn w:val="191"/>
    <w:link w:val="189"/>
    <w:qFormat/>
    <w:uiPriority w:val="0"/>
  </w:style>
  <w:style w:type="paragraph" w:customStyle="1" w:styleId="191">
    <w:name w:val="样式 标题 2H2节标题 1.1节标题 1.1 Char1.1标题2条标题h2l22nd levelTitre..."/>
    <w:basedOn w:val="6"/>
    <w:qFormat/>
    <w:uiPriority w:val="0"/>
    <w:pPr>
      <w:snapToGrid w:val="0"/>
      <w:spacing w:before="120" w:beforeLines="100" w:after="0" w:line="240" w:lineRule="auto"/>
      <w:ind w:left="1134" w:hanging="992"/>
    </w:pPr>
    <w:rPr>
      <w:rFonts w:ascii="Times New Roman" w:hAnsi="Times New Roman" w:cs="宋体"/>
      <w:sz w:val="28"/>
      <w:szCs w:val="20"/>
    </w:rPr>
  </w:style>
  <w:style w:type="character" w:customStyle="1" w:styleId="192">
    <w:name w:val="main-11"/>
    <w:qFormat/>
    <w:uiPriority w:val="0"/>
  </w:style>
  <w:style w:type="character" w:customStyle="1" w:styleId="193">
    <w:name w:val="description"/>
    <w:qFormat/>
    <w:uiPriority w:val="0"/>
  </w:style>
  <w:style w:type="character" w:customStyle="1" w:styleId="194">
    <w:name w:val="zw1"/>
    <w:qFormat/>
    <w:uiPriority w:val="0"/>
    <w:rPr>
      <w:rFonts w:hint="eastAsia" w:ascii="宋体" w:hAnsi="宋体" w:eastAsia="宋体"/>
      <w:sz w:val="22"/>
      <w:szCs w:val="22"/>
    </w:rPr>
  </w:style>
  <w:style w:type="character" w:customStyle="1" w:styleId="195">
    <w:name w:val="正文5号 Char2"/>
    <w:qFormat/>
    <w:uiPriority w:val="0"/>
    <w:rPr>
      <w:rFonts w:ascii="宋体" w:hAnsi="宋体" w:eastAsia="宋体" w:cs="宋体"/>
      <w:kern w:val="2"/>
      <w:sz w:val="24"/>
      <w:szCs w:val="24"/>
      <w:lang w:val="en-US" w:eastAsia="zh-CN" w:bidi="ar-SA"/>
    </w:rPr>
  </w:style>
  <w:style w:type="character" w:customStyle="1" w:styleId="196">
    <w:name w:val="表内容1 Char"/>
    <w:link w:val="197"/>
    <w:qFormat/>
    <w:uiPriority w:val="0"/>
    <w:rPr>
      <w:rFonts w:ascii="楷体_GB2312" w:hAnsi="楷体_GB2312" w:eastAsia="仿宋_GB2312"/>
      <w:bCs/>
      <w:szCs w:val="24"/>
    </w:rPr>
  </w:style>
  <w:style w:type="paragraph" w:customStyle="1" w:styleId="197">
    <w:name w:val="表内容1"/>
    <w:basedOn w:val="1"/>
    <w:link w:val="196"/>
    <w:qFormat/>
    <w:uiPriority w:val="0"/>
    <w:pPr>
      <w:snapToGrid w:val="0"/>
      <w:jc w:val="center"/>
    </w:pPr>
    <w:rPr>
      <w:rFonts w:ascii="楷体_GB2312" w:hAnsi="楷体_GB2312" w:eastAsia="仿宋_GB2312"/>
      <w:bCs/>
      <w:kern w:val="0"/>
      <w:sz w:val="20"/>
    </w:rPr>
  </w:style>
  <w:style w:type="character" w:customStyle="1" w:styleId="198">
    <w:name w:val="Char Char31"/>
    <w:qFormat/>
    <w:uiPriority w:val="0"/>
    <w:rPr>
      <w:sz w:val="24"/>
      <w:lang w:bidi="ar-SA"/>
    </w:rPr>
  </w:style>
  <w:style w:type="character" w:customStyle="1" w:styleId="199">
    <w:name w:val="表格 Char"/>
    <w:link w:val="200"/>
    <w:qFormat/>
    <w:locked/>
    <w:uiPriority w:val="0"/>
    <w:rPr>
      <w:rFonts w:ascii="宋体"/>
      <w:sz w:val="21"/>
    </w:rPr>
  </w:style>
  <w:style w:type="paragraph" w:customStyle="1" w:styleId="200">
    <w:name w:val="表格"/>
    <w:basedOn w:val="201"/>
    <w:next w:val="1"/>
    <w:link w:val="199"/>
    <w:qFormat/>
    <w:uiPriority w:val="0"/>
    <w:pPr>
      <w:adjustRightInd w:val="0"/>
      <w:snapToGrid w:val="0"/>
      <w:spacing w:beforeLines="10" w:afterLines="10" w:line="259" w:lineRule="auto"/>
    </w:pPr>
    <w:rPr>
      <w:rFonts w:ascii="宋体"/>
      <w:kern w:val="0"/>
      <w:szCs w:val="20"/>
    </w:rPr>
  </w:style>
  <w:style w:type="paragraph" w:customStyle="1" w:styleId="201">
    <w:name w:val="表格使用文字"/>
    <w:basedOn w:val="1"/>
    <w:link w:val="202"/>
    <w:qFormat/>
    <w:uiPriority w:val="99"/>
    <w:pPr>
      <w:jc w:val="center"/>
    </w:pPr>
    <w:rPr>
      <w:color w:val="000000"/>
    </w:rPr>
  </w:style>
  <w:style w:type="character" w:customStyle="1" w:styleId="202">
    <w:name w:val="表格使用文字 Char"/>
    <w:link w:val="201"/>
    <w:qFormat/>
    <w:uiPriority w:val="99"/>
    <w:rPr>
      <w:color w:val="000000"/>
      <w:kern w:val="2"/>
      <w:sz w:val="21"/>
      <w:szCs w:val="21"/>
    </w:rPr>
  </w:style>
  <w:style w:type="character" w:customStyle="1" w:styleId="203">
    <w:name w:val="Char Char8"/>
    <w:semiHidden/>
    <w:qFormat/>
    <w:uiPriority w:val="0"/>
    <w:rPr>
      <w:rFonts w:ascii="宋体" w:hAnsi="宋体" w:eastAsia="宋体" w:cs="宋体"/>
      <w:kern w:val="2"/>
      <w:sz w:val="18"/>
      <w:szCs w:val="18"/>
      <w:lang w:val="en-US" w:eastAsia="zh-CN" w:bidi="ar-SA"/>
    </w:rPr>
  </w:style>
  <w:style w:type="character" w:customStyle="1" w:styleId="204">
    <w:name w:val="haogao1"/>
    <w:qFormat/>
    <w:uiPriority w:val="0"/>
  </w:style>
  <w:style w:type="character" w:customStyle="1" w:styleId="205">
    <w:name w:val="Plain Text Char1 Char"/>
    <w:qFormat/>
    <w:uiPriority w:val="0"/>
    <w:rPr>
      <w:rFonts w:ascii="宋体" w:hAnsi="Courier New"/>
      <w:kern w:val="2"/>
      <w:sz w:val="21"/>
      <w:szCs w:val="21"/>
      <w:lang w:bidi="ar-SA"/>
    </w:rPr>
  </w:style>
  <w:style w:type="character" w:customStyle="1" w:styleId="206">
    <w:name w:val="sppkvsc"/>
    <w:qFormat/>
    <w:uiPriority w:val="0"/>
  </w:style>
  <w:style w:type="character" w:customStyle="1" w:styleId="207">
    <w:name w:val="样式20 Char Char"/>
    <w:link w:val="208"/>
    <w:qFormat/>
    <w:uiPriority w:val="0"/>
    <w:rPr>
      <w:rFonts w:ascii="楷体_GB2312" w:hAnsi="楷体_GB2312" w:eastAsia="楷体_GB2312"/>
      <w:b/>
      <w:color w:val="000000"/>
      <w:sz w:val="32"/>
    </w:rPr>
  </w:style>
  <w:style w:type="paragraph" w:customStyle="1" w:styleId="208">
    <w:name w:val="样式20"/>
    <w:basedOn w:val="6"/>
    <w:link w:val="207"/>
    <w:qFormat/>
    <w:uiPriority w:val="0"/>
    <w:pPr>
      <w:tabs>
        <w:tab w:val="left" w:pos="840"/>
      </w:tabs>
      <w:snapToGrid w:val="0"/>
      <w:spacing w:before="0" w:after="0" w:line="360" w:lineRule="auto"/>
      <w:ind w:left="840"/>
      <w:jc w:val="center"/>
    </w:pPr>
    <w:rPr>
      <w:rFonts w:ascii="楷体_GB2312" w:hAnsi="楷体_GB2312" w:eastAsia="楷体_GB2312"/>
      <w:bCs w:val="0"/>
      <w:color w:val="000000"/>
      <w:kern w:val="0"/>
      <w:szCs w:val="20"/>
    </w:rPr>
  </w:style>
  <w:style w:type="character" w:customStyle="1" w:styleId="209">
    <w:name w:val="参数解释 Char Char"/>
    <w:link w:val="210"/>
    <w:qFormat/>
    <w:uiPriority w:val="0"/>
    <w:rPr>
      <w:sz w:val="24"/>
    </w:rPr>
  </w:style>
  <w:style w:type="paragraph" w:customStyle="1" w:styleId="210">
    <w:name w:val="参数解释"/>
    <w:basedOn w:val="211"/>
    <w:link w:val="209"/>
    <w:qFormat/>
    <w:uiPriority w:val="0"/>
    <w:pPr>
      <w:ind w:firstLine="1274" w:firstLineChars="531"/>
    </w:pPr>
    <w:rPr>
      <w:rFonts w:ascii="Times New Roman" w:hAnsi="Times New Roman"/>
      <w:kern w:val="0"/>
      <w:szCs w:val="20"/>
    </w:rPr>
  </w:style>
  <w:style w:type="paragraph" w:customStyle="1" w:styleId="211">
    <w:name w:val="金源"/>
    <w:basedOn w:val="1"/>
    <w:link w:val="212"/>
    <w:qFormat/>
    <w:uiPriority w:val="0"/>
    <w:pPr>
      <w:spacing w:line="480" w:lineRule="exact"/>
      <w:ind w:firstLine="480" w:firstLineChars="200"/>
      <w:jc w:val="left"/>
    </w:pPr>
    <w:rPr>
      <w:rFonts w:ascii="Calibri" w:hAnsi="Calibri"/>
      <w:sz w:val="24"/>
      <w:szCs w:val="22"/>
    </w:rPr>
  </w:style>
  <w:style w:type="character" w:customStyle="1" w:styleId="212">
    <w:name w:val="金源 Char Char"/>
    <w:link w:val="211"/>
    <w:qFormat/>
    <w:uiPriority w:val="0"/>
    <w:rPr>
      <w:rFonts w:ascii="Calibri" w:hAnsi="Calibri"/>
      <w:kern w:val="2"/>
      <w:sz w:val="24"/>
      <w:szCs w:val="22"/>
    </w:rPr>
  </w:style>
  <w:style w:type="character" w:customStyle="1" w:styleId="213">
    <w:name w:val="节标题 1.1 Char4"/>
    <w:qFormat/>
    <w:uiPriority w:val="0"/>
    <w:rPr>
      <w:b/>
      <w:bCs/>
      <w:sz w:val="28"/>
      <w:szCs w:val="32"/>
    </w:rPr>
  </w:style>
  <w:style w:type="character" w:customStyle="1" w:styleId="214">
    <w:name w:val="articlebody3"/>
    <w:qFormat/>
    <w:uiPriority w:val="0"/>
    <w:rPr>
      <w:rFonts w:ascii="宋体" w:hAnsi="宋体" w:eastAsia="宋体" w:cs="宋体"/>
      <w:kern w:val="2"/>
      <w:sz w:val="21"/>
      <w:szCs w:val="21"/>
      <w:lang w:val="en-US" w:eastAsia="zh-CN" w:bidi="ar-SA"/>
    </w:rPr>
  </w:style>
  <w:style w:type="character" w:customStyle="1" w:styleId="215">
    <w:name w:val="样式 样式 正文 行距: 固定值 25 磅 + 首行缩进:  2 字符 Char"/>
    <w:link w:val="216"/>
    <w:qFormat/>
    <w:uiPriority w:val="0"/>
    <w:rPr>
      <w:rFonts w:cs="宋体"/>
      <w:kern w:val="2"/>
      <w:sz w:val="24"/>
      <w:szCs w:val="24"/>
    </w:rPr>
  </w:style>
  <w:style w:type="paragraph" w:customStyle="1" w:styleId="216">
    <w:name w:val="样式 样式 正文 行距: 固定值 25 磅 + 首行缩进:  2 字符"/>
    <w:basedOn w:val="1"/>
    <w:link w:val="215"/>
    <w:qFormat/>
    <w:uiPriority w:val="0"/>
    <w:pPr>
      <w:adjustRightInd w:val="0"/>
      <w:snapToGrid w:val="0"/>
      <w:spacing w:line="500" w:lineRule="exact"/>
      <w:ind w:firstLine="200" w:firstLineChars="200"/>
    </w:pPr>
    <w:rPr>
      <w:rFonts w:cs="宋体"/>
      <w:sz w:val="24"/>
    </w:rPr>
  </w:style>
  <w:style w:type="character" w:customStyle="1" w:styleId="217">
    <w:name w:val="ssqiaz"/>
    <w:qFormat/>
    <w:uiPriority w:val="0"/>
  </w:style>
  <w:style w:type="character" w:customStyle="1" w:styleId="218">
    <w:name w:val="表格标题 Char"/>
    <w:link w:val="219"/>
    <w:qFormat/>
    <w:uiPriority w:val="0"/>
    <w:rPr>
      <w:b/>
      <w:color w:val="000000"/>
      <w:kern w:val="2"/>
      <w:sz w:val="21"/>
      <w:szCs w:val="21"/>
    </w:rPr>
  </w:style>
  <w:style w:type="paragraph" w:customStyle="1" w:styleId="219">
    <w:name w:val="表格标题"/>
    <w:basedOn w:val="1"/>
    <w:link w:val="218"/>
    <w:qFormat/>
    <w:uiPriority w:val="0"/>
    <w:pPr>
      <w:snapToGrid w:val="0"/>
      <w:spacing w:before="120"/>
      <w:ind w:firstLine="1756" w:firstLineChars="833"/>
      <w:contextualSpacing/>
      <w:jc w:val="center"/>
    </w:pPr>
    <w:rPr>
      <w:b/>
      <w:color w:val="000000"/>
    </w:rPr>
  </w:style>
  <w:style w:type="character" w:customStyle="1" w:styleId="220">
    <w:name w:val="页眉1 Char"/>
    <w:qFormat/>
    <w:uiPriority w:val="0"/>
    <w:rPr>
      <w:rFonts w:ascii="宋体" w:hAnsi="宋体" w:eastAsia="宋体" w:cs="宋体"/>
      <w:kern w:val="2"/>
      <w:sz w:val="18"/>
      <w:szCs w:val="18"/>
      <w:lang w:val="en-US" w:eastAsia="zh-CN" w:bidi="ar-SA"/>
    </w:rPr>
  </w:style>
  <w:style w:type="character" w:customStyle="1" w:styleId="221">
    <w:name w:val="c121"/>
    <w:qFormat/>
    <w:uiPriority w:val="0"/>
    <w:rPr>
      <w:color w:val="666666"/>
      <w:sz w:val="18"/>
      <w:szCs w:val="18"/>
      <w:u w:val="none"/>
    </w:rPr>
  </w:style>
  <w:style w:type="character" w:customStyle="1" w:styleId="222">
    <w:name w:val="甲乙酮标题1 Char Char"/>
    <w:link w:val="223"/>
    <w:qFormat/>
    <w:uiPriority w:val="0"/>
    <w:rPr>
      <w:b/>
      <w:bCs/>
      <w:kern w:val="44"/>
      <w:sz w:val="32"/>
      <w:szCs w:val="32"/>
    </w:rPr>
  </w:style>
  <w:style w:type="paragraph" w:customStyle="1" w:styleId="223">
    <w:name w:val="甲乙酮标题1"/>
    <w:basedOn w:val="5"/>
    <w:link w:val="222"/>
    <w:qFormat/>
    <w:uiPriority w:val="0"/>
    <w:pPr>
      <w:keepLines/>
      <w:tabs>
        <w:tab w:val="left" w:pos="390"/>
      </w:tabs>
      <w:overflowPunct/>
      <w:snapToGrid/>
      <w:spacing w:after="140" w:line="480" w:lineRule="exact"/>
      <w:ind w:left="390" w:firstLine="0"/>
    </w:pPr>
    <w:rPr>
      <w:rFonts w:eastAsia="宋体"/>
      <w:color w:val="auto"/>
      <w:sz w:val="32"/>
      <w:szCs w:val="32"/>
    </w:rPr>
  </w:style>
  <w:style w:type="character" w:customStyle="1" w:styleId="224">
    <w:name w:val="contenttable1"/>
    <w:qFormat/>
    <w:uiPriority w:val="0"/>
    <w:rPr>
      <w:rFonts w:hint="default" w:ascii="Arial" w:hAnsi="Arial" w:eastAsia="宋体" w:cs="Arial"/>
      <w:color w:val="000000"/>
      <w:kern w:val="2"/>
      <w:sz w:val="18"/>
      <w:szCs w:val="18"/>
      <w:u w:val="none"/>
      <w:lang w:val="en-US" w:eastAsia="zh-CN" w:bidi="ar-SA"/>
    </w:rPr>
  </w:style>
  <w:style w:type="character" w:customStyle="1" w:styleId="225">
    <w:name w:val="未确定 Char Char"/>
    <w:link w:val="226"/>
    <w:qFormat/>
    <w:uiPriority w:val="0"/>
    <w:rPr>
      <w:color w:val="800080"/>
      <w:sz w:val="24"/>
      <w:szCs w:val="24"/>
    </w:rPr>
  </w:style>
  <w:style w:type="paragraph" w:customStyle="1" w:styleId="226">
    <w:name w:val="未确定"/>
    <w:basedOn w:val="1"/>
    <w:link w:val="225"/>
    <w:qFormat/>
    <w:uiPriority w:val="0"/>
    <w:pPr>
      <w:spacing w:beforeLines="50" w:line="400" w:lineRule="exact"/>
      <w:ind w:firstLine="480" w:firstLineChars="200"/>
    </w:pPr>
    <w:rPr>
      <w:color w:val="800080"/>
      <w:kern w:val="0"/>
      <w:sz w:val="24"/>
    </w:rPr>
  </w:style>
  <w:style w:type="character" w:customStyle="1" w:styleId="227">
    <w:name w:val="16p"/>
    <w:qFormat/>
    <w:uiPriority w:val="0"/>
  </w:style>
  <w:style w:type="character" w:customStyle="1" w:styleId="228">
    <w:name w:val="纯文本21"/>
    <w:qFormat/>
    <w:uiPriority w:val="0"/>
    <w:rPr>
      <w:rFonts w:ascii="宋体" w:hAnsi="Courier New" w:eastAsia="宋体" w:cs="Courier New"/>
      <w:kern w:val="2"/>
      <w:sz w:val="21"/>
      <w:szCs w:val="21"/>
      <w:lang w:val="en-US" w:eastAsia="zh-CN" w:bidi="ar-SA"/>
    </w:rPr>
  </w:style>
  <w:style w:type="character" w:customStyle="1" w:styleId="229">
    <w:name w:val="图表名 大王 20100426 Char"/>
    <w:link w:val="230"/>
    <w:qFormat/>
    <w:uiPriority w:val="0"/>
    <w:rPr>
      <w:rFonts w:ascii="宋体" w:hAnsi="宋体" w:cs="宋体"/>
      <w:b/>
      <w:bCs/>
      <w:snapToGrid/>
      <w:sz w:val="21"/>
    </w:rPr>
  </w:style>
  <w:style w:type="paragraph" w:customStyle="1" w:styleId="230">
    <w:name w:val="图表名 大王 20100426"/>
    <w:basedOn w:val="231"/>
    <w:link w:val="229"/>
    <w:qFormat/>
    <w:uiPriority w:val="0"/>
    <w:pPr>
      <w:tabs>
        <w:tab w:val="left" w:pos="377"/>
      </w:tabs>
      <w:spacing w:before="120" w:after="120"/>
    </w:pPr>
    <w:rPr>
      <w:snapToGrid w:val="0"/>
    </w:rPr>
  </w:style>
  <w:style w:type="paragraph" w:customStyle="1" w:styleId="231">
    <w:name w:val="图表标题-大王"/>
    <w:basedOn w:val="1"/>
    <w:link w:val="232"/>
    <w:qFormat/>
    <w:uiPriority w:val="0"/>
    <w:pPr>
      <w:widowControl/>
      <w:tabs>
        <w:tab w:val="left" w:pos="377"/>
      </w:tabs>
      <w:spacing w:beforeLines="50" w:afterLines="50"/>
      <w:jc w:val="center"/>
    </w:pPr>
    <w:rPr>
      <w:rFonts w:ascii="宋体" w:hAnsi="宋体" w:cs="宋体"/>
      <w:b/>
      <w:bCs/>
      <w:kern w:val="0"/>
      <w:szCs w:val="20"/>
    </w:rPr>
  </w:style>
  <w:style w:type="character" w:customStyle="1" w:styleId="232">
    <w:name w:val="图表标题-大王 Char"/>
    <w:link w:val="231"/>
    <w:qFormat/>
    <w:uiPriority w:val="0"/>
    <w:rPr>
      <w:rFonts w:ascii="宋体" w:hAnsi="宋体" w:cs="宋体"/>
      <w:b/>
      <w:bCs/>
      <w:sz w:val="21"/>
    </w:rPr>
  </w:style>
  <w:style w:type="character" w:customStyle="1" w:styleId="233">
    <w:name w:val="9css21"/>
    <w:qFormat/>
    <w:uiPriority w:val="0"/>
    <w:rPr>
      <w:spacing w:val="268"/>
      <w:sz w:val="20"/>
      <w:szCs w:val="20"/>
    </w:rPr>
  </w:style>
  <w:style w:type="character" w:customStyle="1" w:styleId="234">
    <w:name w:val="公示 Char Char"/>
    <w:link w:val="235"/>
    <w:qFormat/>
    <w:uiPriority w:val="0"/>
  </w:style>
  <w:style w:type="paragraph" w:customStyle="1" w:styleId="235">
    <w:name w:val="公示"/>
    <w:basedOn w:val="1"/>
    <w:link w:val="234"/>
    <w:qFormat/>
    <w:uiPriority w:val="0"/>
    <w:pPr>
      <w:spacing w:line="360" w:lineRule="auto"/>
      <w:ind w:firstLine="200" w:firstLineChars="200"/>
      <w:jc w:val="center"/>
    </w:pPr>
    <w:rPr>
      <w:kern w:val="0"/>
      <w:sz w:val="20"/>
      <w:szCs w:val="20"/>
    </w:rPr>
  </w:style>
  <w:style w:type="character" w:customStyle="1" w:styleId="236">
    <w:name w:val="style51"/>
    <w:qFormat/>
    <w:uiPriority w:val="0"/>
    <w:rPr>
      <w:color w:val="000000"/>
      <w:sz w:val="36"/>
      <w:szCs w:val="36"/>
    </w:rPr>
  </w:style>
  <w:style w:type="character" w:customStyle="1" w:styleId="237">
    <w:name w:val="表格内文字 Char Char"/>
    <w:qFormat/>
    <w:uiPriority w:val="0"/>
    <w:rPr>
      <w:rFonts w:eastAsia="仿宋_GB2312"/>
      <w:sz w:val="24"/>
      <w:szCs w:val="24"/>
      <w:lang w:bidi="ar-SA"/>
    </w:rPr>
  </w:style>
  <w:style w:type="character" w:customStyle="1" w:styleId="238">
    <w:name w:val="表头1 Char"/>
    <w:link w:val="239"/>
    <w:qFormat/>
    <w:uiPriority w:val="0"/>
    <w:rPr>
      <w:rFonts w:eastAsia="黑体"/>
      <w:sz w:val="21"/>
      <w:szCs w:val="21"/>
    </w:rPr>
  </w:style>
  <w:style w:type="paragraph" w:customStyle="1" w:styleId="239">
    <w:name w:val="表头1"/>
    <w:basedOn w:val="1"/>
    <w:next w:val="1"/>
    <w:link w:val="238"/>
    <w:qFormat/>
    <w:uiPriority w:val="0"/>
    <w:pPr>
      <w:tabs>
        <w:tab w:val="left" w:pos="605"/>
      </w:tabs>
      <w:adjustRightInd w:val="0"/>
      <w:snapToGrid w:val="0"/>
      <w:jc w:val="center"/>
    </w:pPr>
    <w:rPr>
      <w:rFonts w:eastAsia="黑体"/>
      <w:kern w:val="0"/>
    </w:rPr>
  </w:style>
  <w:style w:type="character" w:customStyle="1" w:styleId="240">
    <w:name w:val="type021"/>
    <w:qFormat/>
    <w:uiPriority w:val="0"/>
    <w:rPr>
      <w:color w:val="000000"/>
      <w:sz w:val="18"/>
      <w:szCs w:val="18"/>
    </w:rPr>
  </w:style>
  <w:style w:type="character" w:customStyle="1" w:styleId="241">
    <w:name w:val="表蕊居中 Char Char"/>
    <w:link w:val="242"/>
    <w:qFormat/>
    <w:uiPriority w:val="0"/>
    <w:rPr>
      <w:color w:val="FF0000"/>
      <w:spacing w:val="-10"/>
      <w:szCs w:val="21"/>
    </w:rPr>
  </w:style>
  <w:style w:type="paragraph" w:customStyle="1" w:styleId="242">
    <w:name w:val="表蕊居中"/>
    <w:basedOn w:val="1"/>
    <w:link w:val="241"/>
    <w:qFormat/>
    <w:uiPriority w:val="0"/>
    <w:pPr>
      <w:adjustRightInd w:val="0"/>
      <w:spacing w:line="280" w:lineRule="atLeast"/>
      <w:jc w:val="center"/>
      <w:textAlignment w:val="baseline"/>
    </w:pPr>
    <w:rPr>
      <w:color w:val="FF0000"/>
      <w:spacing w:val="-10"/>
      <w:kern w:val="0"/>
      <w:sz w:val="20"/>
    </w:rPr>
  </w:style>
  <w:style w:type="character" w:customStyle="1" w:styleId="243">
    <w:name w:val="articlebody1"/>
    <w:qFormat/>
    <w:uiPriority w:val="0"/>
    <w:rPr>
      <w:rFonts w:ascii="宋体" w:hAnsi="宋体" w:eastAsia="宋体" w:cs="宋体"/>
      <w:color w:val="333333"/>
      <w:kern w:val="2"/>
      <w:sz w:val="21"/>
      <w:szCs w:val="21"/>
      <w:lang w:val="en-US" w:eastAsia="zh-CN" w:bidi="ar-SA"/>
    </w:rPr>
  </w:style>
  <w:style w:type="character" w:customStyle="1" w:styleId="244">
    <w:name w:val="标题 3 Char1"/>
    <w:qFormat/>
    <w:uiPriority w:val="0"/>
    <w:rPr>
      <w:rFonts w:ascii="宋体" w:hAnsi="宋体" w:eastAsia="宋体" w:cs="宋体"/>
      <w:b/>
      <w:bCs/>
      <w:caps/>
      <w:color w:val="000000"/>
      <w:kern w:val="2"/>
      <w:sz w:val="28"/>
      <w:szCs w:val="24"/>
      <w:lang w:val="zh-CN" w:eastAsia="zh-CN" w:bidi="ar-SA"/>
    </w:rPr>
  </w:style>
  <w:style w:type="character" w:customStyle="1" w:styleId="245">
    <w:name w:val="apple-style-span"/>
    <w:qFormat/>
    <w:uiPriority w:val="0"/>
    <w:rPr>
      <w:rFonts w:ascii="宋体" w:hAnsi="宋体" w:eastAsia="宋体" w:cs="宋体"/>
      <w:kern w:val="2"/>
      <w:sz w:val="24"/>
      <w:szCs w:val="24"/>
      <w:lang w:val="en-US" w:eastAsia="zh-CN" w:bidi="ar-SA"/>
    </w:rPr>
  </w:style>
  <w:style w:type="character" w:customStyle="1" w:styleId="246">
    <w:name w:val="ssmj9"/>
    <w:qFormat/>
    <w:uiPriority w:val="0"/>
  </w:style>
  <w:style w:type="character" w:customStyle="1" w:styleId="247">
    <w:name w:val="sfrxxz"/>
    <w:qFormat/>
    <w:uiPriority w:val="0"/>
  </w:style>
  <w:style w:type="character" w:customStyle="1" w:styleId="248">
    <w:name w:val="无间隔 字符"/>
    <w:link w:val="249"/>
    <w:qFormat/>
    <w:uiPriority w:val="0"/>
    <w:rPr>
      <w:rFonts w:ascii="Calibri" w:hAnsi="Calibri"/>
      <w:sz w:val="24"/>
      <w:szCs w:val="32"/>
      <w:lang w:eastAsia="en-US" w:bidi="en-US"/>
    </w:rPr>
  </w:style>
  <w:style w:type="paragraph" w:styleId="249">
    <w:name w:val="No Spacing"/>
    <w:basedOn w:val="1"/>
    <w:link w:val="248"/>
    <w:qFormat/>
    <w:uiPriority w:val="0"/>
    <w:pPr>
      <w:widowControl/>
      <w:jc w:val="left"/>
    </w:pPr>
    <w:rPr>
      <w:rFonts w:ascii="Calibri" w:hAnsi="Calibri"/>
      <w:kern w:val="0"/>
      <w:sz w:val="24"/>
      <w:szCs w:val="32"/>
      <w:lang w:eastAsia="en-US" w:bidi="en-US"/>
    </w:rPr>
  </w:style>
  <w:style w:type="character" w:customStyle="1" w:styleId="250">
    <w:name w:val="news_line"/>
    <w:qFormat/>
    <w:uiPriority w:val="0"/>
    <w:rPr>
      <w:rFonts w:ascii="宋体" w:hAnsi="宋体" w:eastAsia="宋体" w:cs="宋体"/>
      <w:kern w:val="2"/>
      <w:sz w:val="24"/>
      <w:szCs w:val="24"/>
      <w:lang w:val="en-US" w:eastAsia="zh-CN" w:bidi="ar-SA"/>
    </w:rPr>
  </w:style>
  <w:style w:type="character" w:customStyle="1" w:styleId="251">
    <w:name w:val="正文缩进2"/>
    <w:qFormat/>
    <w:uiPriority w:val="0"/>
    <w:rPr>
      <w:rFonts w:ascii="仿宋_GB2312" w:eastAsia="仿宋_GB2312"/>
      <w:kern w:val="2"/>
      <w:sz w:val="28"/>
      <w:szCs w:val="24"/>
      <w:lang w:val="en-US" w:eastAsia="zh-CN" w:bidi="ar-SA"/>
    </w:rPr>
  </w:style>
  <w:style w:type="character" w:customStyle="1" w:styleId="252">
    <w:name w:val="正文文本 字符1"/>
    <w:semiHidden/>
    <w:qFormat/>
    <w:uiPriority w:val="0"/>
    <w:rPr>
      <w:rFonts w:ascii="Times New Roman" w:hAnsi="Times New Roman" w:eastAsia="宋体"/>
      <w:sz w:val="24"/>
    </w:rPr>
  </w:style>
  <w:style w:type="character" w:customStyle="1" w:styleId="253">
    <w:name w:val="241"/>
    <w:qFormat/>
    <w:uiPriority w:val="0"/>
    <w:rPr>
      <w:rFonts w:ascii="宋体" w:hAnsi="宋体" w:eastAsia="宋体" w:cs="宋体"/>
      <w:kern w:val="2"/>
      <w:sz w:val="24"/>
      <w:szCs w:val="24"/>
      <w:lang w:val="en-US" w:eastAsia="zh-CN" w:bidi="ar-SA"/>
    </w:rPr>
  </w:style>
  <w:style w:type="character" w:customStyle="1" w:styleId="254">
    <w:name w:val="样式84 Char Char"/>
    <w:link w:val="255"/>
    <w:qFormat/>
    <w:uiPriority w:val="0"/>
    <w:rPr>
      <w:rFonts w:ascii="宋体" w:hAnsi="宋体"/>
      <w:color w:val="000000"/>
      <w:sz w:val="24"/>
      <w:szCs w:val="24"/>
    </w:rPr>
  </w:style>
  <w:style w:type="paragraph" w:customStyle="1" w:styleId="255">
    <w:name w:val="样式84"/>
    <w:basedOn w:val="1"/>
    <w:link w:val="254"/>
    <w:qFormat/>
    <w:uiPriority w:val="0"/>
    <w:pPr>
      <w:snapToGrid w:val="0"/>
      <w:spacing w:line="520" w:lineRule="exact"/>
      <w:ind w:firstLine="560" w:firstLineChars="200"/>
    </w:pPr>
    <w:rPr>
      <w:rFonts w:ascii="宋体" w:hAnsi="宋体"/>
      <w:color w:val="000000"/>
      <w:kern w:val="0"/>
      <w:sz w:val="24"/>
    </w:rPr>
  </w:style>
  <w:style w:type="character" w:customStyle="1" w:styleId="256">
    <w:name w:val="广石化正文 Char"/>
    <w:link w:val="257"/>
    <w:qFormat/>
    <w:uiPriority w:val="0"/>
    <w:rPr>
      <w:rFonts w:ascii="宋体" w:hAnsi="宋体"/>
      <w:kern w:val="2"/>
      <w:sz w:val="28"/>
      <w:szCs w:val="28"/>
    </w:rPr>
  </w:style>
  <w:style w:type="paragraph" w:customStyle="1" w:styleId="257">
    <w:name w:val="广石化正文"/>
    <w:basedOn w:val="1"/>
    <w:link w:val="256"/>
    <w:qFormat/>
    <w:uiPriority w:val="0"/>
    <w:pPr>
      <w:tabs>
        <w:tab w:val="left" w:pos="6520"/>
        <w:tab w:val="left" w:leader="dot" w:pos="8220"/>
      </w:tabs>
      <w:spacing w:line="520" w:lineRule="exact"/>
      <w:ind w:firstLine="538" w:firstLineChars="192"/>
    </w:pPr>
    <w:rPr>
      <w:rFonts w:ascii="宋体" w:hAnsi="宋体"/>
      <w:sz w:val="28"/>
      <w:szCs w:val="28"/>
    </w:rPr>
  </w:style>
  <w:style w:type="character" w:customStyle="1" w:styleId="258">
    <w:name w:val="脚注文本 字符1"/>
    <w:qFormat/>
    <w:uiPriority w:val="0"/>
    <w:rPr>
      <w:kern w:val="2"/>
      <w:sz w:val="18"/>
      <w:szCs w:val="18"/>
    </w:rPr>
  </w:style>
  <w:style w:type="character" w:customStyle="1" w:styleId="259">
    <w:name w:val="批注文字 字符1"/>
    <w:semiHidden/>
    <w:qFormat/>
    <w:uiPriority w:val="0"/>
    <w:rPr>
      <w:rFonts w:ascii="Times New Roman" w:hAnsi="Times New Roman" w:eastAsia="宋体"/>
      <w:sz w:val="24"/>
    </w:rPr>
  </w:style>
  <w:style w:type="character" w:customStyle="1" w:styleId="260">
    <w:name w:val="文章正文样式 Char"/>
    <w:link w:val="261"/>
    <w:qFormat/>
    <w:uiPriority w:val="0"/>
    <w:rPr>
      <w:rFonts w:ascii="宋体" w:hAnsi="宋体" w:cs="宋体"/>
      <w:kern w:val="2"/>
      <w:sz w:val="24"/>
    </w:rPr>
  </w:style>
  <w:style w:type="paragraph" w:customStyle="1" w:styleId="261">
    <w:name w:val="文章正文样式"/>
    <w:basedOn w:val="1"/>
    <w:link w:val="260"/>
    <w:qFormat/>
    <w:uiPriority w:val="0"/>
    <w:pPr>
      <w:spacing w:line="520" w:lineRule="exact"/>
      <w:ind w:firstLine="480" w:firstLineChars="200"/>
      <w:jc w:val="left"/>
    </w:pPr>
    <w:rPr>
      <w:rFonts w:ascii="宋体" w:hAnsi="宋体" w:cs="宋体"/>
      <w:sz w:val="24"/>
      <w:szCs w:val="20"/>
    </w:rPr>
  </w:style>
  <w:style w:type="character" w:customStyle="1" w:styleId="262">
    <w:name w:val="标题2"/>
    <w:qFormat/>
    <w:uiPriority w:val="0"/>
  </w:style>
  <w:style w:type="character" w:customStyle="1" w:styleId="263">
    <w:name w:val="样式7 Char Char"/>
    <w:link w:val="264"/>
    <w:qFormat/>
    <w:uiPriority w:val="0"/>
    <w:rPr>
      <w:rFonts w:ascii="宋体" w:hAnsi="宋体"/>
      <w:color w:val="000000"/>
      <w:sz w:val="24"/>
      <w:szCs w:val="24"/>
    </w:rPr>
  </w:style>
  <w:style w:type="paragraph" w:customStyle="1" w:styleId="264">
    <w:name w:val="样式7"/>
    <w:basedOn w:val="1"/>
    <w:next w:val="1"/>
    <w:link w:val="263"/>
    <w:qFormat/>
    <w:uiPriority w:val="0"/>
    <w:pPr>
      <w:spacing w:line="360" w:lineRule="auto"/>
      <w:ind w:firstLine="480" w:firstLineChars="200"/>
    </w:pPr>
    <w:rPr>
      <w:rFonts w:ascii="宋体" w:hAnsi="宋体"/>
      <w:color w:val="000000"/>
      <w:kern w:val="0"/>
      <w:sz w:val="24"/>
    </w:rPr>
  </w:style>
  <w:style w:type="character" w:customStyle="1" w:styleId="265">
    <w:name w:val="样式5 Char Char"/>
    <w:link w:val="55"/>
    <w:qFormat/>
    <w:uiPriority w:val="0"/>
    <w:rPr>
      <w:rFonts w:ascii="宋体"/>
      <w:szCs w:val="21"/>
    </w:rPr>
  </w:style>
  <w:style w:type="character" w:customStyle="1" w:styleId="266">
    <w:name w:val="正文1 Char"/>
    <w:link w:val="56"/>
    <w:qFormat/>
    <w:uiPriority w:val="0"/>
    <w:rPr>
      <w:kern w:val="2"/>
      <w:sz w:val="28"/>
      <w:szCs w:val="24"/>
    </w:rPr>
  </w:style>
  <w:style w:type="character" w:customStyle="1" w:styleId="267">
    <w:name w:val="unnamed21"/>
    <w:qFormat/>
    <w:uiPriority w:val="0"/>
    <w:rPr>
      <w:rFonts w:ascii="宋体" w:hAnsi="宋体" w:eastAsia="宋体" w:cs="宋体"/>
      <w:kern w:val="2"/>
      <w:sz w:val="18"/>
      <w:szCs w:val="18"/>
      <w:lang w:val="en-US" w:eastAsia="zh-CN" w:bidi="ar-SA"/>
    </w:rPr>
  </w:style>
  <w:style w:type="character" w:customStyle="1" w:styleId="268">
    <w:name w:val="表格填充1 Char"/>
    <w:link w:val="269"/>
    <w:qFormat/>
    <w:uiPriority w:val="0"/>
    <w:rPr>
      <w:snapToGrid/>
      <w:kern w:val="2"/>
      <w:sz w:val="24"/>
      <w:szCs w:val="18"/>
    </w:rPr>
  </w:style>
  <w:style w:type="paragraph" w:customStyle="1" w:styleId="269">
    <w:name w:val="表格填充1"/>
    <w:basedOn w:val="1"/>
    <w:link w:val="268"/>
    <w:semiHidden/>
    <w:qFormat/>
    <w:uiPriority w:val="0"/>
    <w:pPr>
      <w:adjustRightInd w:val="0"/>
      <w:snapToGrid w:val="0"/>
      <w:spacing w:line="400" w:lineRule="exact"/>
      <w:jc w:val="center"/>
    </w:pPr>
    <w:rPr>
      <w:snapToGrid w:val="0"/>
      <w:sz w:val="24"/>
      <w:szCs w:val="18"/>
    </w:rPr>
  </w:style>
  <w:style w:type="character" w:customStyle="1" w:styleId="270">
    <w:name w:val="Char Char6"/>
    <w:qFormat/>
    <w:uiPriority w:val="0"/>
    <w:rPr>
      <w:rFonts w:ascii="宋体" w:hAnsi="宋体" w:eastAsia="宋体" w:cs="宋体"/>
      <w:b/>
      <w:bCs/>
      <w:i/>
      <w:iCs/>
      <w:kern w:val="2"/>
      <w:sz w:val="26"/>
      <w:szCs w:val="26"/>
      <w:lang w:val="en-US" w:eastAsia="zh-CN" w:bidi="ar-SA"/>
    </w:rPr>
  </w:style>
  <w:style w:type="character" w:customStyle="1" w:styleId="271">
    <w:name w:val="标题 4 Char4"/>
    <w:qFormat/>
    <w:uiPriority w:val="0"/>
    <w:rPr>
      <w:rFonts w:ascii="宋体" w:hAnsi="宋体" w:eastAsia="宋体" w:cs="宋体"/>
      <w:b/>
      <w:snapToGrid/>
      <w:kern w:val="2"/>
      <w:sz w:val="24"/>
      <w:szCs w:val="24"/>
      <w:lang w:val="en-GB" w:eastAsia="zh-CN" w:bidi="ar-SA"/>
    </w:rPr>
  </w:style>
  <w:style w:type="character" w:customStyle="1" w:styleId="272">
    <w:name w:val="Footer1 Char Char"/>
    <w:qFormat/>
    <w:uiPriority w:val="0"/>
    <w:rPr>
      <w:rFonts w:eastAsia="宋体"/>
      <w:kern w:val="2"/>
      <w:sz w:val="18"/>
      <w:szCs w:val="18"/>
      <w:lang w:val="en-US" w:eastAsia="zh-CN" w:bidi="ar-SA"/>
    </w:rPr>
  </w:style>
  <w:style w:type="character" w:customStyle="1" w:styleId="273">
    <w:name w:val="公式 Char Char"/>
    <w:link w:val="274"/>
    <w:qFormat/>
    <w:uiPriority w:val="0"/>
    <w:rPr>
      <w:rFonts w:ascii="宋体"/>
      <w:kern w:val="16"/>
      <w:sz w:val="24"/>
    </w:rPr>
  </w:style>
  <w:style w:type="paragraph" w:customStyle="1" w:styleId="274">
    <w:name w:val="公式"/>
    <w:basedOn w:val="1"/>
    <w:link w:val="273"/>
    <w:qFormat/>
    <w:uiPriority w:val="0"/>
    <w:pPr>
      <w:adjustRightInd w:val="0"/>
      <w:spacing w:before="240" w:after="240" w:line="480" w:lineRule="exact"/>
      <w:ind w:firstLine="200" w:firstLineChars="200"/>
      <w:jc w:val="center"/>
      <w:textAlignment w:val="baseline"/>
    </w:pPr>
    <w:rPr>
      <w:rFonts w:ascii="宋体"/>
      <w:kern w:val="16"/>
      <w:sz w:val="24"/>
      <w:szCs w:val="20"/>
    </w:rPr>
  </w:style>
  <w:style w:type="character" w:customStyle="1" w:styleId="275">
    <w:name w:val="style2_title1"/>
    <w:qFormat/>
    <w:uiPriority w:val="0"/>
    <w:rPr>
      <w:b/>
      <w:bCs/>
      <w:sz w:val="25"/>
      <w:szCs w:val="25"/>
    </w:rPr>
  </w:style>
  <w:style w:type="character" w:customStyle="1" w:styleId="276">
    <w:name w:val="表格题目 Char"/>
    <w:link w:val="277"/>
    <w:qFormat/>
    <w:uiPriority w:val="0"/>
    <w:rPr>
      <w:rFonts w:ascii="宋体" w:hAnsi="宋体"/>
      <w:sz w:val="24"/>
      <w:szCs w:val="24"/>
    </w:rPr>
  </w:style>
  <w:style w:type="paragraph" w:customStyle="1" w:styleId="277">
    <w:name w:val="表格题目"/>
    <w:basedOn w:val="1"/>
    <w:link w:val="276"/>
    <w:qFormat/>
    <w:uiPriority w:val="0"/>
    <w:pPr>
      <w:spacing w:line="360" w:lineRule="auto"/>
      <w:ind w:firstLine="480" w:firstLineChars="200"/>
    </w:pPr>
    <w:rPr>
      <w:rFonts w:ascii="宋体" w:hAnsi="宋体"/>
      <w:kern w:val="0"/>
      <w:sz w:val="24"/>
      <w:shd w:val="clear" w:color="auto" w:fill="FFFFFF"/>
    </w:rPr>
  </w:style>
  <w:style w:type="character" w:customStyle="1" w:styleId="278">
    <w:name w:val="表格 Char Char"/>
    <w:qFormat/>
    <w:uiPriority w:val="0"/>
    <w:rPr>
      <w:kern w:val="2"/>
      <w:sz w:val="24"/>
      <w:szCs w:val="24"/>
      <w:lang w:bidi="ar-SA"/>
    </w:rPr>
  </w:style>
  <w:style w:type="character" w:customStyle="1" w:styleId="279">
    <w:name w:val="text_edit editable-title"/>
    <w:qFormat/>
    <w:uiPriority w:val="0"/>
  </w:style>
  <w:style w:type="character" w:customStyle="1" w:styleId="280">
    <w:name w:val="s c c"/>
    <w:qFormat/>
    <w:uiPriority w:val="0"/>
  </w:style>
  <w:style w:type="character" w:customStyle="1" w:styleId="281">
    <w:name w:val="tpc_content1"/>
    <w:qFormat/>
    <w:uiPriority w:val="0"/>
    <w:rPr>
      <w:rFonts w:ascii="宋体" w:hAnsi="宋体" w:eastAsia="宋体" w:cs="宋体"/>
      <w:kern w:val="2"/>
      <w:sz w:val="24"/>
      <w:szCs w:val="24"/>
      <w:lang w:val="en-US" w:eastAsia="zh-CN" w:bidi="ar-SA"/>
    </w:rPr>
  </w:style>
  <w:style w:type="character" w:customStyle="1" w:styleId="282">
    <w:name w:val="样式16 Char Char"/>
    <w:link w:val="283"/>
    <w:qFormat/>
    <w:uiPriority w:val="0"/>
    <w:rPr>
      <w:rFonts w:eastAsia="楷体_GB2312"/>
      <w:b/>
      <w:bCs/>
      <w:color w:val="000000"/>
      <w:sz w:val="32"/>
      <w:szCs w:val="32"/>
    </w:rPr>
  </w:style>
  <w:style w:type="paragraph" w:customStyle="1" w:styleId="283">
    <w:name w:val="样式16"/>
    <w:basedOn w:val="5"/>
    <w:link w:val="282"/>
    <w:qFormat/>
    <w:uiPriority w:val="0"/>
    <w:pPr>
      <w:tabs>
        <w:tab w:val="left" w:pos="390"/>
      </w:tabs>
      <w:overflowPunct/>
      <w:snapToGrid/>
      <w:spacing w:before="340" w:beforeLines="100" w:after="330" w:afterLines="100" w:line="240" w:lineRule="auto"/>
      <w:ind w:left="390" w:firstLine="0"/>
      <w:jc w:val="center"/>
    </w:pPr>
    <w:rPr>
      <w:rFonts w:eastAsia="楷体_GB2312"/>
      <w:kern w:val="0"/>
      <w:sz w:val="32"/>
      <w:szCs w:val="32"/>
    </w:rPr>
  </w:style>
  <w:style w:type="character" w:customStyle="1" w:styleId="284">
    <w:name w:val="su21"/>
    <w:qFormat/>
    <w:uiPriority w:val="0"/>
  </w:style>
  <w:style w:type="character" w:customStyle="1" w:styleId="285">
    <w:name w:val="文本 Char Char"/>
    <w:link w:val="286"/>
    <w:qFormat/>
    <w:uiPriority w:val="0"/>
    <w:rPr>
      <w:rFonts w:ascii="宋体" w:hAnsi="宋体"/>
      <w:sz w:val="24"/>
      <w:szCs w:val="24"/>
    </w:rPr>
  </w:style>
  <w:style w:type="paragraph" w:customStyle="1" w:styleId="286">
    <w:name w:val="文本"/>
    <w:basedOn w:val="1"/>
    <w:link w:val="285"/>
    <w:qFormat/>
    <w:uiPriority w:val="0"/>
    <w:pPr>
      <w:spacing w:after="60" w:line="440" w:lineRule="exact"/>
      <w:ind w:firstLine="480" w:firstLineChars="200"/>
    </w:pPr>
    <w:rPr>
      <w:rFonts w:ascii="宋体" w:hAnsi="宋体"/>
      <w:kern w:val="0"/>
      <w:sz w:val="24"/>
    </w:rPr>
  </w:style>
  <w:style w:type="character" w:customStyle="1" w:styleId="287">
    <w:name w:val="样式19 Char Char"/>
    <w:link w:val="288"/>
    <w:qFormat/>
    <w:uiPriority w:val="0"/>
    <w:rPr>
      <w:b/>
      <w:bCs/>
      <w:kern w:val="44"/>
      <w:sz w:val="32"/>
      <w:szCs w:val="44"/>
    </w:rPr>
  </w:style>
  <w:style w:type="paragraph" w:customStyle="1" w:styleId="288">
    <w:name w:val="样式19"/>
    <w:basedOn w:val="5"/>
    <w:link w:val="287"/>
    <w:qFormat/>
    <w:uiPriority w:val="0"/>
    <w:pPr>
      <w:keepLines/>
      <w:numPr>
        <w:ilvl w:val="0"/>
        <w:numId w:val="2"/>
      </w:numPr>
      <w:overflowPunct/>
      <w:snapToGrid/>
      <w:spacing w:before="0" w:after="0" w:line="360" w:lineRule="auto"/>
    </w:pPr>
    <w:rPr>
      <w:rFonts w:eastAsia="宋体"/>
      <w:color w:val="auto"/>
      <w:sz w:val="32"/>
      <w:szCs w:val="44"/>
    </w:rPr>
  </w:style>
  <w:style w:type="character" w:customStyle="1" w:styleId="289">
    <w:name w:val="source"/>
    <w:qFormat/>
    <w:uiPriority w:val="0"/>
  </w:style>
  <w:style w:type="character" w:customStyle="1" w:styleId="290">
    <w:name w:val="表内字 Char1"/>
    <w:link w:val="291"/>
    <w:qFormat/>
    <w:uiPriority w:val="0"/>
    <w:rPr>
      <w:kern w:val="2"/>
      <w:sz w:val="21"/>
    </w:rPr>
  </w:style>
  <w:style w:type="paragraph" w:customStyle="1" w:styleId="291">
    <w:name w:val="表内字"/>
    <w:link w:val="290"/>
    <w:qFormat/>
    <w:uiPriority w:val="0"/>
    <w:pPr>
      <w:spacing w:before="80" w:after="80"/>
      <w:jc w:val="both"/>
    </w:pPr>
    <w:rPr>
      <w:rFonts w:ascii="Times New Roman" w:hAnsi="Times New Roman" w:eastAsia="宋体" w:cs="Times New Roman"/>
      <w:kern w:val="2"/>
      <w:sz w:val="21"/>
      <w:lang w:val="en-US" w:eastAsia="zh-CN" w:bidi="ar-SA"/>
    </w:rPr>
  </w:style>
  <w:style w:type="character" w:customStyle="1" w:styleId="292">
    <w:name w:val="标题 2 Char"/>
    <w:qFormat/>
    <w:uiPriority w:val="9"/>
    <w:rPr>
      <w:rFonts w:ascii="Cambria" w:hAnsi="Cambria" w:eastAsia="宋体" w:cs="Times New Roman"/>
      <w:b/>
      <w:bCs/>
      <w:sz w:val="32"/>
      <w:szCs w:val="32"/>
    </w:rPr>
  </w:style>
  <w:style w:type="character" w:customStyle="1" w:styleId="293">
    <w:name w:val="报告书正文 Char1"/>
    <w:link w:val="294"/>
    <w:qFormat/>
    <w:uiPriority w:val="0"/>
    <w:rPr>
      <w:sz w:val="18"/>
      <w:szCs w:val="18"/>
      <w:lang w:val="zh-CN"/>
    </w:rPr>
  </w:style>
  <w:style w:type="paragraph" w:customStyle="1" w:styleId="294">
    <w:name w:val="报告书正文"/>
    <w:basedOn w:val="1"/>
    <w:link w:val="293"/>
    <w:qFormat/>
    <w:uiPriority w:val="0"/>
    <w:pPr>
      <w:adjustRightInd w:val="0"/>
      <w:spacing w:beforeLines="50" w:line="360" w:lineRule="auto"/>
      <w:ind w:firstLine="480" w:firstLineChars="200"/>
      <w:textAlignment w:val="baseline"/>
    </w:pPr>
    <w:rPr>
      <w:kern w:val="0"/>
      <w:sz w:val="18"/>
      <w:szCs w:val="18"/>
      <w:lang w:val="zh-CN"/>
    </w:rPr>
  </w:style>
  <w:style w:type="character" w:customStyle="1" w:styleId="295">
    <w:name w:val="css-text3"/>
    <w:qFormat/>
    <w:uiPriority w:val="0"/>
  </w:style>
  <w:style w:type="character" w:customStyle="1" w:styleId="296">
    <w:name w:val="样式 标题 3H31.1.1标题 3条标题1.1.1h3level_3PIM 3Level 3 HeadHead...1 Char Char"/>
    <w:link w:val="297"/>
    <w:qFormat/>
    <w:uiPriority w:val="0"/>
    <w:rPr>
      <w:rFonts w:ascii="黑体" w:hAnsi="黑体" w:eastAsia="黑体"/>
      <w:b/>
      <w:bCs/>
      <w:sz w:val="28"/>
      <w:szCs w:val="32"/>
    </w:rPr>
  </w:style>
  <w:style w:type="paragraph" w:customStyle="1" w:styleId="297">
    <w:name w:val="样式 标题 3H31.1.1标题 3条标题1.1.1h3level_3PIM 3Level 3 HeadHead...1"/>
    <w:basedOn w:val="7"/>
    <w:link w:val="296"/>
    <w:qFormat/>
    <w:uiPriority w:val="0"/>
    <w:pPr>
      <w:tabs>
        <w:tab w:val="left" w:pos="1260"/>
      </w:tabs>
      <w:ind w:left="1260" w:hanging="420"/>
    </w:pPr>
    <w:rPr>
      <w:rFonts w:ascii="黑体" w:hAnsi="黑体" w:eastAsia="黑体"/>
      <w:kern w:val="0"/>
      <w:sz w:val="28"/>
    </w:rPr>
  </w:style>
  <w:style w:type="character" w:customStyle="1" w:styleId="298">
    <w:name w:val="默认段落字体 Para Char Char Char Char Char"/>
    <w:link w:val="299"/>
    <w:qFormat/>
    <w:uiPriority w:val="0"/>
    <w:rPr>
      <w:kern w:val="2"/>
      <w:sz w:val="21"/>
      <w:szCs w:val="21"/>
    </w:rPr>
  </w:style>
  <w:style w:type="paragraph" w:customStyle="1" w:styleId="299">
    <w:name w:val="默认段落字体 Para Char Char Char Char"/>
    <w:basedOn w:val="1"/>
    <w:link w:val="298"/>
    <w:qFormat/>
    <w:uiPriority w:val="0"/>
  </w:style>
  <w:style w:type="character" w:customStyle="1" w:styleId="300">
    <w:name w:val="博泵1 Char Char"/>
    <w:link w:val="301"/>
    <w:qFormat/>
    <w:uiPriority w:val="0"/>
    <w:rPr>
      <w:rFonts w:hAnsi="宋体"/>
      <w:color w:val="000000"/>
      <w:sz w:val="24"/>
    </w:rPr>
  </w:style>
  <w:style w:type="paragraph" w:customStyle="1" w:styleId="301">
    <w:name w:val="博泵1"/>
    <w:basedOn w:val="1"/>
    <w:link w:val="300"/>
    <w:qFormat/>
    <w:uiPriority w:val="0"/>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302">
    <w:name w:val="特点标题 Char1"/>
    <w:qFormat/>
    <w:uiPriority w:val="0"/>
    <w:rPr>
      <w:rFonts w:eastAsia="宋体"/>
      <w:kern w:val="2"/>
      <w:sz w:val="24"/>
      <w:szCs w:val="21"/>
      <w:lang w:val="en-US" w:eastAsia="zh-CN" w:bidi="ar-SA"/>
    </w:rPr>
  </w:style>
  <w:style w:type="character" w:customStyle="1" w:styleId="303">
    <w:name w:val="报告标题3 Char Char"/>
    <w:link w:val="304"/>
    <w:qFormat/>
    <w:uiPriority w:val="0"/>
    <w:rPr>
      <w:b/>
      <w:bCs/>
      <w:color w:val="000000"/>
      <w:sz w:val="28"/>
      <w:szCs w:val="28"/>
    </w:rPr>
  </w:style>
  <w:style w:type="paragraph" w:customStyle="1" w:styleId="304">
    <w:name w:val="报告标题3"/>
    <w:basedOn w:val="7"/>
    <w:link w:val="303"/>
    <w:qFormat/>
    <w:uiPriority w:val="0"/>
    <w:pPr>
      <w:tabs>
        <w:tab w:val="left" w:pos="1260"/>
      </w:tabs>
      <w:spacing w:before="60" w:after="60" w:line="360" w:lineRule="auto"/>
      <w:ind w:left="1260" w:hanging="420"/>
    </w:pPr>
    <w:rPr>
      <w:color w:val="000000"/>
      <w:kern w:val="0"/>
      <w:sz w:val="28"/>
      <w:szCs w:val="28"/>
    </w:rPr>
  </w:style>
  <w:style w:type="character" w:customStyle="1" w:styleId="305">
    <w:name w:val="f141"/>
    <w:qFormat/>
    <w:uiPriority w:val="0"/>
    <w:rPr>
      <w:color w:val="000000"/>
      <w:sz w:val="21"/>
      <w:szCs w:val="21"/>
    </w:rPr>
  </w:style>
  <w:style w:type="character" w:customStyle="1" w:styleId="306">
    <w:name w:val="Plain Text Char1 Char2"/>
    <w:qFormat/>
    <w:uiPriority w:val="0"/>
    <w:rPr>
      <w:rFonts w:ascii="宋体" w:hAnsi="Courier New" w:eastAsia="宋体"/>
      <w:kern w:val="2"/>
      <w:sz w:val="21"/>
      <w:szCs w:val="21"/>
      <w:lang w:val="en-US" w:eastAsia="zh-CN" w:bidi="ar-SA"/>
    </w:rPr>
  </w:style>
  <w:style w:type="character" w:customStyle="1" w:styleId="307">
    <w:name w:val="ourfont11"/>
    <w:qFormat/>
    <w:uiPriority w:val="0"/>
    <w:rPr>
      <w:sz w:val="20"/>
    </w:rPr>
  </w:style>
  <w:style w:type="character" w:customStyle="1" w:styleId="308">
    <w:name w:val="Footer1 Char2"/>
    <w:qFormat/>
    <w:uiPriority w:val="0"/>
    <w:rPr>
      <w:sz w:val="18"/>
      <w:szCs w:val="18"/>
      <w:lang w:bidi="ar-SA"/>
    </w:rPr>
  </w:style>
  <w:style w:type="character" w:customStyle="1" w:styleId="309">
    <w:name w:val="文本正文 Char"/>
    <w:link w:val="310"/>
    <w:semiHidden/>
    <w:qFormat/>
    <w:uiPriority w:val="0"/>
    <w:rPr>
      <w:snapToGrid/>
      <w:sz w:val="24"/>
      <w:szCs w:val="24"/>
    </w:rPr>
  </w:style>
  <w:style w:type="paragraph" w:customStyle="1" w:styleId="310">
    <w:name w:val="文本正文"/>
    <w:basedOn w:val="1"/>
    <w:link w:val="309"/>
    <w:semiHidden/>
    <w:qFormat/>
    <w:uiPriority w:val="0"/>
    <w:pPr>
      <w:spacing w:line="360" w:lineRule="auto"/>
      <w:ind w:firstLine="200" w:firstLineChars="200"/>
      <w:jc w:val="left"/>
    </w:pPr>
    <w:rPr>
      <w:snapToGrid w:val="0"/>
      <w:kern w:val="0"/>
      <w:sz w:val="24"/>
    </w:rPr>
  </w:style>
  <w:style w:type="character" w:customStyle="1" w:styleId="311">
    <w:name w:val="content"/>
    <w:qFormat/>
    <w:uiPriority w:val="0"/>
    <w:rPr>
      <w:rFonts w:ascii="宋体" w:hAnsi="宋体" w:eastAsia="宋体" w:cs="宋体"/>
      <w:kern w:val="2"/>
      <w:sz w:val="24"/>
      <w:szCs w:val="24"/>
      <w:lang w:val="en-US" w:eastAsia="zh-CN" w:bidi="ar-SA"/>
    </w:rPr>
  </w:style>
  <w:style w:type="character" w:customStyle="1" w:styleId="312">
    <w:name w:val="dectext1"/>
    <w:qFormat/>
    <w:uiPriority w:val="0"/>
    <w:rPr>
      <w:rFonts w:hint="eastAsia" w:ascii="宋体" w:hAnsi="宋体" w:eastAsia="宋体"/>
      <w:color w:val="333333"/>
      <w:sz w:val="21"/>
      <w:szCs w:val="21"/>
      <w:u w:val="none"/>
    </w:rPr>
  </w:style>
  <w:style w:type="character" w:customStyle="1" w:styleId="313">
    <w:name w:val="图片居中 大王 20100426 Char"/>
    <w:link w:val="314"/>
    <w:qFormat/>
    <w:uiPriority w:val="0"/>
    <w:rPr>
      <w:snapToGrid/>
      <w:spacing w:val="10"/>
      <w:sz w:val="24"/>
    </w:rPr>
  </w:style>
  <w:style w:type="paragraph" w:customStyle="1" w:styleId="314">
    <w:name w:val="图片居中 大王 20100426"/>
    <w:basedOn w:val="1"/>
    <w:link w:val="313"/>
    <w:qFormat/>
    <w:uiPriority w:val="0"/>
    <w:pPr>
      <w:snapToGrid w:val="0"/>
      <w:spacing w:beforeLines="20" w:afterLines="20"/>
      <w:jc w:val="center"/>
    </w:pPr>
    <w:rPr>
      <w:snapToGrid w:val="0"/>
      <w:spacing w:val="10"/>
      <w:kern w:val="0"/>
      <w:sz w:val="24"/>
      <w:szCs w:val="20"/>
    </w:rPr>
  </w:style>
  <w:style w:type="character" w:customStyle="1" w:styleId="315">
    <w:name w:val="fontstyle01"/>
    <w:qFormat/>
    <w:uiPriority w:val="0"/>
    <w:rPr>
      <w:rFonts w:hint="eastAsia" w:ascii="宋体" w:hAnsi="宋体" w:eastAsia="宋体"/>
      <w:color w:val="000000"/>
      <w:sz w:val="24"/>
      <w:szCs w:val="24"/>
    </w:rPr>
  </w:style>
  <w:style w:type="character" w:customStyle="1" w:styleId="316">
    <w:name w:val="样式24 Char Char"/>
    <w:link w:val="317"/>
    <w:qFormat/>
    <w:uiPriority w:val="0"/>
    <w:rPr>
      <w:rFonts w:ascii="宋体" w:hAnsi="宋体"/>
      <w:b/>
      <w:bCs/>
      <w:spacing w:val="4"/>
      <w:sz w:val="32"/>
      <w:szCs w:val="32"/>
    </w:rPr>
  </w:style>
  <w:style w:type="paragraph" w:customStyle="1" w:styleId="317">
    <w:name w:val="样式24"/>
    <w:basedOn w:val="1"/>
    <w:link w:val="316"/>
    <w:qFormat/>
    <w:uiPriority w:val="0"/>
    <w:pPr>
      <w:keepNext/>
      <w:jc w:val="center"/>
      <w:outlineLvl w:val="1"/>
    </w:pPr>
    <w:rPr>
      <w:rFonts w:ascii="宋体" w:hAnsi="宋体"/>
      <w:b/>
      <w:bCs/>
      <w:spacing w:val="4"/>
      <w:kern w:val="0"/>
      <w:sz w:val="32"/>
      <w:szCs w:val="32"/>
    </w:rPr>
  </w:style>
  <w:style w:type="character" w:customStyle="1" w:styleId="318">
    <w:name w:val="表头1 Char Char Char"/>
    <w:qFormat/>
    <w:uiPriority w:val="0"/>
    <w:rPr>
      <w:rFonts w:eastAsia="黑体"/>
      <w:sz w:val="21"/>
      <w:szCs w:val="28"/>
      <w:lang w:val="en-US" w:eastAsia="zh-CN" w:bidi="ar-SA"/>
    </w:rPr>
  </w:style>
  <w:style w:type="character" w:customStyle="1" w:styleId="319">
    <w:name w:val="表、图名 Char"/>
    <w:link w:val="320"/>
    <w:semiHidden/>
    <w:qFormat/>
    <w:uiPriority w:val="0"/>
    <w:rPr>
      <w:rFonts w:ascii="宋体" w:eastAsia="黑体"/>
      <w:kern w:val="2"/>
      <w:sz w:val="21"/>
      <w:szCs w:val="24"/>
    </w:rPr>
  </w:style>
  <w:style w:type="paragraph" w:customStyle="1" w:styleId="320">
    <w:name w:val="表、图名"/>
    <w:basedOn w:val="1"/>
    <w:link w:val="319"/>
    <w:semiHidden/>
    <w:qFormat/>
    <w:uiPriority w:val="0"/>
    <w:pPr>
      <w:adjustRightInd w:val="0"/>
      <w:snapToGrid w:val="0"/>
      <w:spacing w:line="312" w:lineRule="atLeast"/>
      <w:jc w:val="center"/>
    </w:pPr>
    <w:rPr>
      <w:rFonts w:ascii="宋体" w:eastAsia="黑体"/>
    </w:rPr>
  </w:style>
  <w:style w:type="character" w:customStyle="1" w:styleId="321">
    <w:name w:val="Char Char Char Char Char Char Char Char Char"/>
    <w:qFormat/>
    <w:uiPriority w:val="0"/>
    <w:rPr>
      <w:rFonts w:eastAsia="宋体"/>
      <w:kern w:val="2"/>
      <w:sz w:val="18"/>
      <w:szCs w:val="18"/>
      <w:lang w:val="en-US" w:eastAsia="zh-CN" w:bidi="ar-SA"/>
    </w:rPr>
  </w:style>
  <w:style w:type="character" w:customStyle="1" w:styleId="322">
    <w:name w:val="css11"/>
    <w:qFormat/>
    <w:uiPriority w:val="0"/>
    <w:rPr>
      <w:rFonts w:hint="eastAsia" w:ascii="宋体" w:hAnsi="宋体" w:eastAsia="宋体"/>
      <w:color w:val="336633"/>
      <w:sz w:val="18"/>
      <w:szCs w:val="18"/>
    </w:rPr>
  </w:style>
  <w:style w:type="character" w:customStyle="1" w:styleId="323">
    <w:name w:val="表格内容 Char"/>
    <w:link w:val="324"/>
    <w:qFormat/>
    <w:uiPriority w:val="0"/>
    <w:rPr>
      <w:sz w:val="21"/>
      <w:szCs w:val="21"/>
    </w:rPr>
  </w:style>
  <w:style w:type="paragraph" w:customStyle="1" w:styleId="324">
    <w:name w:val="表格内容"/>
    <w:basedOn w:val="1"/>
    <w:link w:val="323"/>
    <w:qFormat/>
    <w:uiPriority w:val="99"/>
    <w:pPr>
      <w:autoSpaceDE w:val="0"/>
      <w:autoSpaceDN w:val="0"/>
      <w:adjustRightInd w:val="0"/>
      <w:jc w:val="left"/>
    </w:pPr>
    <w:rPr>
      <w:kern w:val="0"/>
    </w:rPr>
  </w:style>
  <w:style w:type="character" w:customStyle="1" w:styleId="325">
    <w:name w:val="样式69 Char Char"/>
    <w:link w:val="326"/>
    <w:qFormat/>
    <w:uiPriority w:val="0"/>
    <w:rPr>
      <w:rFonts w:ascii="宋体" w:hAnsi="宋体"/>
      <w:color w:val="000000"/>
    </w:rPr>
  </w:style>
  <w:style w:type="paragraph" w:customStyle="1" w:styleId="326">
    <w:name w:val="样式69"/>
    <w:basedOn w:val="1"/>
    <w:link w:val="325"/>
    <w:qFormat/>
    <w:uiPriority w:val="0"/>
    <w:pPr>
      <w:numPr>
        <w:ilvl w:val="0"/>
        <w:numId w:val="3"/>
      </w:numPr>
      <w:ind w:left="0" w:firstLine="0"/>
      <w:jc w:val="center"/>
    </w:pPr>
    <w:rPr>
      <w:rFonts w:ascii="宋体" w:hAnsi="宋体"/>
      <w:color w:val="000000"/>
      <w:kern w:val="0"/>
      <w:sz w:val="20"/>
      <w:szCs w:val="20"/>
    </w:rPr>
  </w:style>
  <w:style w:type="character" w:customStyle="1" w:styleId="327">
    <w:name w:val="s19n338"/>
    <w:qFormat/>
    <w:uiPriority w:val="0"/>
  </w:style>
  <w:style w:type="character" w:customStyle="1" w:styleId="328">
    <w:name w:val="1.1.1 Char Char"/>
    <w:link w:val="329"/>
    <w:qFormat/>
    <w:uiPriority w:val="0"/>
    <w:rPr>
      <w:rFonts w:eastAsia="黑体"/>
      <w:sz w:val="28"/>
      <w:szCs w:val="24"/>
    </w:rPr>
  </w:style>
  <w:style w:type="paragraph" w:customStyle="1" w:styleId="329">
    <w:name w:val="1.1.1"/>
    <w:basedOn w:val="1"/>
    <w:link w:val="328"/>
    <w:qFormat/>
    <w:uiPriority w:val="0"/>
    <w:pPr>
      <w:spacing w:line="600" w:lineRule="exact"/>
      <w:outlineLvl w:val="0"/>
    </w:pPr>
    <w:rPr>
      <w:rFonts w:eastAsia="黑体"/>
      <w:kern w:val="0"/>
      <w:sz w:val="28"/>
    </w:rPr>
  </w:style>
  <w:style w:type="character" w:customStyle="1" w:styleId="330">
    <w:name w:val="s6wwf"/>
    <w:qFormat/>
    <w:uiPriority w:val="0"/>
  </w:style>
  <w:style w:type="character" w:customStyle="1" w:styleId="331">
    <w:name w:val="正文 大王 20100426 Char"/>
    <w:link w:val="332"/>
    <w:qFormat/>
    <w:uiPriority w:val="0"/>
    <w:rPr>
      <w:snapToGrid/>
      <w:spacing w:val="10"/>
      <w:sz w:val="24"/>
    </w:rPr>
  </w:style>
  <w:style w:type="paragraph" w:customStyle="1" w:styleId="332">
    <w:name w:val="正文 大王 20100426"/>
    <w:basedOn w:val="1"/>
    <w:link w:val="331"/>
    <w:qFormat/>
    <w:uiPriority w:val="0"/>
    <w:pPr>
      <w:numPr>
        <w:ilvl w:val="2"/>
        <w:numId w:val="4"/>
      </w:numPr>
      <w:snapToGrid w:val="0"/>
      <w:spacing w:beforeLines="20" w:afterLines="20" w:line="360" w:lineRule="auto"/>
      <w:ind w:left="0" w:firstLine="520" w:firstLineChars="200"/>
    </w:pPr>
    <w:rPr>
      <w:snapToGrid w:val="0"/>
      <w:spacing w:val="10"/>
      <w:kern w:val="0"/>
      <w:sz w:val="24"/>
      <w:szCs w:val="20"/>
    </w:rPr>
  </w:style>
  <w:style w:type="character" w:customStyle="1" w:styleId="333">
    <w:name w:val="unnamed3"/>
    <w:qFormat/>
    <w:uiPriority w:val="0"/>
  </w:style>
  <w:style w:type="character" w:customStyle="1" w:styleId="334">
    <w:name w:val="表内容 Char Char"/>
    <w:qFormat/>
    <w:uiPriority w:val="0"/>
    <w:rPr>
      <w:rFonts w:eastAsia="宋体"/>
      <w:lang w:bidi="ar-SA"/>
    </w:rPr>
  </w:style>
  <w:style w:type="character" w:customStyle="1" w:styleId="335">
    <w:name w:val="question-title2"/>
    <w:qFormat/>
    <w:uiPriority w:val="0"/>
  </w:style>
  <w:style w:type="character" w:customStyle="1" w:styleId="336">
    <w:name w:val="表内文字 Char"/>
    <w:link w:val="337"/>
    <w:qFormat/>
    <w:uiPriority w:val="0"/>
    <w:rPr>
      <w:kern w:val="2"/>
      <w:sz w:val="21"/>
      <w:szCs w:val="24"/>
    </w:rPr>
  </w:style>
  <w:style w:type="paragraph" w:customStyle="1" w:styleId="337">
    <w:name w:val="表内文字"/>
    <w:basedOn w:val="219"/>
    <w:next w:val="1"/>
    <w:link w:val="336"/>
    <w:qFormat/>
    <w:uiPriority w:val="0"/>
    <w:pPr>
      <w:jc w:val="center"/>
    </w:pPr>
  </w:style>
  <w:style w:type="character" w:customStyle="1" w:styleId="338">
    <w:name w:val="postbody1"/>
    <w:qFormat/>
    <w:uiPriority w:val="0"/>
    <w:rPr>
      <w:sz w:val="21"/>
      <w:szCs w:val="21"/>
    </w:rPr>
  </w:style>
  <w:style w:type="character" w:customStyle="1" w:styleId="339">
    <w:name w:val="!正文_ALT+Z Char Char"/>
    <w:link w:val="340"/>
    <w:qFormat/>
    <w:uiPriority w:val="0"/>
    <w:rPr>
      <w:rFonts w:eastAsia="仿宋_GB2312"/>
      <w:kern w:val="2"/>
      <w:sz w:val="28"/>
      <w:szCs w:val="28"/>
    </w:rPr>
  </w:style>
  <w:style w:type="paragraph" w:customStyle="1" w:styleId="340">
    <w:name w:val="!正文_ALT+Z"/>
    <w:basedOn w:val="1"/>
    <w:link w:val="339"/>
    <w:qFormat/>
    <w:uiPriority w:val="0"/>
    <w:pPr>
      <w:spacing w:line="520" w:lineRule="exact"/>
      <w:ind w:firstLine="200" w:firstLineChars="200"/>
    </w:pPr>
    <w:rPr>
      <w:rFonts w:eastAsia="仿宋_GB2312"/>
      <w:sz w:val="28"/>
      <w:szCs w:val="28"/>
    </w:rPr>
  </w:style>
  <w:style w:type="character" w:customStyle="1" w:styleId="341">
    <w:name w:val="表头1 Char Char"/>
    <w:qFormat/>
    <w:uiPriority w:val="0"/>
    <w:rPr>
      <w:b/>
      <w:bCs/>
      <w:color w:val="000000"/>
      <w:sz w:val="24"/>
      <w:szCs w:val="24"/>
      <w:lang w:bidi="ar-SA"/>
    </w:rPr>
  </w:style>
  <w:style w:type="character" w:customStyle="1" w:styleId="342">
    <w:name w:val="正文文本缩进 Char Char"/>
    <w:qFormat/>
    <w:uiPriority w:val="0"/>
    <w:rPr>
      <w:rFonts w:ascii="Times New Roman" w:hAnsi="Times New Roman"/>
      <w:sz w:val="24"/>
    </w:rPr>
  </w:style>
  <w:style w:type="character" w:customStyle="1" w:styleId="343">
    <w:name w:val="Char Char11"/>
    <w:qFormat/>
    <w:uiPriority w:val="0"/>
    <w:rPr>
      <w:rFonts w:ascii="宋体" w:hAnsi="宋体" w:eastAsia="宋体" w:cs="宋体"/>
      <w:kern w:val="2"/>
      <w:sz w:val="18"/>
      <w:szCs w:val="18"/>
      <w:lang w:val="en-US" w:eastAsia="zh-CN" w:bidi="ar-SA"/>
    </w:rPr>
  </w:style>
  <w:style w:type="character" w:customStyle="1" w:styleId="344">
    <w:name w:val="日期 字符"/>
    <w:qFormat/>
    <w:uiPriority w:val="99"/>
    <w:rPr>
      <w:rFonts w:ascii="Times New Roman" w:hAnsi="Times New Roman" w:eastAsia="宋体"/>
      <w:sz w:val="24"/>
    </w:rPr>
  </w:style>
  <w:style w:type="character" w:customStyle="1" w:styleId="345">
    <w:name w:val="z-窗体顶端 Char"/>
    <w:link w:val="346"/>
    <w:qFormat/>
    <w:uiPriority w:val="0"/>
    <w:rPr>
      <w:rFonts w:ascii="宋体" w:hAnsi="Courier New" w:cs="宋体"/>
      <w:szCs w:val="24"/>
    </w:rPr>
  </w:style>
  <w:style w:type="paragraph" w:customStyle="1" w:styleId="346">
    <w:name w:val="z-窗体顶端1"/>
    <w:basedOn w:val="1"/>
    <w:next w:val="1"/>
    <w:link w:val="345"/>
    <w:qFormat/>
    <w:uiPriority w:val="0"/>
    <w:pPr>
      <w:pBdr>
        <w:bottom w:val="single" w:color="auto" w:sz="6" w:space="1"/>
      </w:pBdr>
      <w:adjustRightInd w:val="0"/>
      <w:snapToGrid w:val="0"/>
      <w:spacing w:line="300" w:lineRule="auto"/>
      <w:jc w:val="center"/>
    </w:pPr>
    <w:rPr>
      <w:rFonts w:ascii="宋体" w:hAnsi="Courier New" w:cs="宋体"/>
      <w:kern w:val="0"/>
      <w:sz w:val="20"/>
    </w:rPr>
  </w:style>
  <w:style w:type="character" w:customStyle="1" w:styleId="347">
    <w:name w:val="tpc_content"/>
    <w:qFormat/>
    <w:uiPriority w:val="0"/>
    <w:rPr>
      <w:rFonts w:ascii="宋体" w:hAnsi="宋体" w:eastAsia="宋体" w:cs="宋体"/>
      <w:kern w:val="2"/>
      <w:sz w:val="24"/>
      <w:szCs w:val="24"/>
      <w:lang w:val="en-US" w:eastAsia="zh-CN" w:bidi="ar-SA"/>
    </w:rPr>
  </w:style>
  <w:style w:type="character" w:customStyle="1" w:styleId="348">
    <w:name w:val="text_new"/>
    <w:qFormat/>
    <w:uiPriority w:val="0"/>
  </w:style>
  <w:style w:type="character" w:customStyle="1" w:styleId="349">
    <w:name w:val="Char Char12"/>
    <w:qFormat/>
    <w:uiPriority w:val="0"/>
    <w:rPr>
      <w:rFonts w:eastAsia="宋体"/>
      <w:kern w:val="2"/>
      <w:sz w:val="18"/>
      <w:szCs w:val="18"/>
      <w:lang w:val="en-US" w:eastAsia="zh-CN" w:bidi="ar-SA"/>
    </w:rPr>
  </w:style>
  <w:style w:type="character" w:customStyle="1" w:styleId="350">
    <w:name w:val="表 标题 Char Char"/>
    <w:link w:val="351"/>
    <w:qFormat/>
    <w:uiPriority w:val="0"/>
    <w:rPr>
      <w:b/>
      <w:sz w:val="24"/>
    </w:rPr>
  </w:style>
  <w:style w:type="paragraph" w:customStyle="1" w:styleId="351">
    <w:name w:val="表 标题"/>
    <w:basedOn w:val="70"/>
    <w:next w:val="1"/>
    <w:link w:val="350"/>
    <w:qFormat/>
    <w:uiPriority w:val="0"/>
    <w:pPr>
      <w:tabs>
        <w:tab w:val="clear" w:pos="8312"/>
      </w:tabs>
      <w:adjustRightInd/>
      <w:spacing w:beforeLines="50" w:line="240" w:lineRule="auto"/>
      <w:jc w:val="center"/>
      <w:textAlignment w:val="auto"/>
    </w:pPr>
    <w:rPr>
      <w:rFonts w:ascii="Times New Roman"/>
      <w:b/>
      <w:sz w:val="24"/>
    </w:rPr>
  </w:style>
  <w:style w:type="character" w:customStyle="1" w:styleId="352">
    <w:name w:val="content1"/>
    <w:qFormat/>
    <w:uiPriority w:val="0"/>
    <w:rPr>
      <w:sz w:val="21"/>
      <w:szCs w:val="21"/>
    </w:rPr>
  </w:style>
  <w:style w:type="character" w:customStyle="1" w:styleId="353">
    <w:name w:val="表格内容 Char Char"/>
    <w:qFormat/>
    <w:uiPriority w:val="0"/>
    <w:rPr>
      <w:rFonts w:eastAsia="宋体"/>
      <w:sz w:val="24"/>
      <w:lang w:bidi="ar-SA"/>
    </w:rPr>
  </w:style>
  <w:style w:type="character" w:customStyle="1" w:styleId="354">
    <w:name w:val="表格标题新 Char Char"/>
    <w:link w:val="355"/>
    <w:qFormat/>
    <w:uiPriority w:val="0"/>
    <w:rPr>
      <w:rFonts w:eastAsia="仿宋_GB2312"/>
      <w:b/>
      <w:sz w:val="28"/>
      <w:szCs w:val="24"/>
    </w:rPr>
  </w:style>
  <w:style w:type="paragraph" w:customStyle="1" w:styleId="355">
    <w:name w:val="表格标题新"/>
    <w:basedOn w:val="178"/>
    <w:link w:val="354"/>
    <w:qFormat/>
    <w:uiPriority w:val="0"/>
    <w:pPr>
      <w:spacing w:beforeLines="50" w:line="360" w:lineRule="auto"/>
      <w:ind w:firstLine="561" w:firstLineChars="200"/>
    </w:pPr>
    <w:rPr>
      <w:b/>
      <w:kern w:val="0"/>
      <w:sz w:val="28"/>
    </w:rPr>
  </w:style>
  <w:style w:type="character" w:customStyle="1" w:styleId="356">
    <w:name w:val="sz3evj"/>
    <w:qFormat/>
    <w:uiPriority w:val="0"/>
  </w:style>
  <w:style w:type="character" w:customStyle="1" w:styleId="357">
    <w:name w:val="宏文本 Char1"/>
    <w:semiHidden/>
    <w:qFormat/>
    <w:uiPriority w:val="99"/>
    <w:rPr>
      <w:rFonts w:ascii="Courier New" w:hAnsi="Courier New" w:eastAsia="宋体" w:cs="Courier New"/>
      <w:sz w:val="24"/>
      <w:szCs w:val="24"/>
    </w:rPr>
  </w:style>
  <w:style w:type="character" w:customStyle="1" w:styleId="358">
    <w:name w:val="sl0m"/>
    <w:qFormat/>
    <w:uiPriority w:val="0"/>
  </w:style>
  <w:style w:type="character" w:customStyle="1" w:styleId="359">
    <w:name w:val="标题3 Char"/>
    <w:link w:val="360"/>
    <w:qFormat/>
    <w:uiPriority w:val="0"/>
    <w:rPr>
      <w:rFonts w:eastAsia="黑体"/>
      <w:sz w:val="24"/>
    </w:rPr>
  </w:style>
  <w:style w:type="paragraph" w:customStyle="1" w:styleId="360">
    <w:name w:val="标题3"/>
    <w:basedOn w:val="1"/>
    <w:next w:val="1"/>
    <w:link w:val="359"/>
    <w:qFormat/>
    <w:uiPriority w:val="0"/>
    <w:pPr>
      <w:keepNext/>
      <w:keepLines/>
      <w:adjustRightInd w:val="0"/>
      <w:snapToGrid w:val="0"/>
      <w:spacing w:after="50" w:line="416" w:lineRule="atLeast"/>
      <w:outlineLvl w:val="2"/>
    </w:pPr>
    <w:rPr>
      <w:rFonts w:eastAsia="黑体"/>
      <w:kern w:val="0"/>
      <w:sz w:val="24"/>
      <w:szCs w:val="20"/>
    </w:rPr>
  </w:style>
  <w:style w:type="character" w:customStyle="1" w:styleId="361">
    <w:name w:val="段落1 Char"/>
    <w:link w:val="362"/>
    <w:qFormat/>
    <w:uiPriority w:val="0"/>
    <w:rPr>
      <w:rFonts w:ascii="宋体" w:hAnsi="宋体"/>
      <w:color w:val="000000"/>
      <w:kern w:val="28"/>
      <w:sz w:val="28"/>
      <w:szCs w:val="28"/>
    </w:rPr>
  </w:style>
  <w:style w:type="paragraph" w:customStyle="1" w:styleId="362">
    <w:name w:val="段落1"/>
    <w:basedOn w:val="1"/>
    <w:link w:val="361"/>
    <w:qFormat/>
    <w:uiPriority w:val="0"/>
    <w:pPr>
      <w:snapToGrid w:val="0"/>
      <w:spacing w:beforeLines="10" w:afterLines="10" w:line="360" w:lineRule="auto"/>
      <w:ind w:firstLine="420" w:firstLineChars="150"/>
    </w:pPr>
    <w:rPr>
      <w:rFonts w:ascii="宋体" w:hAnsi="宋体"/>
      <w:color w:val="000000"/>
      <w:kern w:val="28"/>
      <w:sz w:val="28"/>
      <w:szCs w:val="28"/>
    </w:rPr>
  </w:style>
  <w:style w:type="character" w:customStyle="1" w:styleId="363">
    <w:name w:val="表内式样 Char1"/>
    <w:link w:val="364"/>
    <w:qFormat/>
    <w:uiPriority w:val="0"/>
    <w:rPr>
      <w:rFonts w:ascii="宋体"/>
      <w:sz w:val="21"/>
      <w:szCs w:val="21"/>
    </w:rPr>
  </w:style>
  <w:style w:type="paragraph" w:customStyle="1" w:styleId="364">
    <w:name w:val="表内式样"/>
    <w:link w:val="363"/>
    <w:qFormat/>
    <w:uiPriority w:val="0"/>
    <w:pPr>
      <w:keepLines/>
      <w:widowControl w:val="0"/>
      <w:kinsoku w:val="0"/>
      <w:overflowPunct w:val="0"/>
      <w:adjustRightInd w:val="0"/>
      <w:jc w:val="center"/>
    </w:pPr>
    <w:rPr>
      <w:rFonts w:ascii="宋体" w:hAnsi="Times New Roman" w:eastAsia="宋体" w:cs="Times New Roman"/>
      <w:sz w:val="21"/>
      <w:szCs w:val="21"/>
      <w:lang w:val="en-US" w:eastAsia="zh-CN" w:bidi="ar-SA"/>
    </w:rPr>
  </w:style>
  <w:style w:type="character" w:customStyle="1" w:styleId="365">
    <w:name w:val="标题 3 Char1 Char1"/>
    <w:qFormat/>
    <w:uiPriority w:val="0"/>
    <w:rPr>
      <w:rFonts w:ascii="宋体" w:hAnsi="宋体" w:eastAsia="宋体" w:cs="宋体"/>
      <w:b/>
      <w:bCs/>
      <w:caps/>
      <w:color w:val="000000"/>
      <w:kern w:val="2"/>
      <w:sz w:val="24"/>
      <w:szCs w:val="24"/>
      <w:lang w:val="zh-CN" w:eastAsia="zh-CN" w:bidi="ar-SA"/>
    </w:rPr>
  </w:style>
  <w:style w:type="character" w:customStyle="1" w:styleId="366">
    <w:name w:val="3zw1"/>
    <w:qFormat/>
    <w:uiPriority w:val="0"/>
    <w:rPr>
      <w:color w:val="000000"/>
      <w:sz w:val="21"/>
      <w:szCs w:val="21"/>
    </w:rPr>
  </w:style>
  <w:style w:type="character" w:customStyle="1" w:styleId="367">
    <w:name w:val="s0s4w"/>
    <w:qFormat/>
    <w:uiPriority w:val="0"/>
  </w:style>
  <w:style w:type="character" w:customStyle="1" w:styleId="368">
    <w:name w:val="表 Char"/>
    <w:link w:val="369"/>
    <w:qFormat/>
    <w:uiPriority w:val="0"/>
    <w:rPr>
      <w:spacing w:val="2"/>
      <w:kern w:val="2"/>
      <w:sz w:val="24"/>
    </w:rPr>
  </w:style>
  <w:style w:type="paragraph" w:customStyle="1" w:styleId="369">
    <w:name w:val="表"/>
    <w:basedOn w:val="1"/>
    <w:link w:val="368"/>
    <w:qFormat/>
    <w:uiPriority w:val="0"/>
    <w:pPr>
      <w:adjustRightInd w:val="0"/>
      <w:snapToGrid w:val="0"/>
      <w:jc w:val="center"/>
    </w:pPr>
    <w:rPr>
      <w:spacing w:val="2"/>
      <w:sz w:val="24"/>
      <w:szCs w:val="20"/>
    </w:rPr>
  </w:style>
  <w:style w:type="character" w:customStyle="1" w:styleId="370">
    <w:name w:val="style391"/>
    <w:qFormat/>
    <w:uiPriority w:val="0"/>
    <w:rPr>
      <w:b/>
      <w:bCs/>
      <w:color w:val="005984"/>
      <w:sz w:val="21"/>
      <w:szCs w:val="21"/>
    </w:rPr>
  </w:style>
  <w:style w:type="character" w:customStyle="1" w:styleId="371">
    <w:name w:val="正文 首行缩进:  2 字符 Char"/>
    <w:link w:val="372"/>
    <w:semiHidden/>
    <w:qFormat/>
    <w:uiPriority w:val="0"/>
    <w:rPr>
      <w:rFonts w:cs="宋体"/>
      <w:kern w:val="2"/>
      <w:sz w:val="24"/>
    </w:rPr>
  </w:style>
  <w:style w:type="paragraph" w:customStyle="1" w:styleId="372">
    <w:name w:val="正文 首行缩进:  2 字符"/>
    <w:basedOn w:val="1"/>
    <w:link w:val="371"/>
    <w:semiHidden/>
    <w:qFormat/>
    <w:uiPriority w:val="0"/>
    <w:pPr>
      <w:snapToGrid w:val="0"/>
      <w:spacing w:line="500" w:lineRule="exact"/>
      <w:ind w:firstLine="480" w:firstLineChars="200"/>
      <w:jc w:val="left"/>
    </w:pPr>
    <w:rPr>
      <w:rFonts w:cs="宋体"/>
      <w:sz w:val="24"/>
      <w:szCs w:val="20"/>
    </w:rPr>
  </w:style>
  <w:style w:type="character" w:customStyle="1" w:styleId="373">
    <w:name w:val="样式91 Char Char"/>
    <w:link w:val="374"/>
    <w:qFormat/>
    <w:uiPriority w:val="0"/>
    <w:rPr>
      <w:rFonts w:ascii="宋体" w:hAnsi="宋体"/>
      <w:color w:val="000000"/>
      <w:sz w:val="28"/>
      <w:szCs w:val="28"/>
    </w:rPr>
  </w:style>
  <w:style w:type="paragraph" w:customStyle="1" w:styleId="374">
    <w:name w:val="样式91"/>
    <w:basedOn w:val="1"/>
    <w:link w:val="373"/>
    <w:qFormat/>
    <w:uiPriority w:val="0"/>
    <w:pPr>
      <w:spacing w:line="480" w:lineRule="exact"/>
      <w:ind w:firstLine="560" w:firstLineChars="200"/>
    </w:pPr>
    <w:rPr>
      <w:rFonts w:ascii="宋体" w:hAnsi="宋体"/>
      <w:color w:val="000000"/>
      <w:kern w:val="0"/>
      <w:sz w:val="28"/>
      <w:szCs w:val="28"/>
    </w:rPr>
  </w:style>
  <w:style w:type="character" w:customStyle="1" w:styleId="375">
    <w:name w:val="表内容 Char"/>
    <w:link w:val="376"/>
    <w:qFormat/>
    <w:uiPriority w:val="0"/>
    <w:rPr>
      <w:kern w:val="2"/>
      <w:sz w:val="21"/>
    </w:rPr>
  </w:style>
  <w:style w:type="paragraph" w:customStyle="1" w:styleId="376">
    <w:name w:val="表内容"/>
    <w:basedOn w:val="1"/>
    <w:next w:val="1"/>
    <w:link w:val="375"/>
    <w:qFormat/>
    <w:uiPriority w:val="0"/>
    <w:pPr>
      <w:spacing w:line="320" w:lineRule="exact"/>
      <w:jc w:val="center"/>
    </w:pPr>
    <w:rPr>
      <w:szCs w:val="20"/>
    </w:rPr>
  </w:style>
  <w:style w:type="character" w:customStyle="1" w:styleId="377">
    <w:name w:val="style81"/>
    <w:qFormat/>
    <w:uiPriority w:val="0"/>
    <w:rPr>
      <w:rFonts w:hint="eastAsia" w:ascii="宋体" w:hAnsi="宋体" w:eastAsia="宋体"/>
    </w:rPr>
  </w:style>
  <w:style w:type="character" w:customStyle="1" w:styleId="378">
    <w:name w:val="s5y7c"/>
    <w:qFormat/>
    <w:uiPriority w:val="0"/>
  </w:style>
  <w:style w:type="character" w:customStyle="1" w:styleId="379">
    <w:name w:val="title41"/>
    <w:qFormat/>
    <w:uiPriority w:val="0"/>
  </w:style>
  <w:style w:type="character" w:customStyle="1" w:styleId="380">
    <w:name w:val="报告正文 Char"/>
    <w:link w:val="381"/>
    <w:qFormat/>
    <w:uiPriority w:val="0"/>
    <w:rPr>
      <w:kern w:val="2"/>
      <w:sz w:val="24"/>
      <w:szCs w:val="24"/>
      <w:lang w:val="zh-CN"/>
    </w:rPr>
  </w:style>
  <w:style w:type="paragraph" w:customStyle="1" w:styleId="381">
    <w:name w:val="报告正文"/>
    <w:basedOn w:val="1"/>
    <w:link w:val="380"/>
    <w:qFormat/>
    <w:uiPriority w:val="0"/>
    <w:pPr>
      <w:adjustRightInd w:val="0"/>
      <w:snapToGrid w:val="0"/>
      <w:spacing w:line="360" w:lineRule="auto"/>
      <w:ind w:firstLine="200" w:firstLineChars="200"/>
    </w:pPr>
    <w:rPr>
      <w:sz w:val="24"/>
      <w:lang w:val="zh-CN"/>
    </w:rPr>
  </w:style>
  <w:style w:type="character" w:customStyle="1" w:styleId="382">
    <w:name w:val="paragragh1"/>
    <w:qFormat/>
    <w:uiPriority w:val="0"/>
    <w:rPr>
      <w:color w:val="004040"/>
      <w:sz w:val="21"/>
      <w:szCs w:val="21"/>
    </w:rPr>
  </w:style>
  <w:style w:type="character" w:customStyle="1" w:styleId="383">
    <w:name w:val="标题 1 Char Char"/>
    <w:qFormat/>
    <w:uiPriority w:val="0"/>
    <w:rPr>
      <w:rFonts w:ascii="宋体" w:hAnsi="宋体" w:eastAsia="宋体" w:cs="宋体"/>
      <w:b/>
      <w:bCs/>
      <w:kern w:val="44"/>
      <w:sz w:val="44"/>
      <w:szCs w:val="44"/>
      <w:lang w:val="en-US" w:eastAsia="zh-CN" w:bidi="ar-SA"/>
    </w:rPr>
  </w:style>
  <w:style w:type="character" w:customStyle="1" w:styleId="384">
    <w:name w:val="表标题 Char Char"/>
    <w:qFormat/>
    <w:uiPriority w:val="0"/>
    <w:rPr>
      <w:rFonts w:eastAsia="宋体"/>
      <w:b/>
      <w:bCs/>
      <w:sz w:val="24"/>
      <w:szCs w:val="18"/>
      <w:lang w:bidi="ar-SA"/>
    </w:rPr>
  </w:style>
  <w:style w:type="character" w:customStyle="1" w:styleId="385">
    <w:name w:val="t_tag"/>
    <w:qFormat/>
    <w:uiPriority w:val="0"/>
    <w:rPr>
      <w:rFonts w:ascii="宋体" w:hAnsi="宋体" w:eastAsia="宋体" w:cs="宋体"/>
      <w:kern w:val="2"/>
      <w:sz w:val="24"/>
      <w:szCs w:val="24"/>
      <w:lang w:val="en-US" w:eastAsia="zh-CN" w:bidi="ar-SA"/>
    </w:rPr>
  </w:style>
  <w:style w:type="character" w:customStyle="1" w:styleId="386">
    <w:name w:val="s2ze7v"/>
    <w:qFormat/>
    <w:uiPriority w:val="0"/>
  </w:style>
  <w:style w:type="character" w:customStyle="1" w:styleId="387">
    <w:name w:val="tpc_title"/>
    <w:qFormat/>
    <w:uiPriority w:val="0"/>
    <w:rPr>
      <w:rFonts w:ascii="宋体" w:hAnsi="宋体" w:eastAsia="宋体" w:cs="宋体"/>
      <w:kern w:val="2"/>
      <w:sz w:val="24"/>
      <w:szCs w:val="24"/>
      <w:lang w:val="en-US" w:eastAsia="zh-CN" w:bidi="ar-SA"/>
    </w:rPr>
  </w:style>
  <w:style w:type="character" w:customStyle="1" w:styleId="388">
    <w:name w:val="gray_text12"/>
    <w:qFormat/>
    <w:uiPriority w:val="0"/>
  </w:style>
  <w:style w:type="character" w:customStyle="1" w:styleId="389">
    <w:name w:val="样式 表格内容 + (符号) 宋体 Char"/>
    <w:link w:val="390"/>
    <w:qFormat/>
    <w:uiPriority w:val="0"/>
    <w:rPr>
      <w:sz w:val="21"/>
      <w:szCs w:val="21"/>
    </w:rPr>
  </w:style>
  <w:style w:type="paragraph" w:customStyle="1" w:styleId="390">
    <w:name w:val="样式 表格内容 + (符号) 宋体"/>
    <w:basedOn w:val="324"/>
    <w:link w:val="389"/>
    <w:qFormat/>
    <w:uiPriority w:val="0"/>
  </w:style>
  <w:style w:type="character" w:customStyle="1" w:styleId="391">
    <w:name w:val="报告书正文 Char"/>
    <w:qFormat/>
    <w:uiPriority w:val="0"/>
    <w:rPr>
      <w:rFonts w:ascii="宋体" w:hAnsi="宋体" w:eastAsia="宋体" w:cs="宋体"/>
      <w:kern w:val="2"/>
      <w:sz w:val="24"/>
      <w:szCs w:val="24"/>
      <w:lang w:val="en-US" w:eastAsia="zh-CN" w:bidi="ar-SA"/>
    </w:rPr>
  </w:style>
  <w:style w:type="character" w:customStyle="1" w:styleId="392">
    <w:name w:val="甲乙酮正文 Char Char"/>
    <w:link w:val="393"/>
    <w:qFormat/>
    <w:uiPriority w:val="0"/>
    <w:rPr>
      <w:color w:val="000000"/>
      <w:sz w:val="24"/>
      <w:szCs w:val="24"/>
    </w:rPr>
  </w:style>
  <w:style w:type="paragraph" w:customStyle="1" w:styleId="393">
    <w:name w:val="甲乙酮正文"/>
    <w:basedOn w:val="82"/>
    <w:link w:val="392"/>
    <w:qFormat/>
    <w:uiPriority w:val="0"/>
    <w:pPr>
      <w:spacing w:after="0" w:line="360" w:lineRule="auto"/>
      <w:ind w:firstLine="200" w:firstLineChars="200"/>
      <w:jc w:val="left"/>
    </w:pPr>
    <w:rPr>
      <w:color w:val="000000"/>
      <w:kern w:val="0"/>
      <w:sz w:val="24"/>
    </w:rPr>
  </w:style>
  <w:style w:type="character" w:customStyle="1" w:styleId="394">
    <w:name w:val="正文文字 Char Char"/>
    <w:qFormat/>
    <w:uiPriority w:val="0"/>
    <w:rPr>
      <w:rFonts w:ascii="宋体" w:hAnsi="宋体" w:eastAsia="宋体" w:cs="宋体"/>
      <w:kern w:val="2"/>
      <w:sz w:val="24"/>
      <w:szCs w:val="24"/>
      <w:lang w:val="en-US" w:eastAsia="zh-CN" w:bidi="ar-SA"/>
    </w:rPr>
  </w:style>
  <w:style w:type="character" w:customStyle="1" w:styleId="395">
    <w:name w:val="headline-content2"/>
    <w:qFormat/>
    <w:uiPriority w:val="0"/>
  </w:style>
  <w:style w:type="character" w:customStyle="1" w:styleId="396">
    <w:name w:val="grame"/>
    <w:qFormat/>
    <w:uiPriority w:val="0"/>
  </w:style>
  <w:style w:type="character" w:customStyle="1" w:styleId="397">
    <w:name w:val="报告 Char"/>
    <w:link w:val="398"/>
    <w:qFormat/>
    <w:uiPriority w:val="0"/>
    <w:rPr>
      <w:sz w:val="24"/>
    </w:rPr>
  </w:style>
  <w:style w:type="paragraph" w:customStyle="1" w:styleId="398">
    <w:name w:val="报告"/>
    <w:basedOn w:val="1"/>
    <w:link w:val="397"/>
    <w:qFormat/>
    <w:uiPriority w:val="0"/>
    <w:pPr>
      <w:adjustRightInd w:val="0"/>
      <w:spacing w:line="360" w:lineRule="auto"/>
      <w:ind w:firstLine="505"/>
      <w:textAlignment w:val="baseline"/>
    </w:pPr>
    <w:rPr>
      <w:kern w:val="0"/>
      <w:sz w:val="24"/>
      <w:szCs w:val="20"/>
    </w:rPr>
  </w:style>
  <w:style w:type="character" w:customStyle="1" w:styleId="399">
    <w:name w:val="dash6b63-6587--char"/>
    <w:qFormat/>
    <w:uiPriority w:val="0"/>
    <w:rPr>
      <w:rFonts w:ascii="宋体" w:hAnsi="宋体" w:eastAsia="宋体" w:cs="宋体"/>
      <w:kern w:val="2"/>
      <w:sz w:val="24"/>
      <w:szCs w:val="24"/>
      <w:lang w:val="en-US" w:eastAsia="zh-CN" w:bidi="ar-SA"/>
    </w:rPr>
  </w:style>
  <w:style w:type="character" w:customStyle="1" w:styleId="400">
    <w:name w:val="dz1"/>
    <w:qFormat/>
    <w:uiPriority w:val="0"/>
    <w:rPr>
      <w:rFonts w:hint="default" w:ascii="ˎ̥" w:hAnsi="ˎ̥"/>
      <w:sz w:val="30"/>
      <w:szCs w:val="30"/>
    </w:rPr>
  </w:style>
  <w:style w:type="character" w:customStyle="1" w:styleId="401">
    <w:name w:val="seecix"/>
    <w:qFormat/>
    <w:uiPriority w:val="0"/>
  </w:style>
  <w:style w:type="character" w:customStyle="1" w:styleId="402">
    <w:name w:val="表头王 Char"/>
    <w:link w:val="403"/>
    <w:semiHidden/>
    <w:qFormat/>
    <w:uiPriority w:val="0"/>
    <w:rPr>
      <w:rFonts w:ascii="宋体" w:hAnsi="宋体"/>
      <w:b/>
      <w:color w:val="000000"/>
      <w:sz w:val="24"/>
      <w:szCs w:val="24"/>
      <w:lang w:val="zh-CN"/>
    </w:rPr>
  </w:style>
  <w:style w:type="paragraph" w:customStyle="1" w:styleId="403">
    <w:name w:val="表头王"/>
    <w:basedOn w:val="1"/>
    <w:link w:val="402"/>
    <w:semiHidden/>
    <w:qFormat/>
    <w:uiPriority w:val="0"/>
    <w:pPr>
      <w:adjustRightInd w:val="0"/>
      <w:snapToGrid w:val="0"/>
      <w:spacing w:line="360" w:lineRule="auto"/>
      <w:jc w:val="center"/>
    </w:pPr>
    <w:rPr>
      <w:rFonts w:ascii="宋体" w:hAnsi="宋体"/>
      <w:b/>
      <w:color w:val="000000"/>
      <w:kern w:val="0"/>
      <w:sz w:val="24"/>
      <w:lang w:val="zh-CN"/>
    </w:rPr>
  </w:style>
  <w:style w:type="character" w:customStyle="1" w:styleId="404">
    <w:name w:val="s8h0t"/>
    <w:qFormat/>
    <w:uiPriority w:val="0"/>
  </w:style>
  <w:style w:type="character" w:customStyle="1" w:styleId="405">
    <w:name w:val="样式1 Char"/>
    <w:qFormat/>
    <w:uiPriority w:val="0"/>
    <w:rPr>
      <w:rFonts w:ascii="宋体" w:hAnsi="宋体" w:eastAsia="宋体" w:cs="宋体"/>
      <w:b/>
      <w:bCs/>
      <w:kern w:val="2"/>
      <w:sz w:val="24"/>
      <w:szCs w:val="24"/>
      <w:lang w:val="en-US" w:eastAsia="zh-CN" w:bidi="ar-SA"/>
    </w:rPr>
  </w:style>
  <w:style w:type="character" w:styleId="406">
    <w:name w:val="Placeholder Text"/>
    <w:qFormat/>
    <w:uiPriority w:val="0"/>
    <w:rPr>
      <w:color w:val="808080"/>
    </w:rPr>
  </w:style>
  <w:style w:type="character" w:customStyle="1" w:styleId="407">
    <w:name w:val="正文文本 Char Char"/>
    <w:qFormat/>
    <w:uiPriority w:val="0"/>
    <w:rPr>
      <w:rFonts w:eastAsia="宋体"/>
      <w:kern w:val="2"/>
      <w:sz w:val="28"/>
      <w:szCs w:val="24"/>
      <w:lang w:val="en-US" w:eastAsia="zh-CN" w:bidi="ar-SA"/>
    </w:rPr>
  </w:style>
  <w:style w:type="character" w:customStyle="1" w:styleId="408">
    <w:name w:val="Char Char19"/>
    <w:qFormat/>
    <w:uiPriority w:val="0"/>
    <w:rPr>
      <w:rFonts w:eastAsia="仿宋_GB2312"/>
      <w:sz w:val="18"/>
      <w:lang w:val="en-US" w:eastAsia="zh-CN" w:bidi="ar-SA"/>
    </w:rPr>
  </w:style>
  <w:style w:type="character" w:customStyle="1" w:styleId="409">
    <w:name w:val="尾注文本 字符1"/>
    <w:qFormat/>
    <w:uiPriority w:val="0"/>
    <w:rPr>
      <w:kern w:val="2"/>
      <w:sz w:val="21"/>
      <w:szCs w:val="24"/>
    </w:rPr>
  </w:style>
  <w:style w:type="character" w:customStyle="1" w:styleId="410">
    <w:name w:val="样式 正文 首行缩进:  2 字符 + (中文) 楷体_GB2312 Char"/>
    <w:link w:val="411"/>
    <w:semiHidden/>
    <w:qFormat/>
    <w:uiPriority w:val="0"/>
    <w:rPr>
      <w:rFonts w:eastAsia="楷体_GB2312" w:cs="宋体"/>
      <w:kern w:val="2"/>
      <w:sz w:val="24"/>
      <w:szCs w:val="24"/>
    </w:rPr>
  </w:style>
  <w:style w:type="paragraph" w:customStyle="1" w:styleId="411">
    <w:name w:val="样式 正文 首行缩进:  2 字符 + (中文) 楷体_GB2312"/>
    <w:basedOn w:val="372"/>
    <w:link w:val="410"/>
    <w:semiHidden/>
    <w:qFormat/>
    <w:uiPriority w:val="0"/>
    <w:pPr>
      <w:adjustRightInd w:val="0"/>
      <w:ind w:firstLine="200"/>
      <w:jc w:val="both"/>
    </w:pPr>
    <w:rPr>
      <w:rFonts w:eastAsia="楷体_GB2312"/>
      <w:szCs w:val="24"/>
    </w:rPr>
  </w:style>
  <w:style w:type="character" w:customStyle="1" w:styleId="412">
    <w:name w:val="样式 小四 行距: 1.5 倍行距 Char Char"/>
    <w:link w:val="413"/>
    <w:qFormat/>
    <w:uiPriority w:val="0"/>
    <w:rPr>
      <w:sz w:val="24"/>
      <w:szCs w:val="24"/>
    </w:rPr>
  </w:style>
  <w:style w:type="paragraph" w:customStyle="1" w:styleId="413">
    <w:name w:val="样式 小四 行距: 1.5 倍行距"/>
    <w:basedOn w:val="1"/>
    <w:link w:val="412"/>
    <w:qFormat/>
    <w:uiPriority w:val="0"/>
    <w:pPr>
      <w:spacing w:line="360" w:lineRule="auto"/>
      <w:ind w:firstLine="480" w:firstLineChars="200"/>
    </w:pPr>
    <w:rPr>
      <w:kern w:val="0"/>
      <w:sz w:val="24"/>
    </w:rPr>
  </w:style>
  <w:style w:type="character" w:customStyle="1" w:styleId="414">
    <w:name w:val="正文(首行缩进) Char Char"/>
    <w:link w:val="415"/>
    <w:qFormat/>
    <w:uiPriority w:val="0"/>
    <w:rPr>
      <w:rFonts w:ascii="宋体" w:hAnsi="宋体"/>
      <w:color w:val="000000"/>
      <w:kern w:val="2"/>
      <w:sz w:val="24"/>
      <w:szCs w:val="24"/>
    </w:rPr>
  </w:style>
  <w:style w:type="paragraph" w:customStyle="1" w:styleId="415">
    <w:name w:val="正文(首行缩进)"/>
    <w:basedOn w:val="1"/>
    <w:link w:val="414"/>
    <w:qFormat/>
    <w:uiPriority w:val="0"/>
    <w:pPr>
      <w:spacing w:line="360" w:lineRule="auto"/>
      <w:ind w:firstLine="540" w:firstLineChars="225"/>
    </w:pPr>
    <w:rPr>
      <w:rFonts w:ascii="宋体" w:hAnsi="宋体"/>
      <w:color w:val="000000"/>
      <w:sz w:val="24"/>
    </w:rPr>
  </w:style>
  <w:style w:type="character" w:customStyle="1" w:styleId="416">
    <w:name w:val="表格文字 Char Char"/>
    <w:link w:val="417"/>
    <w:qFormat/>
    <w:uiPriority w:val="0"/>
    <w:rPr>
      <w:rFonts w:ascii="仿宋_GB2312" w:hAnsi="Arial Black" w:eastAsia="仿宋_GB2312"/>
      <w:kern w:val="44"/>
      <w:sz w:val="24"/>
    </w:rPr>
  </w:style>
  <w:style w:type="paragraph" w:customStyle="1" w:styleId="417">
    <w:name w:val="表格文字"/>
    <w:basedOn w:val="10"/>
    <w:link w:val="416"/>
    <w:qFormat/>
    <w:uiPriority w:val="0"/>
    <w:pPr>
      <w:jc w:val="center"/>
    </w:pPr>
    <w:rPr>
      <w:rFonts w:ascii="仿宋_GB2312" w:hAnsi="Arial Black" w:eastAsia="仿宋_GB2312"/>
      <w:kern w:val="44"/>
      <w:sz w:val="24"/>
      <w:szCs w:val="20"/>
    </w:rPr>
  </w:style>
  <w:style w:type="character" w:customStyle="1" w:styleId="418">
    <w:name w:val="标题 Char Char"/>
    <w:qFormat/>
    <w:uiPriority w:val="0"/>
    <w:rPr>
      <w:rFonts w:ascii="Arial" w:hAnsi="Arial" w:eastAsia="宋体" w:cs="Arial"/>
      <w:b/>
      <w:bCs/>
      <w:sz w:val="32"/>
      <w:szCs w:val="32"/>
      <w:lang w:val="en-US" w:eastAsia="zh-CN" w:bidi="ar-SA"/>
    </w:rPr>
  </w:style>
  <w:style w:type="character" w:customStyle="1" w:styleId="419">
    <w:name w:val="Char Char4"/>
    <w:qFormat/>
    <w:uiPriority w:val="0"/>
    <w:rPr>
      <w:rFonts w:ascii="宋体" w:hAnsi="宋体" w:eastAsia="宋体" w:cs="宋体"/>
      <w:kern w:val="2"/>
      <w:sz w:val="24"/>
      <w:szCs w:val="24"/>
      <w:lang w:val="en-US" w:eastAsia="zh-CN" w:bidi="ar-SA"/>
    </w:rPr>
  </w:style>
  <w:style w:type="character" w:customStyle="1" w:styleId="420">
    <w:name w:val="样式35 Char Char"/>
    <w:link w:val="421"/>
    <w:qFormat/>
    <w:uiPriority w:val="0"/>
    <w:rPr>
      <w:color w:val="000000"/>
      <w:sz w:val="28"/>
      <w:szCs w:val="28"/>
    </w:rPr>
  </w:style>
  <w:style w:type="paragraph" w:customStyle="1" w:styleId="421">
    <w:name w:val="样式35"/>
    <w:basedOn w:val="1"/>
    <w:link w:val="420"/>
    <w:qFormat/>
    <w:uiPriority w:val="0"/>
    <w:pPr>
      <w:snapToGrid w:val="0"/>
      <w:spacing w:line="360" w:lineRule="auto"/>
      <w:ind w:firstLine="560" w:firstLineChars="200"/>
    </w:pPr>
    <w:rPr>
      <w:color w:val="000000"/>
      <w:kern w:val="0"/>
      <w:sz w:val="28"/>
      <w:szCs w:val="28"/>
    </w:rPr>
  </w:style>
  <w:style w:type="character" w:customStyle="1" w:styleId="422">
    <w:name w:val="bt21"/>
    <w:qFormat/>
    <w:uiPriority w:val="0"/>
    <w:rPr>
      <w:rFonts w:hint="eastAsia" w:ascii="黑体" w:eastAsia="黑体"/>
      <w:sz w:val="24"/>
      <w:szCs w:val="24"/>
    </w:rPr>
  </w:style>
  <w:style w:type="character" w:customStyle="1" w:styleId="423">
    <w:name w:val="表标题 Char"/>
    <w:link w:val="424"/>
    <w:qFormat/>
    <w:uiPriority w:val="0"/>
    <w:rPr>
      <w:b/>
      <w:bCs/>
      <w:kern w:val="2"/>
      <w:sz w:val="24"/>
      <w:szCs w:val="18"/>
    </w:rPr>
  </w:style>
  <w:style w:type="paragraph" w:customStyle="1" w:styleId="424">
    <w:name w:val="表标题"/>
    <w:basedOn w:val="82"/>
    <w:link w:val="423"/>
    <w:qFormat/>
    <w:uiPriority w:val="0"/>
    <w:pPr>
      <w:adjustRightInd w:val="0"/>
      <w:snapToGrid w:val="0"/>
      <w:spacing w:before="60" w:after="60" w:line="500" w:lineRule="exact"/>
      <w:ind w:firstLine="0" w:firstLineChars="0"/>
      <w:jc w:val="center"/>
    </w:pPr>
    <w:rPr>
      <w:b/>
      <w:bCs/>
      <w:sz w:val="24"/>
      <w:szCs w:val="18"/>
    </w:rPr>
  </w:style>
  <w:style w:type="character" w:customStyle="1" w:styleId="425">
    <w:name w:val="样式 标题 3H31.1.1标题 3条标题1.1.1h3level_3PIM 3Level 3 HeadHead... Char Char"/>
    <w:link w:val="426"/>
    <w:qFormat/>
    <w:uiPriority w:val="0"/>
    <w:rPr>
      <w:rFonts w:ascii="黑体" w:hAnsi="黑体" w:eastAsia="黑体"/>
      <w:sz w:val="28"/>
      <w:szCs w:val="32"/>
    </w:rPr>
  </w:style>
  <w:style w:type="paragraph" w:customStyle="1" w:styleId="426">
    <w:name w:val="样式 标题 3H31.1.1标题 3条标题1.1.1h3level_3PIM 3Level 3 HeadHead..."/>
    <w:basedOn w:val="7"/>
    <w:link w:val="425"/>
    <w:qFormat/>
    <w:uiPriority w:val="0"/>
    <w:pPr>
      <w:tabs>
        <w:tab w:val="left" w:pos="1260"/>
      </w:tabs>
      <w:spacing w:line="360" w:lineRule="auto"/>
      <w:ind w:left="1260" w:hanging="420"/>
    </w:pPr>
    <w:rPr>
      <w:rFonts w:ascii="黑体" w:hAnsi="黑体" w:eastAsia="黑体"/>
      <w:b w:val="0"/>
      <w:bCs w:val="0"/>
      <w:kern w:val="0"/>
      <w:sz w:val="28"/>
    </w:rPr>
  </w:style>
  <w:style w:type="character" w:customStyle="1" w:styleId="427">
    <w:name w:val="sovnn"/>
    <w:qFormat/>
    <w:uiPriority w:val="0"/>
  </w:style>
  <w:style w:type="character" w:customStyle="1" w:styleId="428">
    <w:name w:val="si16"/>
    <w:qFormat/>
    <w:uiPriority w:val="0"/>
  </w:style>
  <w:style w:type="character" w:customStyle="1" w:styleId="429">
    <w:name w:val="样式26 Char Char"/>
    <w:link w:val="430"/>
    <w:qFormat/>
    <w:uiPriority w:val="0"/>
    <w:rPr>
      <w:rFonts w:ascii="宋体" w:hAnsi="宋体"/>
      <w:color w:val="000000"/>
      <w:sz w:val="28"/>
      <w:szCs w:val="24"/>
    </w:rPr>
  </w:style>
  <w:style w:type="paragraph" w:customStyle="1" w:styleId="430">
    <w:name w:val="样式26"/>
    <w:basedOn w:val="1"/>
    <w:link w:val="429"/>
    <w:qFormat/>
    <w:uiPriority w:val="0"/>
    <w:pPr>
      <w:spacing w:line="520" w:lineRule="exact"/>
      <w:ind w:firstLine="560" w:firstLineChars="200"/>
      <w:jc w:val="left"/>
    </w:pPr>
    <w:rPr>
      <w:rFonts w:ascii="宋体" w:hAnsi="宋体"/>
      <w:color w:val="000000"/>
      <w:kern w:val="0"/>
      <w:sz w:val="28"/>
    </w:rPr>
  </w:style>
  <w:style w:type="character" w:customStyle="1" w:styleId="431">
    <w:name w:val="c"/>
    <w:qFormat/>
    <w:uiPriority w:val="0"/>
    <w:rPr>
      <w:rFonts w:ascii="宋体" w:hAnsi="宋体" w:eastAsia="宋体" w:cs="宋体"/>
      <w:kern w:val="2"/>
      <w:sz w:val="24"/>
      <w:szCs w:val="24"/>
      <w:lang w:val="en-US" w:eastAsia="zh-CN" w:bidi="ar-SA"/>
    </w:rPr>
  </w:style>
  <w:style w:type="character" w:customStyle="1" w:styleId="432">
    <w:name w:val="条标题1.1.1 Char1"/>
    <w:qFormat/>
    <w:uiPriority w:val="0"/>
    <w:rPr>
      <w:b/>
      <w:bCs/>
      <w:sz w:val="24"/>
      <w:szCs w:val="32"/>
    </w:rPr>
  </w:style>
  <w:style w:type="character" w:customStyle="1" w:styleId="433">
    <w:name w:val="正文四号ss Char Char"/>
    <w:link w:val="434"/>
    <w:qFormat/>
    <w:uiPriority w:val="0"/>
    <w:rPr>
      <w:rFonts w:ascii="宋体" w:hAnsi="宋体"/>
      <w:sz w:val="28"/>
      <w:szCs w:val="28"/>
    </w:rPr>
  </w:style>
  <w:style w:type="paragraph" w:customStyle="1" w:styleId="434">
    <w:name w:val="正文四号ss"/>
    <w:basedOn w:val="1"/>
    <w:next w:val="1"/>
    <w:link w:val="433"/>
    <w:qFormat/>
    <w:uiPriority w:val="0"/>
    <w:pPr>
      <w:spacing w:line="520" w:lineRule="exact"/>
      <w:ind w:firstLine="200" w:firstLineChars="200"/>
    </w:pPr>
    <w:rPr>
      <w:rFonts w:ascii="宋体" w:hAnsi="宋体"/>
      <w:kern w:val="0"/>
      <w:sz w:val="28"/>
      <w:szCs w:val="28"/>
    </w:rPr>
  </w:style>
  <w:style w:type="character" w:customStyle="1" w:styleId="435">
    <w:name w:val="scu4wkd"/>
    <w:qFormat/>
    <w:uiPriority w:val="0"/>
  </w:style>
  <w:style w:type="character" w:customStyle="1" w:styleId="436">
    <w:name w:val="申兴正文 Char Char"/>
    <w:link w:val="437"/>
    <w:qFormat/>
    <w:uiPriority w:val="0"/>
    <w:rPr>
      <w:sz w:val="24"/>
      <w:szCs w:val="24"/>
    </w:rPr>
  </w:style>
  <w:style w:type="paragraph" w:customStyle="1" w:styleId="437">
    <w:name w:val="申兴正文"/>
    <w:basedOn w:val="1"/>
    <w:link w:val="436"/>
    <w:qFormat/>
    <w:uiPriority w:val="0"/>
    <w:pPr>
      <w:spacing w:line="360" w:lineRule="auto"/>
      <w:ind w:firstLine="200" w:firstLineChars="200"/>
    </w:pPr>
    <w:rPr>
      <w:kern w:val="0"/>
      <w:sz w:val="24"/>
    </w:rPr>
  </w:style>
  <w:style w:type="character" w:customStyle="1" w:styleId="438">
    <w:name w:val="标题 7表内5号 Char1"/>
    <w:qFormat/>
    <w:uiPriority w:val="0"/>
    <w:rPr>
      <w:rFonts w:eastAsia="宋体"/>
      <w:b/>
      <w:bCs/>
      <w:sz w:val="24"/>
      <w:szCs w:val="24"/>
      <w:lang w:bidi="ar-SA"/>
    </w:rPr>
  </w:style>
  <w:style w:type="character" w:customStyle="1" w:styleId="439">
    <w:name w:val="satajq8"/>
    <w:qFormat/>
    <w:uiPriority w:val="0"/>
  </w:style>
  <w:style w:type="character" w:customStyle="1" w:styleId="440">
    <w:name w:val="样式 标题 4 + 行距: 1.5 倍行距 Char"/>
    <w:link w:val="441"/>
    <w:qFormat/>
    <w:uiPriority w:val="0"/>
    <w:rPr>
      <w:rFonts w:ascii="Cambria" w:hAnsi="Cambria" w:eastAsia="黑体" w:cs="宋体"/>
      <w:b/>
      <w:bCs/>
      <w:kern w:val="2"/>
      <w:sz w:val="24"/>
      <w:szCs w:val="28"/>
    </w:rPr>
  </w:style>
  <w:style w:type="paragraph" w:customStyle="1" w:styleId="441">
    <w:name w:val="样式 标题 4 + 行距: 1.5 倍行距"/>
    <w:basedOn w:val="8"/>
    <w:link w:val="440"/>
    <w:qFormat/>
    <w:uiPriority w:val="0"/>
    <w:pPr>
      <w:snapToGrid w:val="0"/>
      <w:spacing w:before="0" w:beforeLines="50" w:after="0" w:line="360" w:lineRule="auto"/>
      <w:ind w:left="2884" w:hanging="2884"/>
      <w:jc w:val="left"/>
    </w:pPr>
    <w:rPr>
      <w:rFonts w:eastAsia="黑体" w:cs="宋体"/>
      <w:sz w:val="24"/>
    </w:rPr>
  </w:style>
  <w:style w:type="character" w:customStyle="1" w:styleId="442">
    <w:name w:val="正文1 Char Char"/>
    <w:qFormat/>
    <w:uiPriority w:val="0"/>
    <w:rPr>
      <w:rFonts w:ascii="宋体" w:eastAsia="宋体"/>
      <w:snapToGrid/>
      <w:kern w:val="21"/>
      <w:position w:val="2"/>
      <w:sz w:val="24"/>
      <w:lang w:val="en-US" w:eastAsia="zh-CN" w:bidi="ar-SA"/>
    </w:rPr>
  </w:style>
  <w:style w:type="character" w:customStyle="1" w:styleId="443">
    <w:name w:val="正文缩进 Char1"/>
    <w:qFormat/>
    <w:uiPriority w:val="0"/>
    <w:rPr>
      <w:kern w:val="2"/>
      <w:sz w:val="21"/>
      <w:szCs w:val="24"/>
      <w:lang w:val="zh-CN" w:eastAsia="zh-CN"/>
    </w:rPr>
  </w:style>
  <w:style w:type="character" w:customStyle="1" w:styleId="444">
    <w:name w:val="正文01 Char Char"/>
    <w:link w:val="445"/>
    <w:qFormat/>
    <w:uiPriority w:val="0"/>
    <w:rPr>
      <w:rFonts w:ascii="Arial" w:hAnsi="Arial"/>
      <w:sz w:val="24"/>
    </w:rPr>
  </w:style>
  <w:style w:type="paragraph" w:customStyle="1" w:styleId="445">
    <w:name w:val="正文01"/>
    <w:basedOn w:val="1"/>
    <w:link w:val="444"/>
    <w:qFormat/>
    <w:uiPriority w:val="0"/>
    <w:pPr>
      <w:spacing w:before="60" w:line="460" w:lineRule="exact"/>
      <w:ind w:firstLine="200" w:firstLineChars="200"/>
    </w:pPr>
    <w:rPr>
      <w:rFonts w:ascii="Arial" w:hAnsi="Arial"/>
      <w:kern w:val="0"/>
      <w:sz w:val="24"/>
      <w:szCs w:val="20"/>
    </w:rPr>
  </w:style>
  <w:style w:type="character" w:customStyle="1" w:styleId="446">
    <w:name w:val="正文 Char Char"/>
    <w:qFormat/>
    <w:uiPriority w:val="0"/>
    <w:rPr>
      <w:rFonts w:ascii="仿宋_GB2312" w:hAnsi="宋体" w:eastAsia="仿宋_GB2312"/>
      <w:color w:val="000000"/>
      <w:kern w:val="2"/>
      <w:sz w:val="28"/>
      <w:szCs w:val="24"/>
      <w:lang w:val="en-US" w:eastAsia="zh-CN" w:bidi="ar-SA"/>
    </w:rPr>
  </w:style>
  <w:style w:type="character" w:customStyle="1" w:styleId="447">
    <w:name w:val="甲乙酮正文 Char Char Char"/>
    <w:qFormat/>
    <w:uiPriority w:val="0"/>
    <w:rPr>
      <w:rFonts w:ascii="Times New Roman" w:hAnsi="Times New Roman" w:eastAsia="宋体" w:cs="Times New Roman"/>
      <w:color w:val="000000"/>
      <w:sz w:val="24"/>
      <w:szCs w:val="24"/>
    </w:rPr>
  </w:style>
  <w:style w:type="character" w:customStyle="1" w:styleId="448">
    <w:name w:val="表格内容 Char Char Char"/>
    <w:qFormat/>
    <w:uiPriority w:val="0"/>
    <w:rPr>
      <w:rFonts w:ascii="Arial" w:hAnsi="Arial" w:eastAsia="仿宋_GB2312"/>
      <w:sz w:val="24"/>
      <w:lang w:val="en-US" w:eastAsia="zh-CN" w:bidi="ar-SA"/>
    </w:rPr>
  </w:style>
  <w:style w:type="character" w:customStyle="1" w:styleId="449">
    <w:name w:val="表格内文字 Char Char Char"/>
    <w:qFormat/>
    <w:uiPriority w:val="0"/>
    <w:rPr>
      <w:rFonts w:ascii="仿宋_GB2312" w:eastAsia="仿宋_GB2312"/>
      <w:kern w:val="2"/>
      <w:sz w:val="24"/>
      <w:szCs w:val="24"/>
      <w:lang w:val="en-US" w:eastAsia="zh-CN" w:bidi="ar-SA"/>
    </w:rPr>
  </w:style>
  <w:style w:type="character" w:customStyle="1" w:styleId="450">
    <w:name w:val="part"/>
    <w:qFormat/>
    <w:uiPriority w:val="0"/>
    <w:rPr>
      <w:rFonts w:ascii="宋体" w:hAnsi="宋体" w:eastAsia="宋体" w:cs="宋体"/>
      <w:kern w:val="2"/>
      <w:sz w:val="24"/>
      <w:szCs w:val="24"/>
      <w:lang w:val="en-US" w:eastAsia="zh-CN" w:bidi="ar-SA"/>
    </w:rPr>
  </w:style>
  <w:style w:type="character" w:customStyle="1" w:styleId="451">
    <w:name w:val="样式2 Char Char"/>
    <w:qFormat/>
    <w:uiPriority w:val="0"/>
    <w:rPr>
      <w:rFonts w:eastAsia="Times New Roman"/>
      <w:kern w:val="2"/>
      <w:sz w:val="24"/>
      <w:lang w:val="en-US" w:eastAsia="zh-CN" w:bidi="ar-SA"/>
    </w:rPr>
  </w:style>
  <w:style w:type="character" w:customStyle="1" w:styleId="452">
    <w:name w:val="td21"/>
    <w:qFormat/>
    <w:uiPriority w:val="0"/>
    <w:rPr>
      <w:sz w:val="21"/>
      <w:szCs w:val="21"/>
      <w:u w:val="none"/>
    </w:rPr>
  </w:style>
  <w:style w:type="character" w:customStyle="1" w:styleId="453">
    <w:name w:val="highlight1"/>
    <w:qFormat/>
    <w:uiPriority w:val="0"/>
    <w:rPr>
      <w:sz w:val="21"/>
    </w:rPr>
  </w:style>
  <w:style w:type="character" w:customStyle="1" w:styleId="454">
    <w:name w:val="宋体4 Char Char"/>
    <w:link w:val="455"/>
    <w:qFormat/>
    <w:uiPriority w:val="0"/>
    <w:rPr>
      <w:sz w:val="28"/>
      <w:szCs w:val="48"/>
    </w:rPr>
  </w:style>
  <w:style w:type="paragraph" w:customStyle="1" w:styleId="455">
    <w:name w:val="宋体4"/>
    <w:basedOn w:val="1"/>
    <w:link w:val="454"/>
    <w:qFormat/>
    <w:uiPriority w:val="0"/>
    <w:pPr>
      <w:spacing w:line="360" w:lineRule="auto"/>
      <w:ind w:firstLine="200" w:firstLineChars="200"/>
    </w:pPr>
    <w:rPr>
      <w:kern w:val="0"/>
      <w:sz w:val="28"/>
      <w:szCs w:val="48"/>
    </w:rPr>
  </w:style>
  <w:style w:type="character" w:customStyle="1" w:styleId="456">
    <w:name w:val="indetail1"/>
    <w:qFormat/>
    <w:uiPriority w:val="0"/>
    <w:rPr>
      <w:sz w:val="18"/>
      <w:szCs w:val="18"/>
      <w:bdr w:val="single" w:color="E2E2E2" w:sz="6" w:space="0"/>
    </w:rPr>
  </w:style>
  <w:style w:type="character" w:customStyle="1" w:styleId="457">
    <w:name w:val="专用字体 Char Char"/>
    <w:link w:val="458"/>
    <w:qFormat/>
    <w:uiPriority w:val="0"/>
    <w:rPr>
      <w:bCs/>
      <w:sz w:val="24"/>
      <w:szCs w:val="24"/>
    </w:rPr>
  </w:style>
  <w:style w:type="paragraph" w:customStyle="1" w:styleId="458">
    <w:name w:val="专用字体"/>
    <w:basedOn w:val="1"/>
    <w:link w:val="457"/>
    <w:qFormat/>
    <w:uiPriority w:val="0"/>
    <w:pPr>
      <w:spacing w:line="360" w:lineRule="auto"/>
      <w:ind w:firstLine="200" w:firstLineChars="200"/>
    </w:pPr>
    <w:rPr>
      <w:bCs/>
      <w:kern w:val="0"/>
      <w:sz w:val="24"/>
    </w:rPr>
  </w:style>
  <w:style w:type="character" w:customStyle="1" w:styleId="459">
    <w:name w:val="甲乙酮标题3 Char Char"/>
    <w:link w:val="460"/>
    <w:qFormat/>
    <w:uiPriority w:val="0"/>
    <w:rPr>
      <w:b/>
      <w:bCs/>
      <w:sz w:val="32"/>
      <w:szCs w:val="32"/>
    </w:rPr>
  </w:style>
  <w:style w:type="paragraph" w:customStyle="1" w:styleId="460">
    <w:name w:val="甲乙酮标题3"/>
    <w:basedOn w:val="7"/>
    <w:link w:val="459"/>
    <w:qFormat/>
    <w:uiPriority w:val="0"/>
    <w:pPr>
      <w:tabs>
        <w:tab w:val="left" w:pos="1260"/>
      </w:tabs>
      <w:spacing w:before="100" w:after="100" w:line="360" w:lineRule="auto"/>
      <w:ind w:left="1260" w:hanging="420"/>
    </w:pPr>
    <w:rPr>
      <w:kern w:val="0"/>
    </w:rPr>
  </w:style>
  <w:style w:type="character" w:customStyle="1" w:styleId="461">
    <w:name w:val="Char Char Char1"/>
    <w:qFormat/>
    <w:uiPriority w:val="0"/>
    <w:rPr>
      <w:rFonts w:ascii="宋体" w:hAnsi="Courier New" w:eastAsia="宋体" w:cs="Courier New"/>
      <w:kern w:val="2"/>
      <w:sz w:val="21"/>
      <w:szCs w:val="21"/>
      <w:lang w:val="en-US" w:eastAsia="zh-CN" w:bidi="ar-SA"/>
    </w:rPr>
  </w:style>
  <w:style w:type="character" w:customStyle="1" w:styleId="462">
    <w:name w:val="表格填充1 Char Char"/>
    <w:qFormat/>
    <w:uiPriority w:val="0"/>
    <w:rPr>
      <w:rFonts w:eastAsia="宋体"/>
      <w:szCs w:val="18"/>
      <w:lang w:bidi="ar-SA"/>
    </w:rPr>
  </w:style>
  <w:style w:type="character" w:customStyle="1" w:styleId="463">
    <w:name w:val="表格文字1 Char Char"/>
    <w:link w:val="464"/>
    <w:qFormat/>
    <w:uiPriority w:val="0"/>
    <w:rPr>
      <w:bCs/>
      <w:color w:val="000000"/>
      <w:szCs w:val="21"/>
    </w:rPr>
  </w:style>
  <w:style w:type="paragraph" w:customStyle="1" w:styleId="464">
    <w:name w:val="表格文字1"/>
    <w:basedOn w:val="178"/>
    <w:link w:val="463"/>
    <w:qFormat/>
    <w:uiPriority w:val="0"/>
    <w:rPr>
      <w:rFonts w:eastAsia="宋体"/>
      <w:bCs/>
      <w:color w:val="000000"/>
      <w:kern w:val="0"/>
      <w:sz w:val="20"/>
    </w:rPr>
  </w:style>
  <w:style w:type="character" w:customStyle="1" w:styleId="465">
    <w:name w:val="标题1.1.1.1.1.1 Char1"/>
    <w:qFormat/>
    <w:uiPriority w:val="0"/>
    <w:rPr>
      <w:rFonts w:ascii="Arial" w:hAnsi="Arial" w:eastAsia="黑体"/>
      <w:b/>
      <w:bCs/>
      <w:sz w:val="24"/>
      <w:szCs w:val="24"/>
      <w:lang w:bidi="ar-SA"/>
    </w:rPr>
  </w:style>
  <w:style w:type="character" w:customStyle="1" w:styleId="466">
    <w:name w:val="s1"/>
    <w:qFormat/>
    <w:uiPriority w:val="0"/>
    <w:rPr>
      <w:sz w:val="18"/>
      <w:szCs w:val="18"/>
    </w:rPr>
  </w:style>
  <w:style w:type="character" w:customStyle="1" w:styleId="467">
    <w:name w:val="正文5号 Char Char1"/>
    <w:qFormat/>
    <w:uiPriority w:val="0"/>
    <w:rPr>
      <w:sz w:val="24"/>
      <w:lang w:bidi="ar-SA"/>
    </w:rPr>
  </w:style>
  <w:style w:type="character" w:customStyle="1" w:styleId="468">
    <w:name w:val="what"/>
    <w:qFormat/>
    <w:uiPriority w:val="0"/>
    <w:rPr>
      <w:rFonts w:eastAsia="宋体"/>
      <w:kern w:val="2"/>
      <w:sz w:val="24"/>
      <w:szCs w:val="24"/>
      <w:lang w:val="en-US" w:eastAsia="zh-CN" w:bidi="ar-SA"/>
    </w:rPr>
  </w:style>
  <w:style w:type="character" w:customStyle="1" w:styleId="469">
    <w:name w:val="报告正文1 Char Char"/>
    <w:link w:val="470"/>
    <w:qFormat/>
    <w:uiPriority w:val="0"/>
    <w:rPr>
      <w:color w:val="000000"/>
      <w:sz w:val="24"/>
      <w:szCs w:val="24"/>
    </w:rPr>
  </w:style>
  <w:style w:type="paragraph" w:customStyle="1" w:styleId="470">
    <w:name w:val="报告正文1"/>
    <w:basedOn w:val="2"/>
    <w:link w:val="469"/>
    <w:qFormat/>
    <w:uiPriority w:val="0"/>
    <w:pPr>
      <w:spacing w:line="360" w:lineRule="auto"/>
      <w:ind w:firstLine="200"/>
    </w:pPr>
    <w:rPr>
      <w:color w:val="000000"/>
      <w:kern w:val="0"/>
      <w:sz w:val="24"/>
    </w:rPr>
  </w:style>
  <w:style w:type="character" w:customStyle="1" w:styleId="471">
    <w:name w:val="b1 Char2"/>
    <w:qFormat/>
    <w:uiPriority w:val="0"/>
    <w:rPr>
      <w:rFonts w:ascii="Calibri" w:hAnsi="Calibri"/>
      <w:b/>
      <w:bCs/>
      <w:kern w:val="44"/>
      <w:sz w:val="44"/>
      <w:szCs w:val="44"/>
    </w:rPr>
  </w:style>
  <w:style w:type="character" w:customStyle="1" w:styleId="472">
    <w:name w:val="nine-11"/>
    <w:qFormat/>
    <w:uiPriority w:val="0"/>
    <w:rPr>
      <w:rFonts w:hint="default"/>
      <w:sz w:val="18"/>
      <w:szCs w:val="18"/>
    </w:rPr>
  </w:style>
  <w:style w:type="character" w:customStyle="1" w:styleId="473">
    <w:name w:val="sf6tjlp"/>
    <w:qFormat/>
    <w:uiPriority w:val="0"/>
  </w:style>
  <w:style w:type="character" w:customStyle="1" w:styleId="474">
    <w:name w:val="兴武正文 Char Char"/>
    <w:link w:val="475"/>
    <w:qFormat/>
    <w:uiPriority w:val="0"/>
    <w:rPr>
      <w:sz w:val="24"/>
    </w:rPr>
  </w:style>
  <w:style w:type="paragraph" w:customStyle="1" w:styleId="475">
    <w:name w:val="兴武正文"/>
    <w:basedOn w:val="1"/>
    <w:link w:val="474"/>
    <w:qFormat/>
    <w:uiPriority w:val="0"/>
    <w:pPr>
      <w:spacing w:line="480" w:lineRule="exact"/>
      <w:ind w:firstLine="200" w:firstLineChars="200"/>
    </w:pPr>
    <w:rPr>
      <w:kern w:val="0"/>
      <w:sz w:val="24"/>
      <w:szCs w:val="20"/>
    </w:rPr>
  </w:style>
  <w:style w:type="character" w:customStyle="1" w:styleId="476">
    <w:name w:val="a11"/>
    <w:qFormat/>
    <w:uiPriority w:val="0"/>
  </w:style>
  <w:style w:type="character" w:customStyle="1" w:styleId="477">
    <w:name w:val="main-1"/>
    <w:qFormat/>
    <w:uiPriority w:val="0"/>
  </w:style>
  <w:style w:type="character" w:customStyle="1" w:styleId="478">
    <w:name w:val="s4y5"/>
    <w:qFormat/>
    <w:uiPriority w:val="0"/>
  </w:style>
  <w:style w:type="character" w:customStyle="1" w:styleId="479">
    <w:name w:val="lh131"/>
    <w:qFormat/>
    <w:uiPriority w:val="0"/>
  </w:style>
  <w:style w:type="character" w:customStyle="1" w:styleId="480">
    <w:name w:val="Char Char27"/>
    <w:qFormat/>
    <w:uiPriority w:val="0"/>
    <w:rPr>
      <w:kern w:val="2"/>
      <w:sz w:val="24"/>
      <w:szCs w:val="21"/>
      <w:lang w:bidi="ar-SA"/>
    </w:rPr>
  </w:style>
  <w:style w:type="character" w:customStyle="1" w:styleId="481">
    <w:name w:val="shekj8m"/>
    <w:qFormat/>
    <w:uiPriority w:val="0"/>
  </w:style>
  <w:style w:type="character" w:customStyle="1" w:styleId="482">
    <w:name w:val="正文样式 Char Char Char Char Char Char Char"/>
    <w:link w:val="483"/>
    <w:qFormat/>
    <w:uiPriority w:val="0"/>
    <w:rPr>
      <w:rFonts w:ascii="宋体" w:hAnsi="宋体"/>
      <w:color w:val="000000"/>
      <w:sz w:val="24"/>
      <w:szCs w:val="24"/>
    </w:rPr>
  </w:style>
  <w:style w:type="paragraph" w:customStyle="1" w:styleId="483">
    <w:name w:val="正文样式 Char Char Char Char Char"/>
    <w:basedOn w:val="1"/>
    <w:link w:val="482"/>
    <w:qFormat/>
    <w:uiPriority w:val="0"/>
    <w:pPr>
      <w:spacing w:line="360" w:lineRule="auto"/>
      <w:ind w:firstLine="480" w:firstLineChars="200"/>
    </w:pPr>
    <w:rPr>
      <w:rFonts w:ascii="宋体" w:hAnsi="宋体"/>
      <w:color w:val="000000"/>
      <w:kern w:val="0"/>
      <w:sz w:val="24"/>
    </w:rPr>
  </w:style>
  <w:style w:type="character" w:customStyle="1" w:styleId="484">
    <w:name w:val="样式14 Char Char"/>
    <w:link w:val="485"/>
    <w:qFormat/>
    <w:uiPriority w:val="0"/>
    <w:rPr>
      <w:rFonts w:ascii="仿宋_GB2312" w:hAnsi="宋体" w:eastAsia="仿宋_GB2312"/>
      <w:bCs/>
      <w:sz w:val="24"/>
    </w:rPr>
  </w:style>
  <w:style w:type="paragraph" w:customStyle="1" w:styleId="485">
    <w:name w:val="样式14"/>
    <w:basedOn w:val="486"/>
    <w:link w:val="484"/>
    <w:qFormat/>
    <w:uiPriority w:val="0"/>
    <w:pPr>
      <w:adjustRightInd w:val="0"/>
      <w:spacing w:line="240" w:lineRule="auto"/>
      <w:textAlignment w:val="baseline"/>
    </w:pPr>
    <w:rPr>
      <w:rFonts w:ascii="仿宋_GB2312" w:eastAsia="仿宋_GB2312"/>
      <w:bCs/>
      <w:kern w:val="0"/>
      <w:sz w:val="24"/>
      <w:szCs w:val="20"/>
    </w:rPr>
  </w:style>
  <w:style w:type="paragraph" w:customStyle="1" w:styleId="486">
    <w:name w:val="图表文字"/>
    <w:basedOn w:val="1"/>
    <w:qFormat/>
    <w:uiPriority w:val="0"/>
    <w:pPr>
      <w:spacing w:line="320" w:lineRule="exact"/>
      <w:jc w:val="center"/>
    </w:pPr>
    <w:rPr>
      <w:rFonts w:ascii="宋体" w:hAnsi="宋体"/>
    </w:rPr>
  </w:style>
  <w:style w:type="character" w:customStyle="1" w:styleId="487">
    <w:name w:val="s9n1k0c"/>
    <w:qFormat/>
    <w:uiPriority w:val="0"/>
  </w:style>
  <w:style w:type="character" w:customStyle="1" w:styleId="488">
    <w:name w:val="Char Char5"/>
    <w:qFormat/>
    <w:uiPriority w:val="0"/>
    <w:rPr>
      <w:rFonts w:ascii="宋体" w:hAnsi="宋体" w:eastAsia="宋体"/>
      <w:kern w:val="2"/>
      <w:sz w:val="21"/>
      <w:szCs w:val="24"/>
      <w:lang w:val="en-US" w:eastAsia="zh-CN" w:bidi="ar-SA"/>
    </w:rPr>
  </w:style>
  <w:style w:type="character" w:customStyle="1" w:styleId="489">
    <w:name w:val="正文2 Char Char"/>
    <w:link w:val="490"/>
    <w:qFormat/>
    <w:uiPriority w:val="0"/>
    <w:rPr>
      <w:bCs/>
      <w:sz w:val="24"/>
      <w:szCs w:val="44"/>
    </w:rPr>
  </w:style>
  <w:style w:type="paragraph" w:customStyle="1" w:styleId="490">
    <w:name w:val="正文21"/>
    <w:basedOn w:val="1"/>
    <w:link w:val="489"/>
    <w:qFormat/>
    <w:uiPriority w:val="0"/>
    <w:pPr>
      <w:adjustRightInd w:val="0"/>
      <w:spacing w:line="360" w:lineRule="auto"/>
      <w:ind w:firstLine="200" w:firstLineChars="200"/>
    </w:pPr>
    <w:rPr>
      <w:bCs/>
      <w:kern w:val="0"/>
      <w:sz w:val="24"/>
      <w:szCs w:val="44"/>
    </w:rPr>
  </w:style>
  <w:style w:type="character" w:customStyle="1" w:styleId="491">
    <w:name w:val="title31"/>
    <w:qFormat/>
    <w:uiPriority w:val="0"/>
  </w:style>
  <w:style w:type="character" w:customStyle="1" w:styleId="492">
    <w:name w:val="sfmq"/>
    <w:qFormat/>
    <w:uiPriority w:val="0"/>
  </w:style>
  <w:style w:type="character" w:customStyle="1" w:styleId="493">
    <w:name w:val="f121"/>
    <w:qFormat/>
    <w:uiPriority w:val="0"/>
    <w:rPr>
      <w:sz w:val="18"/>
      <w:szCs w:val="18"/>
      <w:u w:val="none"/>
    </w:rPr>
  </w:style>
  <w:style w:type="character" w:customStyle="1" w:styleId="494">
    <w:name w:val="sxwt2u"/>
    <w:qFormat/>
    <w:uiPriority w:val="0"/>
  </w:style>
  <w:style w:type="character" w:customStyle="1" w:styleId="495">
    <w:name w:val="style191"/>
    <w:qFormat/>
    <w:uiPriority w:val="0"/>
    <w:rPr>
      <w:b/>
      <w:bCs/>
      <w:color w:val="FF0000"/>
    </w:rPr>
  </w:style>
  <w:style w:type="character" w:customStyle="1" w:styleId="496">
    <w:name w:val="sv1hyw"/>
    <w:qFormat/>
    <w:uiPriority w:val="0"/>
  </w:style>
  <w:style w:type="character" w:customStyle="1" w:styleId="497">
    <w:name w:val="td1"/>
    <w:qFormat/>
    <w:uiPriority w:val="0"/>
    <w:rPr>
      <w:color w:val="000000"/>
      <w:sz w:val="21"/>
      <w:szCs w:val="21"/>
    </w:rPr>
  </w:style>
  <w:style w:type="character" w:customStyle="1" w:styleId="498">
    <w:name w:val="样式82 Char Char"/>
    <w:link w:val="499"/>
    <w:qFormat/>
    <w:uiPriority w:val="0"/>
    <w:rPr>
      <w:rFonts w:ascii="宋体" w:hAnsi="宋体"/>
      <w:sz w:val="28"/>
      <w:szCs w:val="28"/>
    </w:rPr>
  </w:style>
  <w:style w:type="paragraph" w:customStyle="1" w:styleId="499">
    <w:name w:val="样式82"/>
    <w:basedOn w:val="1"/>
    <w:link w:val="498"/>
    <w:qFormat/>
    <w:uiPriority w:val="0"/>
    <w:pPr>
      <w:spacing w:line="360" w:lineRule="auto"/>
      <w:ind w:firstLine="560" w:firstLineChars="200"/>
    </w:pPr>
    <w:rPr>
      <w:rFonts w:ascii="宋体" w:hAnsi="宋体"/>
      <w:kern w:val="0"/>
      <w:sz w:val="28"/>
      <w:szCs w:val="28"/>
    </w:rPr>
  </w:style>
  <w:style w:type="character" w:customStyle="1" w:styleId="500">
    <w:name w:val="s lh15"/>
    <w:qFormat/>
    <w:uiPriority w:val="0"/>
  </w:style>
  <w:style w:type="character" w:customStyle="1" w:styleId="501">
    <w:name w:val="s8xye"/>
    <w:qFormat/>
    <w:uiPriority w:val="0"/>
  </w:style>
  <w:style w:type="character" w:customStyle="1" w:styleId="502">
    <w:name w:val="style61"/>
    <w:qFormat/>
    <w:uiPriority w:val="0"/>
    <w:rPr>
      <w:sz w:val="45"/>
      <w:szCs w:val="45"/>
    </w:rPr>
  </w:style>
  <w:style w:type="character" w:customStyle="1" w:styleId="503">
    <w:name w:val="表格001 Char Char"/>
    <w:link w:val="504"/>
    <w:qFormat/>
    <w:uiPriority w:val="0"/>
  </w:style>
  <w:style w:type="paragraph" w:customStyle="1" w:styleId="504">
    <w:name w:val="表格001"/>
    <w:basedOn w:val="1"/>
    <w:link w:val="503"/>
    <w:qFormat/>
    <w:uiPriority w:val="0"/>
    <w:pPr>
      <w:jc w:val="center"/>
    </w:pPr>
    <w:rPr>
      <w:kern w:val="0"/>
      <w:sz w:val="20"/>
      <w:szCs w:val="20"/>
    </w:rPr>
  </w:style>
  <w:style w:type="character" w:customStyle="1" w:styleId="505">
    <w:name w:val="style421"/>
    <w:qFormat/>
    <w:uiPriority w:val="0"/>
    <w:rPr>
      <w:color w:val="287D3C"/>
      <w:sz w:val="21"/>
      <w:szCs w:val="21"/>
    </w:rPr>
  </w:style>
  <w:style w:type="character" w:customStyle="1" w:styleId="506">
    <w:name w:val="高表单 Char Char"/>
    <w:qFormat/>
    <w:uiPriority w:val="0"/>
    <w:rPr>
      <w:rFonts w:ascii="Arial" w:hAnsi="Arial" w:eastAsia="宋体"/>
      <w:kern w:val="2"/>
      <w:sz w:val="21"/>
      <w:szCs w:val="21"/>
      <w:lang w:val="en-US" w:eastAsia="zh-CN" w:bidi="ar-SA"/>
    </w:rPr>
  </w:style>
  <w:style w:type="character" w:customStyle="1" w:styleId="507">
    <w:name w:val="soqzabs"/>
    <w:qFormat/>
    <w:uiPriority w:val="0"/>
  </w:style>
  <w:style w:type="character" w:customStyle="1" w:styleId="508">
    <w:name w:val="pccs1"/>
    <w:qFormat/>
    <w:uiPriority w:val="0"/>
    <w:rPr>
      <w:sz w:val="18"/>
      <w:szCs w:val="18"/>
    </w:rPr>
  </w:style>
  <w:style w:type="character" w:customStyle="1" w:styleId="509">
    <w:name w:val="s9zsb3q"/>
    <w:qFormat/>
    <w:uiPriority w:val="0"/>
  </w:style>
  <w:style w:type="character" w:customStyle="1" w:styleId="510">
    <w:name w:val="unnamed91"/>
    <w:qFormat/>
    <w:uiPriority w:val="0"/>
    <w:rPr>
      <w:rFonts w:hint="eastAsia" w:ascii="宋体" w:hAnsi="宋体" w:eastAsia="宋体"/>
      <w:color w:val="000000"/>
      <w:sz w:val="18"/>
      <w:szCs w:val="18"/>
      <w:u w:val="none"/>
    </w:rPr>
  </w:style>
  <w:style w:type="character" w:customStyle="1" w:styleId="511">
    <w:name w:val="sj4lab"/>
    <w:qFormat/>
    <w:uiPriority w:val="0"/>
  </w:style>
  <w:style w:type="character" w:customStyle="1" w:styleId="512">
    <w:name w:val="ttitle1"/>
    <w:qFormat/>
    <w:uiPriority w:val="0"/>
    <w:rPr>
      <w:spacing w:val="120"/>
      <w:sz w:val="21"/>
      <w:szCs w:val="21"/>
    </w:rPr>
  </w:style>
  <w:style w:type="character" w:customStyle="1" w:styleId="513">
    <w:name w:val="style21"/>
    <w:qFormat/>
    <w:uiPriority w:val="0"/>
    <w:rPr>
      <w:color w:val="00007F"/>
    </w:rPr>
  </w:style>
  <w:style w:type="character" w:customStyle="1" w:styleId="514">
    <w:name w:val="sdi8io"/>
    <w:qFormat/>
    <w:uiPriority w:val="0"/>
  </w:style>
  <w:style w:type="character" w:customStyle="1" w:styleId="515">
    <w:name w:val="正文缩进 Cha Char"/>
    <w:qFormat/>
    <w:uiPriority w:val="0"/>
    <w:rPr>
      <w:rFonts w:eastAsia="宋体"/>
      <w:kern w:val="2"/>
      <w:sz w:val="28"/>
      <w:szCs w:val="24"/>
      <w:lang w:val="en-US" w:eastAsia="zh-CN" w:bidi="ar-SA"/>
    </w:rPr>
  </w:style>
  <w:style w:type="character" w:customStyle="1" w:styleId="516">
    <w:name w:val="表文字 Char Char"/>
    <w:link w:val="517"/>
    <w:qFormat/>
    <w:uiPriority w:val="0"/>
    <w:rPr>
      <w:sz w:val="24"/>
    </w:rPr>
  </w:style>
  <w:style w:type="paragraph" w:customStyle="1" w:styleId="517">
    <w:name w:val="表文字"/>
    <w:basedOn w:val="1"/>
    <w:link w:val="516"/>
    <w:qFormat/>
    <w:uiPriority w:val="0"/>
    <w:pPr>
      <w:overflowPunct w:val="0"/>
      <w:autoSpaceDE w:val="0"/>
      <w:autoSpaceDN w:val="0"/>
      <w:adjustRightInd w:val="0"/>
      <w:spacing w:line="240" w:lineRule="atLeast"/>
      <w:jc w:val="center"/>
      <w:textAlignment w:val="baseline"/>
    </w:pPr>
    <w:rPr>
      <w:kern w:val="0"/>
      <w:sz w:val="24"/>
      <w:szCs w:val="20"/>
    </w:rPr>
  </w:style>
  <w:style w:type="character" w:customStyle="1" w:styleId="518">
    <w:name w:val="soa7bda"/>
    <w:qFormat/>
    <w:uiPriority w:val="0"/>
  </w:style>
  <w:style w:type="character" w:customStyle="1" w:styleId="519">
    <w:name w:val="sxuoj4"/>
    <w:qFormat/>
    <w:uiPriority w:val="0"/>
  </w:style>
  <w:style w:type="character" w:customStyle="1" w:styleId="520">
    <w:name w:val="报告 Char Char"/>
    <w:qFormat/>
    <w:uiPriority w:val="0"/>
    <w:rPr>
      <w:sz w:val="24"/>
      <w:lang w:bidi="ar-SA"/>
    </w:rPr>
  </w:style>
  <w:style w:type="character" w:customStyle="1" w:styleId="521">
    <w:name w:val="标题 21"/>
    <w:qFormat/>
    <w:uiPriority w:val="0"/>
    <w:rPr>
      <w:rFonts w:ascii="黑体" w:hAnsi="Arial" w:eastAsia="黑体"/>
      <w:kern w:val="2"/>
      <w:sz w:val="36"/>
      <w:szCs w:val="32"/>
      <w:lang w:val="en-US" w:eastAsia="zh-CN" w:bidi="ar-SA"/>
    </w:rPr>
  </w:style>
  <w:style w:type="character" w:customStyle="1" w:styleId="522">
    <w:name w:val="样式21 Char Char"/>
    <w:link w:val="523"/>
    <w:qFormat/>
    <w:uiPriority w:val="0"/>
    <w:rPr>
      <w:rFonts w:ascii="宋体" w:hAnsi="宋体"/>
      <w:b/>
      <w:bCs/>
      <w:color w:val="000000"/>
      <w:sz w:val="28"/>
      <w:szCs w:val="28"/>
      <w:lang w:val="zh-CN"/>
    </w:rPr>
  </w:style>
  <w:style w:type="paragraph" w:customStyle="1" w:styleId="523">
    <w:name w:val="样式21"/>
    <w:basedOn w:val="283"/>
    <w:link w:val="522"/>
    <w:qFormat/>
    <w:uiPriority w:val="0"/>
    <w:pPr>
      <w:spacing w:beforeLines="0" w:afterLines="0" w:line="480" w:lineRule="auto"/>
      <w:ind w:firstLine="3500" w:firstLineChars="1250"/>
      <w:jc w:val="both"/>
      <w:outlineLvl w:val="9"/>
    </w:pPr>
    <w:rPr>
      <w:rFonts w:ascii="宋体" w:hAnsi="宋体" w:eastAsia="宋体"/>
      <w:sz w:val="28"/>
      <w:szCs w:val="28"/>
      <w:lang w:val="zh-CN"/>
    </w:rPr>
  </w:style>
  <w:style w:type="character" w:customStyle="1" w:styleId="524">
    <w:name w:val="zjgblk1"/>
    <w:qFormat/>
    <w:uiPriority w:val="0"/>
    <w:rPr>
      <w:rFonts w:hint="default"/>
      <w:color w:val="000000"/>
      <w:sz w:val="18"/>
      <w:szCs w:val="18"/>
      <w:u w:val="none"/>
    </w:rPr>
  </w:style>
  <w:style w:type="character" w:customStyle="1" w:styleId="525">
    <w:name w:val="sub42"/>
    <w:qFormat/>
    <w:uiPriority w:val="0"/>
  </w:style>
  <w:style w:type="character" w:customStyle="1" w:styleId="526">
    <w:name w:val="smuvt"/>
    <w:qFormat/>
    <w:uiPriority w:val="0"/>
  </w:style>
  <w:style w:type="character" w:customStyle="1" w:styleId="527">
    <w:name w:val="sgiivq"/>
    <w:qFormat/>
    <w:uiPriority w:val="0"/>
  </w:style>
  <w:style w:type="character" w:customStyle="1" w:styleId="528">
    <w:name w:val="标题 12"/>
    <w:qFormat/>
    <w:uiPriority w:val="0"/>
    <w:rPr>
      <w:rFonts w:ascii="黑体" w:eastAsia="黑体"/>
      <w:kern w:val="44"/>
      <w:sz w:val="44"/>
      <w:lang w:val="en-US" w:eastAsia="zh-CN" w:bidi="ar-SA"/>
    </w:rPr>
  </w:style>
  <w:style w:type="character" w:customStyle="1" w:styleId="529">
    <w:name w:val="nava61"/>
    <w:qFormat/>
    <w:uiPriority w:val="0"/>
    <w:rPr>
      <w:color w:val="000000"/>
      <w:sz w:val="21"/>
      <w:szCs w:val="21"/>
      <w:u w:val="none"/>
    </w:rPr>
  </w:style>
  <w:style w:type="character" w:customStyle="1" w:styleId="530">
    <w:name w:val="Char Char Char11"/>
    <w:qFormat/>
    <w:uiPriority w:val="0"/>
    <w:rPr>
      <w:rFonts w:eastAsia="宋体"/>
      <w:kern w:val="2"/>
      <w:sz w:val="21"/>
      <w:szCs w:val="24"/>
      <w:lang w:val="en-US" w:eastAsia="zh-CN" w:bidi="ar-SA"/>
    </w:rPr>
  </w:style>
  <w:style w:type="character" w:customStyle="1" w:styleId="531">
    <w:name w:val="sc2f7tt"/>
    <w:qFormat/>
    <w:uiPriority w:val="0"/>
  </w:style>
  <w:style w:type="character" w:customStyle="1" w:styleId="532">
    <w:name w:val="oblog_text"/>
    <w:qFormat/>
    <w:uiPriority w:val="0"/>
  </w:style>
  <w:style w:type="character" w:customStyle="1" w:styleId="533">
    <w:name w:val="xiaozhiti1"/>
    <w:qFormat/>
    <w:uiPriority w:val="0"/>
    <w:rPr>
      <w:sz w:val="18"/>
      <w:szCs w:val="18"/>
    </w:rPr>
  </w:style>
  <w:style w:type="character" w:customStyle="1" w:styleId="534">
    <w:name w:val="标题 Char1"/>
    <w:qFormat/>
    <w:uiPriority w:val="0"/>
    <w:rPr>
      <w:rFonts w:ascii="Arial" w:hAnsi="Arial" w:eastAsia="黑体" w:cs="Arial"/>
      <w:b/>
      <w:bCs/>
      <w:kern w:val="2"/>
      <w:sz w:val="32"/>
      <w:szCs w:val="32"/>
      <w:lang w:val="en-US" w:eastAsia="zh-CN" w:bidi="ar-SA"/>
    </w:rPr>
  </w:style>
  <w:style w:type="character" w:customStyle="1" w:styleId="535">
    <w:name w:val="sub_title1"/>
    <w:qFormat/>
    <w:uiPriority w:val="0"/>
    <w:rPr>
      <w:rFonts w:hint="default"/>
      <w:color w:val="FF6600"/>
      <w:sz w:val="21"/>
      <w:szCs w:val="21"/>
    </w:rPr>
  </w:style>
  <w:style w:type="character" w:customStyle="1" w:styleId="536">
    <w:name w:val="s6lx"/>
    <w:qFormat/>
    <w:uiPriority w:val="0"/>
  </w:style>
  <w:style w:type="character" w:customStyle="1" w:styleId="537">
    <w:name w:val="sy7t"/>
    <w:qFormat/>
    <w:uiPriority w:val="0"/>
  </w:style>
  <w:style w:type="character" w:customStyle="1" w:styleId="538">
    <w:name w:val="样式78 Char Char"/>
    <w:link w:val="539"/>
    <w:qFormat/>
    <w:uiPriority w:val="0"/>
    <w:rPr>
      <w:rFonts w:ascii="黑体" w:eastAsia="黑体"/>
      <w:b/>
      <w:kern w:val="44"/>
      <w:sz w:val="32"/>
    </w:rPr>
  </w:style>
  <w:style w:type="paragraph" w:customStyle="1" w:styleId="539">
    <w:name w:val="样式78"/>
    <w:basedOn w:val="1"/>
    <w:link w:val="538"/>
    <w:qFormat/>
    <w:uiPriority w:val="0"/>
    <w:pPr>
      <w:keepNext/>
      <w:keepLines/>
      <w:spacing w:before="290" w:after="290" w:line="360" w:lineRule="auto"/>
      <w:jc w:val="center"/>
      <w:outlineLvl w:val="0"/>
    </w:pPr>
    <w:rPr>
      <w:rFonts w:ascii="黑体" w:eastAsia="黑体"/>
      <w:b/>
      <w:kern w:val="44"/>
      <w:sz w:val="32"/>
      <w:szCs w:val="20"/>
    </w:rPr>
  </w:style>
  <w:style w:type="character" w:customStyle="1" w:styleId="540">
    <w:name w:val="样式45 Char Char"/>
    <w:link w:val="541"/>
    <w:qFormat/>
    <w:uiPriority w:val="0"/>
    <w:rPr>
      <w:rFonts w:ascii="宋体" w:hAnsi="宋体"/>
      <w:color w:val="000000"/>
      <w:sz w:val="28"/>
      <w:szCs w:val="28"/>
    </w:rPr>
  </w:style>
  <w:style w:type="paragraph" w:customStyle="1" w:styleId="541">
    <w:name w:val="样式45"/>
    <w:basedOn w:val="1"/>
    <w:link w:val="540"/>
    <w:qFormat/>
    <w:uiPriority w:val="0"/>
    <w:pPr>
      <w:spacing w:line="360" w:lineRule="auto"/>
      <w:ind w:firstLine="560" w:firstLineChars="200"/>
    </w:pPr>
    <w:rPr>
      <w:rFonts w:ascii="宋体" w:hAnsi="宋体"/>
      <w:color w:val="000000"/>
      <w:kern w:val="0"/>
      <w:sz w:val="28"/>
      <w:szCs w:val="28"/>
    </w:rPr>
  </w:style>
  <w:style w:type="character" w:customStyle="1" w:styleId="542">
    <w:name w:val="样式90 Char Char"/>
    <w:link w:val="543"/>
    <w:qFormat/>
    <w:uiPriority w:val="0"/>
    <w:rPr>
      <w:rFonts w:ascii="黑体" w:hAnsi="宋体" w:eastAsia="黑体"/>
      <w:color w:val="000000"/>
      <w:sz w:val="24"/>
      <w:szCs w:val="24"/>
    </w:rPr>
  </w:style>
  <w:style w:type="paragraph" w:customStyle="1" w:styleId="543">
    <w:name w:val="样式90"/>
    <w:basedOn w:val="1"/>
    <w:link w:val="542"/>
    <w:qFormat/>
    <w:uiPriority w:val="0"/>
    <w:pPr>
      <w:widowControl/>
      <w:spacing w:beforeLines="50" w:afterLines="50" w:line="360" w:lineRule="auto"/>
      <w:ind w:firstLine="480" w:firstLineChars="200"/>
      <w:jc w:val="center"/>
    </w:pPr>
    <w:rPr>
      <w:rFonts w:ascii="黑体" w:hAnsi="宋体" w:eastAsia="黑体"/>
      <w:color w:val="000000"/>
      <w:kern w:val="0"/>
      <w:sz w:val="24"/>
    </w:rPr>
  </w:style>
  <w:style w:type="character" w:customStyle="1" w:styleId="544">
    <w:name w:val="样式70 Char Char"/>
    <w:link w:val="545"/>
    <w:qFormat/>
    <w:uiPriority w:val="0"/>
    <w:rPr>
      <w:rFonts w:ascii="宋体" w:hAnsi="宋体"/>
      <w:color w:val="000000"/>
      <w:kern w:val="28"/>
      <w:sz w:val="28"/>
      <w:szCs w:val="28"/>
    </w:rPr>
  </w:style>
  <w:style w:type="paragraph" w:customStyle="1" w:styleId="545">
    <w:name w:val="样式70"/>
    <w:basedOn w:val="1"/>
    <w:link w:val="544"/>
    <w:qFormat/>
    <w:uiPriority w:val="0"/>
    <w:pPr>
      <w:spacing w:line="460" w:lineRule="exact"/>
      <w:ind w:firstLine="560" w:firstLineChars="200"/>
      <w:jc w:val="left"/>
    </w:pPr>
    <w:rPr>
      <w:rFonts w:ascii="宋体" w:hAnsi="宋体"/>
      <w:color w:val="000000"/>
      <w:kern w:val="28"/>
      <w:sz w:val="28"/>
      <w:szCs w:val="28"/>
    </w:rPr>
  </w:style>
  <w:style w:type="character" w:customStyle="1" w:styleId="546">
    <w:name w:val="标题 Char2"/>
    <w:qFormat/>
    <w:uiPriority w:val="0"/>
    <w:rPr>
      <w:rFonts w:ascii="Cambria" w:hAnsi="Cambria" w:cs="Times New Roman"/>
      <w:b/>
      <w:bCs/>
      <w:kern w:val="2"/>
      <w:sz w:val="32"/>
      <w:szCs w:val="32"/>
    </w:rPr>
  </w:style>
  <w:style w:type="character" w:customStyle="1" w:styleId="547">
    <w:name w:val="甲乙酮正文 Char"/>
    <w:qFormat/>
    <w:uiPriority w:val="0"/>
    <w:rPr>
      <w:rFonts w:eastAsia="宋体"/>
      <w:color w:val="000000"/>
      <w:kern w:val="2"/>
      <w:sz w:val="24"/>
      <w:szCs w:val="24"/>
      <w:lang w:val="en-US" w:eastAsia="zh-CN" w:bidi="ar-SA"/>
    </w:rPr>
  </w:style>
  <w:style w:type="character" w:customStyle="1" w:styleId="548">
    <w:name w:val="甲乙酮标题3 Char"/>
    <w:qFormat/>
    <w:uiPriority w:val="0"/>
    <w:rPr>
      <w:rFonts w:eastAsia="宋体"/>
      <w:b/>
      <w:bCs/>
      <w:kern w:val="2"/>
      <w:sz w:val="32"/>
      <w:szCs w:val="32"/>
      <w:lang w:val="en-US" w:eastAsia="zh-CN" w:bidi="ar-SA"/>
    </w:rPr>
  </w:style>
  <w:style w:type="character" w:customStyle="1" w:styleId="549">
    <w:name w:val="报告正文1 Char"/>
    <w:qFormat/>
    <w:uiPriority w:val="0"/>
    <w:rPr>
      <w:rFonts w:eastAsia="宋体"/>
      <w:color w:val="000000"/>
      <w:kern w:val="2"/>
      <w:sz w:val="24"/>
      <w:szCs w:val="24"/>
      <w:lang w:val="en-US" w:eastAsia="zh-CN" w:bidi="ar-SA"/>
    </w:rPr>
  </w:style>
  <w:style w:type="character" w:customStyle="1" w:styleId="550">
    <w:name w:val="文本 Char"/>
    <w:qFormat/>
    <w:uiPriority w:val="0"/>
    <w:rPr>
      <w:kern w:val="2"/>
      <w:sz w:val="24"/>
      <w:szCs w:val="24"/>
    </w:rPr>
  </w:style>
  <w:style w:type="character" w:customStyle="1" w:styleId="551">
    <w:name w:val="表 标题 Char"/>
    <w:qFormat/>
    <w:uiPriority w:val="0"/>
    <w:rPr>
      <w:rFonts w:cs="宋体"/>
      <w:b/>
      <w:kern w:val="2"/>
      <w:sz w:val="24"/>
    </w:rPr>
  </w:style>
  <w:style w:type="character" w:customStyle="1" w:styleId="552">
    <w:name w:val="环正文 Char4"/>
    <w:link w:val="553"/>
    <w:qFormat/>
    <w:uiPriority w:val="0"/>
    <w:rPr>
      <w:rFonts w:ascii="仿宋_GB2312" w:hAnsi="宋体" w:eastAsia="仿宋_GB2312"/>
      <w:sz w:val="28"/>
    </w:rPr>
  </w:style>
  <w:style w:type="paragraph" w:customStyle="1" w:styleId="553">
    <w:name w:val="环正文"/>
    <w:basedOn w:val="1"/>
    <w:link w:val="552"/>
    <w:qFormat/>
    <w:uiPriority w:val="0"/>
    <w:pPr>
      <w:widowControl/>
      <w:suppressAutoHyphens/>
      <w:adjustRightInd w:val="0"/>
      <w:snapToGrid w:val="0"/>
      <w:spacing w:line="300" w:lineRule="auto"/>
      <w:ind w:firstLine="560"/>
      <w:textAlignment w:val="baseline"/>
    </w:pPr>
    <w:rPr>
      <w:rFonts w:ascii="仿宋_GB2312" w:hAnsi="宋体" w:eastAsia="仿宋_GB2312"/>
      <w:kern w:val="0"/>
      <w:sz w:val="28"/>
      <w:szCs w:val="20"/>
    </w:rPr>
  </w:style>
  <w:style w:type="character" w:customStyle="1" w:styleId="554">
    <w:name w:val="副标题 Char1"/>
    <w:qFormat/>
    <w:uiPriority w:val="11"/>
    <w:rPr>
      <w:rFonts w:ascii="Cambria" w:hAnsi="Cambria" w:eastAsia="宋体" w:cs="Times New Roman"/>
      <w:b/>
      <w:bCs/>
      <w:kern w:val="28"/>
      <w:sz w:val="32"/>
      <w:szCs w:val="32"/>
    </w:rPr>
  </w:style>
  <w:style w:type="character" w:customStyle="1" w:styleId="555">
    <w:name w:val="三级 Char"/>
    <w:link w:val="556"/>
    <w:qFormat/>
    <w:uiPriority w:val="0"/>
    <w:rPr>
      <w:b/>
      <w:kern w:val="2"/>
      <w:sz w:val="28"/>
    </w:rPr>
  </w:style>
  <w:style w:type="paragraph" w:customStyle="1" w:styleId="556">
    <w:name w:val="三级"/>
    <w:basedOn w:val="1"/>
    <w:link w:val="555"/>
    <w:qFormat/>
    <w:uiPriority w:val="0"/>
    <w:pPr>
      <w:adjustRightInd w:val="0"/>
      <w:textAlignment w:val="baseline"/>
    </w:pPr>
    <w:rPr>
      <w:b/>
      <w:sz w:val="28"/>
      <w:szCs w:val="20"/>
    </w:rPr>
  </w:style>
  <w:style w:type="character" w:customStyle="1" w:styleId="557">
    <w:name w:val="兴武正文 Char"/>
    <w:qFormat/>
    <w:uiPriority w:val="0"/>
    <w:rPr>
      <w:rFonts w:eastAsia="宋体" w:cs="宋体"/>
      <w:kern w:val="2"/>
      <w:sz w:val="24"/>
      <w:lang w:val="en-US" w:eastAsia="zh-CN" w:bidi="ar-SA"/>
    </w:rPr>
  </w:style>
  <w:style w:type="character" w:customStyle="1" w:styleId="558">
    <w:name w:val="表格yy Char Char"/>
    <w:link w:val="559"/>
    <w:qFormat/>
    <w:uiPriority w:val="0"/>
    <w:rPr>
      <w:rFonts w:eastAsia="仿宋_GB2312"/>
      <w:szCs w:val="24"/>
    </w:rPr>
  </w:style>
  <w:style w:type="paragraph" w:customStyle="1" w:styleId="559">
    <w:name w:val="表格yy"/>
    <w:basedOn w:val="1"/>
    <w:link w:val="558"/>
    <w:qFormat/>
    <w:uiPriority w:val="0"/>
    <w:pPr>
      <w:snapToGrid w:val="0"/>
      <w:spacing w:line="240" w:lineRule="atLeast"/>
      <w:jc w:val="center"/>
    </w:pPr>
    <w:rPr>
      <w:rFonts w:eastAsia="仿宋_GB2312"/>
      <w:kern w:val="0"/>
      <w:sz w:val="20"/>
    </w:rPr>
  </w:style>
  <w:style w:type="character" w:customStyle="1" w:styleId="560">
    <w:name w:val="正文缩进 Char Char"/>
    <w:qFormat/>
    <w:uiPriority w:val="0"/>
    <w:rPr>
      <w:rFonts w:eastAsia="宋体"/>
      <w:kern w:val="2"/>
      <w:sz w:val="21"/>
      <w:szCs w:val="24"/>
      <w:lang w:val="en-US" w:eastAsia="zh-CN" w:bidi="ar-SA"/>
    </w:rPr>
  </w:style>
  <w:style w:type="character" w:customStyle="1" w:styleId="561">
    <w:name w:val="页眉1 Char1"/>
    <w:qFormat/>
    <w:uiPriority w:val="0"/>
    <w:rPr>
      <w:rFonts w:eastAsia="宋体"/>
      <w:kern w:val="2"/>
      <w:sz w:val="18"/>
      <w:szCs w:val="18"/>
      <w:lang w:val="en-US" w:eastAsia="zh-CN" w:bidi="ar-SA"/>
    </w:rPr>
  </w:style>
  <w:style w:type="character" w:customStyle="1" w:styleId="562">
    <w:name w:val="Char Char48"/>
    <w:qFormat/>
    <w:uiPriority w:val="0"/>
    <w:rPr>
      <w:b/>
      <w:bCs/>
      <w:kern w:val="44"/>
      <w:sz w:val="44"/>
      <w:szCs w:val="44"/>
    </w:rPr>
  </w:style>
  <w:style w:type="character" w:customStyle="1" w:styleId="563">
    <w:name w:val="14588 Char"/>
    <w:link w:val="564"/>
    <w:qFormat/>
    <w:uiPriority w:val="0"/>
    <w:rPr>
      <w:rFonts w:ascii="Calibri" w:hAnsi="Calibri" w:cs="宋体"/>
      <w:kern w:val="2"/>
      <w:sz w:val="24"/>
      <w:lang w:val="de-DE"/>
    </w:rPr>
  </w:style>
  <w:style w:type="paragraph" w:customStyle="1" w:styleId="564">
    <w:name w:val="14588"/>
    <w:basedOn w:val="1"/>
    <w:link w:val="563"/>
    <w:qFormat/>
    <w:uiPriority w:val="0"/>
    <w:pPr>
      <w:spacing w:line="360" w:lineRule="auto"/>
      <w:ind w:firstLine="480" w:firstLineChars="200"/>
    </w:pPr>
    <w:rPr>
      <w:rFonts w:ascii="Calibri" w:hAnsi="Calibri" w:cs="宋体"/>
      <w:sz w:val="24"/>
      <w:szCs w:val="20"/>
      <w:lang w:val="de-DE"/>
    </w:rPr>
  </w:style>
  <w:style w:type="character" w:customStyle="1" w:styleId="565">
    <w:name w:val="茂名 正文 Char"/>
    <w:link w:val="566"/>
    <w:qFormat/>
    <w:uiPriority w:val="0"/>
    <w:rPr>
      <w:rFonts w:ascii="Symbol" w:hAnsi="Symbol" w:eastAsia="微软雅黑" w:cs="Symbol"/>
      <w:sz w:val="24"/>
      <w:szCs w:val="24"/>
    </w:rPr>
  </w:style>
  <w:style w:type="paragraph" w:customStyle="1" w:styleId="566">
    <w:name w:val="茂名 正文"/>
    <w:basedOn w:val="1"/>
    <w:link w:val="565"/>
    <w:qFormat/>
    <w:uiPriority w:val="0"/>
    <w:pPr>
      <w:widowControl/>
      <w:topLinePunct/>
      <w:spacing w:line="480" w:lineRule="exact"/>
      <w:ind w:firstLine="539"/>
    </w:pPr>
    <w:rPr>
      <w:rFonts w:ascii="Symbol" w:hAnsi="Symbol" w:eastAsia="微软雅黑" w:cs="Symbol"/>
      <w:kern w:val="0"/>
      <w:sz w:val="24"/>
    </w:rPr>
  </w:style>
  <w:style w:type="character" w:customStyle="1" w:styleId="567">
    <w:name w:val="正文(康健城) Char"/>
    <w:link w:val="568"/>
    <w:qFormat/>
    <w:uiPriority w:val="0"/>
    <w:rPr>
      <w:sz w:val="24"/>
      <w:szCs w:val="24"/>
    </w:rPr>
  </w:style>
  <w:style w:type="paragraph" w:customStyle="1" w:styleId="568">
    <w:name w:val="正文(康健城)"/>
    <w:basedOn w:val="1"/>
    <w:link w:val="567"/>
    <w:qFormat/>
    <w:uiPriority w:val="0"/>
    <w:pPr>
      <w:adjustRightInd w:val="0"/>
      <w:snapToGrid w:val="0"/>
      <w:spacing w:line="360" w:lineRule="auto"/>
      <w:ind w:firstLine="480" w:firstLineChars="200"/>
      <w:textAlignment w:val="baseline"/>
    </w:pPr>
    <w:rPr>
      <w:kern w:val="0"/>
      <w:sz w:val="24"/>
    </w:rPr>
  </w:style>
  <w:style w:type="character" w:customStyle="1" w:styleId="569">
    <w:name w:val="标题1.1.1.1.1.1 Char"/>
    <w:qFormat/>
    <w:uiPriority w:val="0"/>
    <w:rPr>
      <w:rFonts w:ascii="Arial" w:hAnsi="Arial" w:eastAsia="黑体" w:cs="宋体"/>
      <w:b/>
      <w:color w:val="FF0000"/>
      <w:kern w:val="0"/>
      <w:szCs w:val="20"/>
    </w:rPr>
  </w:style>
  <w:style w:type="character" w:customStyle="1" w:styleId="570">
    <w:name w:val="标题 7表内5号 Char"/>
    <w:qFormat/>
    <w:uiPriority w:val="0"/>
    <w:rPr>
      <w:rFonts w:ascii="Times New Roman" w:hAnsi="Times New Roman" w:eastAsia="宋体" w:cs="宋体"/>
      <w:b/>
      <w:color w:val="FF0000"/>
      <w:kern w:val="0"/>
      <w:szCs w:val="20"/>
    </w:rPr>
  </w:style>
  <w:style w:type="character" w:customStyle="1" w:styleId="571">
    <w:name w:val="目标题 1) Char"/>
    <w:qFormat/>
    <w:uiPriority w:val="0"/>
    <w:rPr>
      <w:rFonts w:ascii="Arial" w:hAnsi="Arial" w:eastAsia="黑体" w:cs="宋体"/>
      <w:b/>
      <w:color w:val="FF0000"/>
      <w:kern w:val="0"/>
      <w:szCs w:val="20"/>
    </w:rPr>
  </w:style>
  <w:style w:type="character" w:customStyle="1" w:styleId="572">
    <w:name w:val="干标题(a) Char"/>
    <w:qFormat/>
    <w:uiPriority w:val="0"/>
    <w:rPr>
      <w:rFonts w:ascii="Arial" w:hAnsi="Arial" w:eastAsia="黑体" w:cs="宋体"/>
      <w:b/>
      <w:color w:val="FF0000"/>
      <w:kern w:val="0"/>
      <w:szCs w:val="20"/>
    </w:rPr>
  </w:style>
  <w:style w:type="character" w:customStyle="1" w:styleId="573">
    <w:name w:val="CN normal Char"/>
    <w:link w:val="574"/>
    <w:qFormat/>
    <w:uiPriority w:val="0"/>
    <w:rPr>
      <w:rFonts w:ascii="Arial" w:hAnsi="Arial"/>
      <w:lang w:val="en-GB"/>
    </w:rPr>
  </w:style>
  <w:style w:type="paragraph" w:customStyle="1" w:styleId="574">
    <w:name w:val="CN normal"/>
    <w:basedOn w:val="1"/>
    <w:link w:val="573"/>
    <w:qFormat/>
    <w:uiPriority w:val="0"/>
    <w:pPr>
      <w:widowControl/>
      <w:spacing w:line="280" w:lineRule="atLeast"/>
      <w:contextualSpacing/>
    </w:pPr>
    <w:rPr>
      <w:rFonts w:ascii="Arial" w:hAnsi="Arial"/>
      <w:kern w:val="0"/>
      <w:sz w:val="20"/>
      <w:szCs w:val="20"/>
      <w:lang w:val="en-GB"/>
    </w:rPr>
  </w:style>
  <w:style w:type="character" w:customStyle="1" w:styleId="575">
    <w:name w:val="li_正文 Char"/>
    <w:link w:val="576"/>
    <w:qFormat/>
    <w:uiPriority w:val="0"/>
    <w:rPr>
      <w:rFonts w:ascii="Calibri" w:hAnsi="Calibri"/>
      <w:kern w:val="2"/>
      <w:sz w:val="21"/>
      <w:szCs w:val="24"/>
    </w:rPr>
  </w:style>
  <w:style w:type="paragraph" w:customStyle="1" w:styleId="576">
    <w:name w:val="li_正文"/>
    <w:basedOn w:val="1"/>
    <w:link w:val="575"/>
    <w:qFormat/>
    <w:uiPriority w:val="0"/>
    <w:pPr>
      <w:ind w:firstLine="480" w:firstLineChars="200"/>
      <w:contextualSpacing/>
    </w:pPr>
    <w:rPr>
      <w:rFonts w:ascii="Calibri" w:hAnsi="Calibri"/>
    </w:rPr>
  </w:style>
  <w:style w:type="character" w:customStyle="1" w:styleId="577">
    <w:name w:val="表名 Char1"/>
    <w:link w:val="578"/>
    <w:semiHidden/>
    <w:qFormat/>
    <w:uiPriority w:val="0"/>
    <w:rPr>
      <w:rFonts w:ascii="Arial" w:hAnsi="Arial" w:eastAsia="楷体_GB2312" w:cs="宋体"/>
      <w:b/>
      <w:sz w:val="21"/>
    </w:rPr>
  </w:style>
  <w:style w:type="paragraph" w:customStyle="1" w:styleId="578">
    <w:name w:val="表名"/>
    <w:basedOn w:val="1"/>
    <w:next w:val="1"/>
    <w:link w:val="577"/>
    <w:semiHidden/>
    <w:qFormat/>
    <w:uiPriority w:val="0"/>
    <w:pPr>
      <w:widowControl/>
      <w:adjustRightInd w:val="0"/>
      <w:spacing w:before="120" w:afterLines="10" w:line="312" w:lineRule="auto"/>
      <w:contextualSpacing/>
      <w:jc w:val="center"/>
      <w:textAlignment w:val="baseline"/>
    </w:pPr>
    <w:rPr>
      <w:rFonts w:ascii="Arial" w:hAnsi="Arial" w:eastAsia="楷体_GB2312" w:cs="宋体"/>
      <w:b/>
      <w:kern w:val="0"/>
      <w:szCs w:val="20"/>
    </w:rPr>
  </w:style>
  <w:style w:type="character" w:customStyle="1" w:styleId="579">
    <w:name w:val="表名 1 Char"/>
    <w:link w:val="580"/>
    <w:qFormat/>
    <w:uiPriority w:val="0"/>
    <w:rPr>
      <w:rFonts w:ascii="Arial" w:hAnsi="Arial" w:eastAsia="楷体_GB2312" w:cs="宋体"/>
      <w:b/>
      <w:sz w:val="21"/>
    </w:rPr>
  </w:style>
  <w:style w:type="paragraph" w:customStyle="1" w:styleId="580">
    <w:name w:val="表名 1"/>
    <w:basedOn w:val="578"/>
    <w:link w:val="579"/>
    <w:qFormat/>
    <w:uiPriority w:val="0"/>
    <w:pPr>
      <w:spacing w:after="31"/>
    </w:pPr>
  </w:style>
  <w:style w:type="character" w:customStyle="1" w:styleId="581">
    <w:name w:val="hangju"/>
    <w:qFormat/>
    <w:uiPriority w:val="0"/>
    <w:rPr>
      <w:rFonts w:ascii="宋体" w:hAnsi="宋体" w:eastAsia="宋体" w:cs="宋体"/>
      <w:kern w:val="2"/>
      <w:sz w:val="24"/>
      <w:szCs w:val="24"/>
      <w:lang w:val="en-US" w:eastAsia="zh-CN" w:bidi="ar-SA"/>
    </w:rPr>
  </w:style>
  <w:style w:type="character" w:customStyle="1" w:styleId="582">
    <w:name w:val="可研报告正文 Char"/>
    <w:link w:val="583"/>
    <w:qFormat/>
    <w:uiPriority w:val="0"/>
    <w:rPr>
      <w:rFonts w:ascii="Calibri" w:hAnsi="Calibri" w:cs="宋体"/>
      <w:sz w:val="21"/>
      <w:szCs w:val="24"/>
    </w:rPr>
  </w:style>
  <w:style w:type="paragraph" w:customStyle="1" w:styleId="583">
    <w:name w:val="可研报告正文"/>
    <w:basedOn w:val="1"/>
    <w:link w:val="582"/>
    <w:qFormat/>
    <w:uiPriority w:val="0"/>
    <w:pPr>
      <w:widowControl/>
      <w:tabs>
        <w:tab w:val="left" w:pos="5880"/>
      </w:tabs>
      <w:spacing w:beforeLines="50" w:line="440" w:lineRule="exact"/>
      <w:ind w:left="425" w:firstLine="482"/>
      <w:contextualSpacing/>
      <w:jc w:val="left"/>
    </w:pPr>
    <w:rPr>
      <w:rFonts w:ascii="Calibri" w:hAnsi="Calibri" w:cs="宋体"/>
      <w:kern w:val="0"/>
    </w:rPr>
  </w:style>
  <w:style w:type="character" w:customStyle="1" w:styleId="584">
    <w:name w:val="csscontent0041"/>
    <w:qFormat/>
    <w:uiPriority w:val="0"/>
    <w:rPr>
      <w:rFonts w:hint="default" w:ascii="ˎ̥" w:hAnsi="ˎ̥"/>
      <w:color w:val="000000"/>
      <w:sz w:val="16"/>
      <w:szCs w:val="16"/>
      <w:u w:val="none"/>
    </w:rPr>
  </w:style>
  <w:style w:type="character" w:customStyle="1" w:styleId="585">
    <w:name w:val="段落文字 Char"/>
    <w:link w:val="586"/>
    <w:qFormat/>
    <w:uiPriority w:val="0"/>
    <w:rPr>
      <w:rFonts w:ascii="宋体" w:hAnsi="宋体"/>
      <w:sz w:val="24"/>
      <w:szCs w:val="24"/>
    </w:rPr>
  </w:style>
  <w:style w:type="paragraph" w:customStyle="1" w:styleId="586">
    <w:name w:val="段落文字"/>
    <w:basedOn w:val="1"/>
    <w:link w:val="585"/>
    <w:qFormat/>
    <w:uiPriority w:val="0"/>
    <w:pPr>
      <w:widowControl/>
      <w:adjustRightInd w:val="0"/>
      <w:snapToGrid w:val="0"/>
      <w:spacing w:line="480" w:lineRule="exact"/>
      <w:contextualSpacing/>
      <w:jc w:val="left"/>
    </w:pPr>
    <w:rPr>
      <w:rFonts w:ascii="宋体" w:hAnsi="宋体"/>
      <w:kern w:val="0"/>
      <w:sz w:val="24"/>
    </w:rPr>
  </w:style>
  <w:style w:type="character" w:customStyle="1" w:styleId="587">
    <w:name w:val="middle1"/>
    <w:qFormat/>
    <w:uiPriority w:val="0"/>
    <w:rPr>
      <w:rFonts w:hint="eastAsia" w:ascii="宋体" w:hAnsi="宋体" w:eastAsia="宋体"/>
      <w:sz w:val="24"/>
      <w:szCs w:val="24"/>
    </w:rPr>
  </w:style>
  <w:style w:type="character" w:customStyle="1" w:styleId="588">
    <w:name w:val="样式 表内样式 + (符号) 宋体 Char1"/>
    <w:link w:val="589"/>
    <w:qFormat/>
    <w:uiPriority w:val="0"/>
    <w:rPr>
      <w:rFonts w:ascii="Calibri" w:hAnsi="Calibri" w:cs="宋体"/>
      <w:sz w:val="21"/>
      <w:szCs w:val="21"/>
    </w:rPr>
  </w:style>
  <w:style w:type="paragraph" w:customStyle="1" w:styleId="589">
    <w:name w:val="样式 表内样式 + (符号) 宋体"/>
    <w:basedOn w:val="1"/>
    <w:link w:val="588"/>
    <w:qFormat/>
    <w:uiPriority w:val="0"/>
    <w:pPr>
      <w:keepLines/>
      <w:widowControl/>
      <w:kinsoku w:val="0"/>
      <w:overflowPunct w:val="0"/>
      <w:adjustRightInd w:val="0"/>
      <w:spacing w:line="320" w:lineRule="exact"/>
      <w:contextualSpacing/>
      <w:jc w:val="center"/>
    </w:pPr>
    <w:rPr>
      <w:rFonts w:ascii="Calibri" w:hAnsi="Calibri" w:cs="宋体"/>
      <w:kern w:val="0"/>
    </w:rPr>
  </w:style>
  <w:style w:type="character" w:customStyle="1" w:styleId="590">
    <w:name w:val="Char Char111"/>
    <w:qFormat/>
    <w:uiPriority w:val="0"/>
    <w:rPr>
      <w:rFonts w:ascii="Arial" w:hAnsi="Arial" w:eastAsia="黑体"/>
      <w:b/>
      <w:sz w:val="28"/>
    </w:rPr>
  </w:style>
  <w:style w:type="character" w:customStyle="1" w:styleId="591">
    <w:name w:val="Char Char2"/>
    <w:qFormat/>
    <w:uiPriority w:val="0"/>
    <w:rPr>
      <w:rFonts w:ascii="宋体" w:hAnsi="Courier New" w:eastAsia="宋体"/>
      <w:kern w:val="2"/>
      <w:sz w:val="21"/>
      <w:lang w:val="en-US" w:eastAsia="zh-CN" w:bidi="ar-SA"/>
    </w:rPr>
  </w:style>
  <w:style w:type="character" w:customStyle="1" w:styleId="592">
    <w:name w:val="正文首行缩进2字符! Char"/>
    <w:link w:val="593"/>
    <w:qFormat/>
    <w:uiPriority w:val="0"/>
    <w:rPr>
      <w:rFonts w:ascii="Calibri" w:hAnsi="Calibri"/>
      <w:kern w:val="2"/>
      <w:sz w:val="28"/>
    </w:rPr>
  </w:style>
  <w:style w:type="paragraph" w:customStyle="1" w:styleId="593">
    <w:name w:val="正文首行缩进2字符!"/>
    <w:basedOn w:val="1"/>
    <w:link w:val="592"/>
    <w:qFormat/>
    <w:uiPriority w:val="0"/>
    <w:pPr>
      <w:adjustRightInd w:val="0"/>
      <w:snapToGrid w:val="0"/>
      <w:ind w:firstLine="560" w:firstLineChars="200"/>
      <w:contextualSpacing/>
      <w:jc w:val="left"/>
    </w:pPr>
    <w:rPr>
      <w:rFonts w:ascii="Calibri" w:hAnsi="Calibri"/>
      <w:sz w:val="28"/>
      <w:szCs w:val="20"/>
    </w:rPr>
  </w:style>
  <w:style w:type="character" w:customStyle="1" w:styleId="594">
    <w:name w:val="标题5 Char"/>
    <w:link w:val="595"/>
    <w:qFormat/>
    <w:uiPriority w:val="0"/>
    <w:rPr>
      <w:rFonts w:ascii="Calibri" w:hAnsi="Calibri"/>
      <w:kern w:val="2"/>
      <w:sz w:val="28"/>
      <w:szCs w:val="21"/>
    </w:rPr>
  </w:style>
  <w:style w:type="paragraph" w:customStyle="1" w:styleId="595">
    <w:name w:val="标题5"/>
    <w:basedOn w:val="1"/>
    <w:next w:val="82"/>
    <w:link w:val="594"/>
    <w:qFormat/>
    <w:uiPriority w:val="0"/>
    <w:pPr>
      <w:numPr>
        <w:ilvl w:val="4"/>
        <w:numId w:val="5"/>
      </w:numPr>
      <w:snapToGrid w:val="0"/>
      <w:contextualSpacing/>
      <w:outlineLvl w:val="4"/>
    </w:pPr>
    <w:rPr>
      <w:rFonts w:ascii="Calibri" w:hAnsi="Calibri"/>
      <w:sz w:val="28"/>
    </w:rPr>
  </w:style>
  <w:style w:type="character" w:customStyle="1" w:styleId="596">
    <w:name w:val="样式 题注 + 首行缩进:  2 字符2 Char"/>
    <w:link w:val="597"/>
    <w:qFormat/>
    <w:uiPriority w:val="0"/>
    <w:rPr>
      <w:rFonts w:ascii="黑体" w:hAnsi="宋体" w:eastAsia="黑体"/>
      <w:kern w:val="2"/>
      <w:sz w:val="24"/>
      <w:szCs w:val="24"/>
    </w:rPr>
  </w:style>
  <w:style w:type="paragraph" w:customStyle="1" w:styleId="597">
    <w:name w:val="样式 题注 + 首行缩进:  2 字符2"/>
    <w:basedOn w:val="24"/>
    <w:link w:val="596"/>
    <w:qFormat/>
    <w:uiPriority w:val="0"/>
    <w:pPr>
      <w:snapToGrid/>
      <w:spacing w:line="240" w:lineRule="auto"/>
      <w:contextualSpacing/>
      <w:jc w:val="center"/>
    </w:pPr>
    <w:rPr>
      <w:rFonts w:ascii="黑体" w:hAnsi="宋体" w:cs="Times New Roman"/>
      <w:sz w:val="24"/>
      <w:szCs w:val="24"/>
    </w:rPr>
  </w:style>
  <w:style w:type="character" w:customStyle="1" w:styleId="598">
    <w:name w:val="题注 + 居中! Char"/>
    <w:link w:val="599"/>
    <w:qFormat/>
    <w:uiPriority w:val="0"/>
    <w:rPr>
      <w:rFonts w:ascii="黑体" w:hAnsi="Arial" w:eastAsia="黑体"/>
      <w:kern w:val="2"/>
      <w:sz w:val="24"/>
      <w:szCs w:val="24"/>
    </w:rPr>
  </w:style>
  <w:style w:type="paragraph" w:customStyle="1" w:styleId="599">
    <w:name w:val="题注 + 居中!"/>
    <w:basedOn w:val="24"/>
    <w:link w:val="598"/>
    <w:qFormat/>
    <w:uiPriority w:val="0"/>
    <w:pPr>
      <w:adjustRightInd w:val="0"/>
      <w:spacing w:line="240" w:lineRule="auto"/>
      <w:ind w:firstLine="480" w:firstLineChars="200"/>
      <w:contextualSpacing/>
      <w:jc w:val="center"/>
    </w:pPr>
    <w:rPr>
      <w:rFonts w:ascii="黑体" w:cs="Times New Roman"/>
      <w:sz w:val="24"/>
      <w:szCs w:val="24"/>
    </w:rPr>
  </w:style>
  <w:style w:type="character" w:customStyle="1" w:styleId="600">
    <w:name w:val="texd1"/>
    <w:qFormat/>
    <w:uiPriority w:val="0"/>
    <w:rPr>
      <w:rFonts w:hint="default"/>
      <w:color w:val="000000"/>
      <w:spacing w:val="480"/>
      <w:w w:val="0"/>
      <w:sz w:val="20"/>
      <w:szCs w:val="20"/>
    </w:rPr>
  </w:style>
  <w:style w:type="character" w:customStyle="1" w:styleId="601">
    <w:name w:val="正文（首行缩进两字） Char1 Char Char"/>
    <w:qFormat/>
    <w:uiPriority w:val="0"/>
    <w:rPr>
      <w:rFonts w:ascii="Times New Roman" w:hAnsi="Times New Roman" w:eastAsia="宋体" w:cs="Times New Roman"/>
      <w:bCs/>
      <w:snapToGrid/>
      <w:kern w:val="0"/>
      <w:szCs w:val="24"/>
      <w:lang w:val="zh-CN"/>
    </w:rPr>
  </w:style>
  <w:style w:type="character" w:customStyle="1" w:styleId="602">
    <w:name w:val="yyp Char"/>
    <w:link w:val="603"/>
    <w:qFormat/>
    <w:uiPriority w:val="0"/>
    <w:rPr>
      <w:rFonts w:ascii="Calibri" w:hAnsi="Calibri"/>
      <w:kern w:val="2"/>
      <w:sz w:val="24"/>
      <w:szCs w:val="24"/>
    </w:rPr>
  </w:style>
  <w:style w:type="paragraph" w:customStyle="1" w:styleId="603">
    <w:name w:val="yyp"/>
    <w:basedOn w:val="82"/>
    <w:link w:val="602"/>
    <w:qFormat/>
    <w:uiPriority w:val="0"/>
    <w:pPr>
      <w:spacing w:line="360" w:lineRule="auto"/>
      <w:ind w:firstLine="480" w:firstLineChars="200"/>
    </w:pPr>
    <w:rPr>
      <w:rFonts w:ascii="Calibri" w:hAnsi="Calibri"/>
      <w:sz w:val="24"/>
    </w:rPr>
  </w:style>
  <w:style w:type="character" w:customStyle="1" w:styleId="604">
    <w:name w:val="正文小四首缩1.3行距 Char"/>
    <w:link w:val="605"/>
    <w:qFormat/>
    <w:uiPriority w:val="0"/>
    <w:rPr>
      <w:rFonts w:ascii="Calibri" w:hAnsi="Calibri"/>
      <w:kern w:val="2"/>
      <w:sz w:val="24"/>
      <w:szCs w:val="24"/>
    </w:rPr>
  </w:style>
  <w:style w:type="paragraph" w:customStyle="1" w:styleId="605">
    <w:name w:val="正文小四首缩1.3行距"/>
    <w:basedOn w:val="1"/>
    <w:link w:val="604"/>
    <w:qFormat/>
    <w:uiPriority w:val="0"/>
    <w:pPr>
      <w:spacing w:line="312" w:lineRule="auto"/>
      <w:ind w:firstLine="420" w:firstLineChars="200"/>
    </w:pPr>
    <w:rPr>
      <w:rFonts w:ascii="Calibri" w:hAnsi="Calibri"/>
      <w:sz w:val="24"/>
    </w:rPr>
  </w:style>
  <w:style w:type="character" w:customStyle="1" w:styleId="606">
    <w:name w:val="表、图标题 Char Char"/>
    <w:link w:val="607"/>
    <w:qFormat/>
    <w:uiPriority w:val="0"/>
    <w:rPr>
      <w:rFonts w:ascii="宋体" w:hAnsi="宋体"/>
      <w:b/>
      <w:bCs/>
      <w:snapToGrid/>
      <w:sz w:val="24"/>
      <w:szCs w:val="21"/>
    </w:rPr>
  </w:style>
  <w:style w:type="paragraph" w:customStyle="1" w:styleId="607">
    <w:name w:val="表、图标题"/>
    <w:basedOn w:val="1"/>
    <w:link w:val="606"/>
    <w:qFormat/>
    <w:uiPriority w:val="0"/>
    <w:pPr>
      <w:adjustRightInd w:val="0"/>
      <w:snapToGrid w:val="0"/>
      <w:spacing w:line="480" w:lineRule="exact"/>
      <w:jc w:val="center"/>
    </w:pPr>
    <w:rPr>
      <w:rFonts w:ascii="宋体" w:hAnsi="宋体"/>
      <w:b/>
      <w:bCs/>
      <w:snapToGrid w:val="0"/>
      <w:kern w:val="0"/>
      <w:sz w:val="24"/>
    </w:rPr>
  </w:style>
  <w:style w:type="character" w:customStyle="1" w:styleId="608">
    <w:name w:val="Footer1 Char1"/>
    <w:qFormat/>
    <w:uiPriority w:val="0"/>
    <w:rPr>
      <w:sz w:val="18"/>
      <w:szCs w:val="18"/>
    </w:rPr>
  </w:style>
  <w:style w:type="character" w:customStyle="1" w:styleId="609">
    <w:name w:val="font21"/>
    <w:basedOn w:val="89"/>
    <w:qFormat/>
    <w:uiPriority w:val="0"/>
    <w:rPr>
      <w:rFonts w:hint="default" w:ascii="Times New Roman" w:hAnsi="Times New Roman" w:cs="Times New Roman"/>
      <w:color w:val="000000"/>
      <w:sz w:val="21"/>
      <w:szCs w:val="21"/>
      <w:u w:val="none"/>
    </w:rPr>
  </w:style>
  <w:style w:type="character" w:customStyle="1" w:styleId="610">
    <w:name w:val="节标题 1.1 Char3"/>
    <w:qFormat/>
    <w:uiPriority w:val="0"/>
    <w:rPr>
      <w:rFonts w:ascii="Times New Roman" w:hAnsi="Times New Roman" w:eastAsia="宋体" w:cs="Times New Roman"/>
      <w:b/>
      <w:bCs/>
      <w:sz w:val="28"/>
      <w:szCs w:val="32"/>
    </w:rPr>
  </w:style>
  <w:style w:type="character" w:customStyle="1" w:styleId="611">
    <w:name w:val="111正文 Char"/>
    <w:link w:val="612"/>
    <w:qFormat/>
    <w:uiPriority w:val="0"/>
    <w:rPr>
      <w:rFonts w:ascii="Calibri" w:hAnsi="Calibri"/>
      <w:kern w:val="2"/>
      <w:sz w:val="24"/>
      <w:szCs w:val="22"/>
    </w:rPr>
  </w:style>
  <w:style w:type="paragraph" w:customStyle="1" w:styleId="612">
    <w:name w:val="111正文"/>
    <w:basedOn w:val="1"/>
    <w:link w:val="611"/>
    <w:qFormat/>
    <w:uiPriority w:val="0"/>
    <w:pPr>
      <w:tabs>
        <w:tab w:val="left" w:pos="600"/>
      </w:tabs>
      <w:spacing w:line="360" w:lineRule="auto"/>
      <w:ind w:firstLine="200" w:firstLineChars="200"/>
    </w:pPr>
    <w:rPr>
      <w:rFonts w:ascii="Calibri" w:hAnsi="Calibri"/>
      <w:sz w:val="24"/>
      <w:szCs w:val="22"/>
    </w:rPr>
  </w:style>
  <w:style w:type="character" w:customStyle="1" w:styleId="613">
    <w:name w:val="表格文字 Char1"/>
    <w:qFormat/>
    <w:uiPriority w:val="0"/>
    <w:rPr>
      <w:rFonts w:ascii="宋体" w:hAnsi="宋体" w:eastAsia="宋体" w:cs="宋体"/>
      <w:kern w:val="2"/>
      <w:sz w:val="21"/>
      <w:szCs w:val="24"/>
      <w:lang w:val="en-US" w:eastAsia="zh-CN" w:bidi="ar-SA"/>
    </w:rPr>
  </w:style>
  <w:style w:type="character" w:customStyle="1" w:styleId="614">
    <w:name w:val="fontstyle21"/>
    <w:qFormat/>
    <w:uiPriority w:val="0"/>
    <w:rPr>
      <w:rFonts w:hint="eastAsia" w:ascii="黑体" w:hAnsi="黑体" w:eastAsia="黑体"/>
      <w:color w:val="000000"/>
      <w:sz w:val="32"/>
      <w:szCs w:val="32"/>
    </w:rPr>
  </w:style>
  <w:style w:type="character" w:customStyle="1" w:styleId="615">
    <w:name w:val="fontstyle31"/>
    <w:qFormat/>
    <w:uiPriority w:val="0"/>
    <w:rPr>
      <w:rFonts w:hint="eastAsia" w:ascii="宋体" w:hAnsi="宋体" w:eastAsia="宋体"/>
      <w:color w:val="000000"/>
      <w:sz w:val="24"/>
      <w:szCs w:val="24"/>
    </w:rPr>
  </w:style>
  <w:style w:type="character" w:customStyle="1" w:styleId="616">
    <w:name w:val="表格标题 Char Char"/>
    <w:qFormat/>
    <w:uiPriority w:val="0"/>
    <w:rPr>
      <w:rFonts w:eastAsia="黑体"/>
      <w:kern w:val="2"/>
      <w:sz w:val="21"/>
      <w:szCs w:val="24"/>
    </w:rPr>
  </w:style>
  <w:style w:type="character" w:customStyle="1" w:styleId="617">
    <w:name w:val="fontstyle11"/>
    <w:qFormat/>
    <w:uiPriority w:val="0"/>
    <w:rPr>
      <w:rFonts w:hint="default" w:ascii="TimesNewRomanPS-ItalicMT" w:hAnsi="TimesNewRomanPS-ItalicMT"/>
      <w:i/>
      <w:iCs/>
      <w:color w:val="000000"/>
      <w:sz w:val="24"/>
      <w:szCs w:val="24"/>
    </w:rPr>
  </w:style>
  <w:style w:type="character" w:customStyle="1" w:styleId="618">
    <w:name w:val="未处理的提及1"/>
    <w:unhideWhenUsed/>
    <w:qFormat/>
    <w:uiPriority w:val="99"/>
    <w:rPr>
      <w:color w:val="808080"/>
      <w:shd w:val="clear" w:color="auto" w:fill="E6E6E6"/>
    </w:rPr>
  </w:style>
  <w:style w:type="character" w:customStyle="1" w:styleId="619">
    <w:name w:val="标题 5 Char"/>
    <w:semiHidden/>
    <w:qFormat/>
    <w:uiPriority w:val="0"/>
    <w:rPr>
      <w:b/>
      <w:bCs/>
      <w:sz w:val="28"/>
      <w:szCs w:val="28"/>
    </w:rPr>
  </w:style>
  <w:style w:type="character" w:customStyle="1" w:styleId="620">
    <w:name w:val="纯文本 Char"/>
    <w:semiHidden/>
    <w:qFormat/>
    <w:uiPriority w:val="99"/>
    <w:rPr>
      <w:rFonts w:ascii="宋体" w:hAnsi="Courier New" w:eastAsia="宋体" w:cs="Courier New"/>
      <w:szCs w:val="21"/>
    </w:rPr>
  </w:style>
  <w:style w:type="character" w:customStyle="1" w:styleId="621">
    <w:name w:val="表头 Char"/>
    <w:semiHidden/>
    <w:qFormat/>
    <w:uiPriority w:val="0"/>
    <w:rPr>
      <w:rFonts w:ascii="Times New Roman" w:hAnsi="Times New Roman" w:eastAsia="宋体" w:cs="宋体"/>
      <w:b/>
      <w:bCs/>
      <w:kern w:val="0"/>
      <w:sz w:val="21"/>
      <w:szCs w:val="21"/>
    </w:rPr>
  </w:style>
  <w:style w:type="character" w:customStyle="1" w:styleId="622">
    <w:name w:val="样式 Arial"/>
    <w:semiHidden/>
    <w:qFormat/>
    <w:uiPriority w:val="0"/>
    <w:rPr>
      <w:rFonts w:ascii="Arial" w:hAnsi="Arial" w:eastAsia="宋体" w:cs="宋体"/>
      <w:kern w:val="2"/>
      <w:sz w:val="24"/>
      <w:szCs w:val="24"/>
      <w:lang w:val="en-US" w:eastAsia="zh-CN" w:bidi="ar-SA"/>
    </w:rPr>
  </w:style>
  <w:style w:type="character" w:customStyle="1" w:styleId="623">
    <w:name w:val="enas"/>
    <w:semiHidden/>
    <w:qFormat/>
    <w:uiPriority w:val="0"/>
    <w:rPr>
      <w:rFonts w:ascii="Arial" w:hAnsi="Arial" w:eastAsia="宋体" w:cs="Arial"/>
      <w:color w:val="auto"/>
      <w:kern w:val="2"/>
      <w:sz w:val="20"/>
      <w:szCs w:val="20"/>
      <w:lang w:val="en-US" w:eastAsia="zh-CN" w:bidi="ar-SA"/>
    </w:rPr>
  </w:style>
  <w:style w:type="character" w:customStyle="1" w:styleId="624">
    <w:name w:val="Char Char10"/>
    <w:semiHidden/>
    <w:qFormat/>
    <w:uiPriority w:val="0"/>
    <w:rPr>
      <w:rFonts w:ascii="宋体" w:hAnsi="宋体" w:eastAsia="宋体" w:cs="宋体"/>
      <w:color w:val="FF0000"/>
      <w:kern w:val="2"/>
      <w:sz w:val="24"/>
      <w:szCs w:val="24"/>
      <w:lang w:val="en-US" w:eastAsia="zh-CN" w:bidi="ar-SA"/>
    </w:rPr>
  </w:style>
  <w:style w:type="character" w:customStyle="1" w:styleId="625">
    <w:name w:val="Char Char7"/>
    <w:semiHidden/>
    <w:qFormat/>
    <w:uiPriority w:val="0"/>
    <w:rPr>
      <w:rFonts w:ascii="宋体" w:hAnsi="宋体" w:eastAsia="宋体" w:cs="宋体"/>
      <w:kern w:val="2"/>
      <w:sz w:val="18"/>
      <w:szCs w:val="18"/>
      <w:lang w:val="en-US" w:eastAsia="zh-CN" w:bidi="ar-SA"/>
    </w:rPr>
  </w:style>
  <w:style w:type="character" w:customStyle="1" w:styleId="626">
    <w:name w:val="HTML 地址 Char1"/>
    <w:semiHidden/>
    <w:qFormat/>
    <w:uiPriority w:val="99"/>
    <w:rPr>
      <w:i/>
      <w:iCs/>
    </w:rPr>
  </w:style>
  <w:style w:type="character" w:customStyle="1" w:styleId="627">
    <w:name w:val="信息标题 Char1"/>
    <w:semiHidden/>
    <w:qFormat/>
    <w:uiPriority w:val="99"/>
    <w:rPr>
      <w:rFonts w:ascii="Calibri Light" w:hAnsi="Calibri Light" w:eastAsia="宋体" w:cs="Times New Roman"/>
      <w:sz w:val="24"/>
      <w:szCs w:val="24"/>
      <w:shd w:val="pct20" w:color="auto" w:fill="auto"/>
    </w:rPr>
  </w:style>
  <w:style w:type="character" w:customStyle="1" w:styleId="628">
    <w:name w:val="z-窗体顶端 Char1"/>
    <w:semiHidden/>
    <w:qFormat/>
    <w:uiPriority w:val="99"/>
    <w:rPr>
      <w:rFonts w:ascii="Arial" w:hAnsi="Arial" w:cs="Arial"/>
      <w:vanish/>
      <w:sz w:val="16"/>
      <w:szCs w:val="16"/>
    </w:rPr>
  </w:style>
  <w:style w:type="character" w:customStyle="1" w:styleId="629">
    <w:name w:val="访问过的超链接1"/>
    <w:unhideWhenUsed/>
    <w:qFormat/>
    <w:uiPriority w:val="99"/>
    <w:rPr>
      <w:rFonts w:ascii="宋体" w:hAnsi="宋体" w:eastAsia="宋体" w:cs="宋体"/>
      <w:color w:val="954F72"/>
      <w:kern w:val="2"/>
      <w:sz w:val="24"/>
      <w:szCs w:val="24"/>
      <w:u w:val="single"/>
      <w:lang w:val="en-US" w:eastAsia="zh-CN" w:bidi="ar-SA"/>
    </w:rPr>
  </w:style>
  <w:style w:type="character" w:customStyle="1" w:styleId="630">
    <w:name w:val="ref"/>
    <w:qFormat/>
    <w:uiPriority w:val="0"/>
  </w:style>
  <w:style w:type="paragraph" w:customStyle="1" w:styleId="631">
    <w:name w:val="fcolor"/>
    <w:basedOn w:val="1"/>
    <w:qFormat/>
    <w:uiPriority w:val="0"/>
    <w:pPr>
      <w:widowControl/>
      <w:spacing w:before="100" w:beforeAutospacing="1" w:after="100" w:afterAutospacing="1"/>
      <w:jc w:val="left"/>
    </w:pPr>
    <w:rPr>
      <w:rFonts w:ascii="宋体" w:hAnsi="宋体"/>
      <w:color w:val="000000"/>
      <w:kern w:val="0"/>
      <w:sz w:val="24"/>
    </w:rPr>
  </w:style>
  <w:style w:type="paragraph" w:customStyle="1" w:styleId="632">
    <w:name w:val="默认段落字体 Para Char Char Char Char Char Char Char Char Char Char"/>
    <w:basedOn w:val="7"/>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633">
    <w:name w:val="东明_章"/>
    <w:basedOn w:val="5"/>
    <w:qFormat/>
    <w:uiPriority w:val="0"/>
    <w:pPr>
      <w:keepLines/>
      <w:pBdr>
        <w:top w:val="single" w:color="808080" w:sz="24" w:space="1"/>
        <w:left w:val="single" w:color="808080" w:sz="24" w:space="4"/>
        <w:bottom w:val="single" w:color="808080" w:sz="24" w:space="1"/>
        <w:right w:val="single" w:color="808080" w:sz="24" w:space="4"/>
      </w:pBdr>
      <w:shd w:val="clear" w:color="auto" w:fill="D9D9D9"/>
      <w:tabs>
        <w:tab w:val="left" w:pos="0"/>
        <w:tab w:val="left" w:pos="1400"/>
        <w:tab w:val="left" w:pos="8280"/>
      </w:tabs>
      <w:overflowPunct/>
      <w:snapToGrid/>
      <w:spacing w:before="600" w:after="0" w:line="578" w:lineRule="auto"/>
      <w:ind w:left="1400" w:hanging="840"/>
      <w:jc w:val="center"/>
    </w:pPr>
    <w:rPr>
      <w:rFonts w:ascii="Arial" w:hAnsi="Arial" w:eastAsia="宋体-方正超大字符集"/>
      <w:color w:val="auto"/>
      <w:sz w:val="36"/>
      <w:szCs w:val="20"/>
    </w:rPr>
  </w:style>
  <w:style w:type="paragraph" w:customStyle="1" w:styleId="634">
    <w:name w:val="样式 标题 4 + 宋体 行距: 1.5 倍行距"/>
    <w:basedOn w:val="8"/>
    <w:qFormat/>
    <w:uiPriority w:val="0"/>
    <w:pPr>
      <w:snapToGrid w:val="0"/>
      <w:spacing w:before="0" w:beforeLines="50" w:after="0" w:line="360" w:lineRule="auto"/>
      <w:ind w:left="1985" w:hanging="1985"/>
      <w:jc w:val="left"/>
    </w:pPr>
    <w:rPr>
      <w:rFonts w:ascii="宋体" w:hAnsi="宋体" w:cs="宋体"/>
      <w:sz w:val="24"/>
      <w:szCs w:val="20"/>
    </w:rPr>
  </w:style>
  <w:style w:type="paragraph" w:customStyle="1" w:styleId="635">
    <w:name w:val="xl179"/>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636">
    <w:name w:val="其他发布日期"/>
    <w:basedOn w:val="1"/>
    <w:qFormat/>
    <w:uiPriority w:val="0"/>
    <w:pPr>
      <w:widowControl/>
      <w:numPr>
        <w:ilvl w:val="0"/>
        <w:numId w:val="6"/>
      </w:numPr>
      <w:jc w:val="left"/>
    </w:pPr>
    <w:rPr>
      <w:rFonts w:eastAsia="黑体"/>
      <w:kern w:val="0"/>
      <w:sz w:val="28"/>
      <w:szCs w:val="20"/>
    </w:rPr>
  </w:style>
  <w:style w:type="paragraph" w:customStyle="1" w:styleId="637">
    <w:name w:val="1表格"/>
    <w:basedOn w:val="1"/>
    <w:qFormat/>
    <w:uiPriority w:val="0"/>
    <w:pPr>
      <w:adjustRightInd w:val="0"/>
      <w:snapToGrid w:val="0"/>
      <w:jc w:val="center"/>
      <w:textAlignment w:val="baseline"/>
    </w:pPr>
    <w:rPr>
      <w:rFonts w:ascii="宋体" w:hAnsi="宋体" w:cs="宋体"/>
      <w:spacing w:val="4"/>
      <w:sz w:val="24"/>
    </w:rPr>
  </w:style>
  <w:style w:type="paragraph" w:customStyle="1" w:styleId="638">
    <w:name w:val="xl160"/>
    <w:basedOn w:val="1"/>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639">
    <w:name w:val="正文标题"/>
    <w:basedOn w:val="1"/>
    <w:qFormat/>
    <w:uiPriority w:val="0"/>
    <w:pPr>
      <w:spacing w:line="480" w:lineRule="auto"/>
      <w:ind w:firstLine="472" w:firstLineChars="196"/>
    </w:pPr>
    <w:rPr>
      <w:b/>
      <w:sz w:val="24"/>
    </w:rPr>
  </w:style>
  <w:style w:type="paragraph" w:customStyle="1" w:styleId="640">
    <w:name w:val="四级条标题"/>
    <w:basedOn w:val="641"/>
    <w:next w:val="1"/>
    <w:qFormat/>
    <w:uiPriority w:val="0"/>
    <w:pPr>
      <w:tabs>
        <w:tab w:val="left" w:pos="360"/>
        <w:tab w:val="left" w:pos="903"/>
      </w:tabs>
      <w:outlineLvl w:val="5"/>
    </w:pPr>
  </w:style>
  <w:style w:type="paragraph" w:customStyle="1" w:styleId="641">
    <w:name w:val="三级条标题"/>
    <w:basedOn w:val="642"/>
    <w:next w:val="1"/>
    <w:qFormat/>
    <w:uiPriority w:val="0"/>
    <w:pPr>
      <w:tabs>
        <w:tab w:val="left" w:pos="360"/>
        <w:tab w:val="left" w:pos="903"/>
      </w:tabs>
      <w:outlineLvl w:val="4"/>
    </w:pPr>
  </w:style>
  <w:style w:type="paragraph" w:customStyle="1" w:styleId="642">
    <w:name w:val="二级条标题"/>
    <w:basedOn w:val="643"/>
    <w:next w:val="1"/>
    <w:qFormat/>
    <w:uiPriority w:val="0"/>
    <w:pPr>
      <w:tabs>
        <w:tab w:val="left" w:pos="360"/>
        <w:tab w:val="left" w:pos="903"/>
      </w:tabs>
      <w:outlineLvl w:val="3"/>
    </w:pPr>
  </w:style>
  <w:style w:type="paragraph" w:customStyle="1" w:styleId="643">
    <w:name w:val="一级条标题"/>
    <w:basedOn w:val="644"/>
    <w:next w:val="1"/>
    <w:qFormat/>
    <w:uiPriority w:val="0"/>
    <w:pPr>
      <w:tabs>
        <w:tab w:val="left" w:pos="360"/>
        <w:tab w:val="left" w:pos="903"/>
      </w:tabs>
      <w:spacing w:before="0" w:after="0"/>
      <w:ind w:left="0" w:firstLine="0"/>
      <w:outlineLvl w:val="2"/>
    </w:pPr>
  </w:style>
  <w:style w:type="paragraph" w:customStyle="1" w:styleId="644">
    <w:name w:val="章标题"/>
    <w:next w:val="1"/>
    <w:qFormat/>
    <w:uiPriority w:val="0"/>
    <w:p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645">
    <w:name w:val="7"/>
    <w:basedOn w:val="1"/>
    <w:next w:val="10"/>
    <w:qFormat/>
    <w:uiPriority w:val="0"/>
    <w:pPr>
      <w:adjustRightInd w:val="0"/>
      <w:snapToGrid w:val="0"/>
      <w:spacing w:line="312" w:lineRule="auto"/>
      <w:ind w:firstLine="200" w:firstLineChars="200"/>
    </w:pPr>
    <w:rPr>
      <w:rFonts w:ascii="仿宋_GB2312" w:eastAsia="仿宋_GB2312"/>
      <w:sz w:val="28"/>
    </w:rPr>
  </w:style>
  <w:style w:type="paragraph" w:customStyle="1" w:styleId="646">
    <w:name w:val="样式 标题 3东明_小节H3条标题1.1.1二级节名h33rd level3l3CTHeading 3 - ..."/>
    <w:basedOn w:val="7"/>
    <w:qFormat/>
    <w:uiPriority w:val="0"/>
    <w:pPr>
      <w:spacing w:before="0" w:after="0" w:line="360" w:lineRule="auto"/>
    </w:pPr>
    <w:rPr>
      <w:rFonts w:eastAsia="黑体" w:cs="宋体"/>
      <w:sz w:val="24"/>
      <w:szCs w:val="20"/>
      <w:lang w:val="zh-CN"/>
    </w:rPr>
  </w:style>
  <w:style w:type="paragraph" w:customStyle="1" w:styleId="647">
    <w:name w:val="扉页 黑体-"/>
    <w:basedOn w:val="1"/>
    <w:qFormat/>
    <w:uiPriority w:val="0"/>
    <w:pPr>
      <w:spacing w:before="240" w:after="240" w:line="480" w:lineRule="exact"/>
      <w:ind w:firstLine="600" w:firstLineChars="200"/>
      <w:jc w:val="left"/>
    </w:pPr>
    <w:rPr>
      <w:rFonts w:eastAsia="黑体"/>
      <w:sz w:val="30"/>
      <w:szCs w:val="20"/>
    </w:rPr>
  </w:style>
  <w:style w:type="paragraph" w:customStyle="1" w:styleId="648">
    <w:name w:val="xl117"/>
    <w:basedOn w:val="1"/>
    <w:qFormat/>
    <w:uiPriority w:val="0"/>
    <w:pPr>
      <w:widowControl/>
      <w:pBdr>
        <w:left w:val="single" w:color="auto" w:sz="8" w:space="0"/>
      </w:pBdr>
      <w:spacing w:before="100" w:beforeAutospacing="1" w:after="100" w:afterAutospacing="1"/>
      <w:jc w:val="left"/>
    </w:pPr>
    <w:rPr>
      <w:rFonts w:ascii="Arial Unicode MS" w:hAnsi="Arial Unicode MS"/>
      <w:kern w:val="0"/>
    </w:rPr>
  </w:style>
  <w:style w:type="paragraph" w:customStyle="1" w:styleId="649">
    <w:name w:val="样式 题注 + 首行缩进:  2 字符"/>
    <w:basedOn w:val="24"/>
    <w:qFormat/>
    <w:uiPriority w:val="0"/>
    <w:pPr>
      <w:snapToGrid/>
      <w:spacing w:before="152" w:after="160" w:line="360" w:lineRule="auto"/>
      <w:ind w:firstLine="400" w:firstLineChars="200"/>
      <w:jc w:val="both"/>
    </w:pPr>
    <w:rPr>
      <w:rFonts w:cs="宋体"/>
      <w:sz w:val="21"/>
    </w:rPr>
  </w:style>
  <w:style w:type="paragraph" w:customStyle="1" w:styleId="650">
    <w:name w:val="样式 标题 4 + 左侧:  0 厘米 首行缩进:  0 厘米"/>
    <w:basedOn w:val="8"/>
    <w:qFormat/>
    <w:uiPriority w:val="0"/>
    <w:pPr>
      <w:spacing w:before="0" w:after="0" w:line="360" w:lineRule="auto"/>
    </w:pPr>
    <w:rPr>
      <w:rFonts w:ascii="黑体" w:hAnsi="宋体" w:eastAsia="黑体" w:cs="宋体"/>
      <w:b w:val="0"/>
      <w:sz w:val="24"/>
      <w:szCs w:val="20"/>
    </w:rPr>
  </w:style>
  <w:style w:type="paragraph" w:customStyle="1" w:styleId="651">
    <w:name w:val="xl73"/>
    <w:basedOn w:val="1"/>
    <w:qFormat/>
    <w:uiPriority w:val="0"/>
    <w:pPr>
      <w:widowControl/>
      <w:spacing w:before="100" w:beforeAutospacing="1" w:after="100" w:afterAutospacing="1"/>
      <w:jc w:val="center"/>
      <w:textAlignment w:val="bottom"/>
    </w:pPr>
    <w:rPr>
      <w:rFonts w:ascii="宋体" w:hAnsi="宋体"/>
      <w:b/>
      <w:bCs/>
      <w:kern w:val="0"/>
      <w:sz w:val="22"/>
      <w:szCs w:val="22"/>
    </w:rPr>
  </w:style>
  <w:style w:type="paragraph" w:customStyle="1" w:styleId="652">
    <w:name w:val="标题小四"/>
    <w:basedOn w:val="1"/>
    <w:next w:val="1"/>
    <w:qFormat/>
    <w:uiPriority w:val="0"/>
    <w:pPr>
      <w:spacing w:line="360" w:lineRule="auto"/>
      <w:jc w:val="center"/>
    </w:pPr>
    <w:rPr>
      <w:rFonts w:eastAsia="黑体"/>
      <w:sz w:val="24"/>
    </w:rPr>
  </w:style>
  <w:style w:type="paragraph" w:customStyle="1" w:styleId="653">
    <w:name w:val="Char1 Char Char Char2"/>
    <w:basedOn w:val="1"/>
    <w:qFormat/>
    <w:uiPriority w:val="0"/>
    <w:pPr>
      <w:spacing w:line="360" w:lineRule="auto"/>
      <w:ind w:firstLine="200" w:firstLineChars="200"/>
    </w:pPr>
    <w:rPr>
      <w:rFonts w:ascii="宋体" w:hAnsi="宋体" w:cs="宋体"/>
      <w:sz w:val="24"/>
    </w:rPr>
  </w:style>
  <w:style w:type="paragraph" w:customStyle="1" w:styleId="654">
    <w:name w:val="二级无标题条"/>
    <w:basedOn w:val="1"/>
    <w:qFormat/>
    <w:uiPriority w:val="0"/>
  </w:style>
  <w:style w:type="paragraph" w:customStyle="1" w:styleId="655">
    <w:name w:val="版式1-表名 Char Char Char"/>
    <w:basedOn w:val="10"/>
    <w:next w:val="1"/>
    <w:qFormat/>
    <w:uiPriority w:val="0"/>
    <w:pPr>
      <w:overflowPunct w:val="0"/>
      <w:snapToGrid w:val="0"/>
      <w:spacing w:beforeLines="50" w:afterLines="50" w:line="440" w:lineRule="exact"/>
      <w:ind w:firstLine="0" w:firstLineChars="0"/>
      <w:jc w:val="center"/>
    </w:pPr>
    <w:rPr>
      <w:rFonts w:ascii="华文细黑" w:hAnsi="华文细黑" w:eastAsia="华文细黑"/>
      <w:b/>
      <w:sz w:val="24"/>
    </w:rPr>
  </w:style>
  <w:style w:type="paragraph" w:customStyle="1" w:styleId="656">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rPr>
  </w:style>
  <w:style w:type="paragraph" w:customStyle="1" w:styleId="657">
    <w:name w:val="样式 标题 1章标题 11标题 1H1一、 + 行距: 1.5 倍行距1"/>
    <w:basedOn w:val="5"/>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658">
    <w:name w:val="4号两端对齐"/>
    <w:qFormat/>
    <w:uiPriority w:val="0"/>
    <w:pPr>
      <w:widowControl w:val="0"/>
      <w:adjustRightInd w:val="0"/>
      <w:snapToGrid w:val="0"/>
      <w:jc w:val="both"/>
    </w:pPr>
    <w:rPr>
      <w:rFonts w:ascii="宋体" w:hAnsi="Times New Roman" w:eastAsia="宋体" w:cs="Times New Roman"/>
      <w:sz w:val="28"/>
      <w:lang w:val="en-US" w:eastAsia="zh-CN" w:bidi="ar-SA"/>
    </w:rPr>
  </w:style>
  <w:style w:type="paragraph" w:customStyle="1" w:styleId="659">
    <w:name w:val="Char Char"/>
    <w:basedOn w:val="1"/>
    <w:qFormat/>
    <w:uiPriority w:val="0"/>
    <w:pPr>
      <w:widowControl/>
      <w:spacing w:after="160" w:line="240" w:lineRule="exact"/>
      <w:jc w:val="left"/>
    </w:pPr>
    <w:rPr>
      <w:rFonts w:ascii="Arial" w:hAnsi="Arial"/>
      <w:kern w:val="0"/>
      <w:sz w:val="20"/>
      <w:szCs w:val="20"/>
      <w:lang w:eastAsia="en-US"/>
    </w:rPr>
  </w:style>
  <w:style w:type="paragraph" w:customStyle="1" w:styleId="660">
    <w:name w:val="表目"/>
    <w:basedOn w:val="1"/>
    <w:qFormat/>
    <w:uiPriority w:val="0"/>
    <w:pPr>
      <w:adjustRightInd w:val="0"/>
      <w:spacing w:line="480" w:lineRule="atLeast"/>
      <w:ind w:left="-105" w:leftChars="-50" w:right="-105" w:rightChars="-50"/>
      <w:jc w:val="center"/>
      <w:textAlignment w:val="baseline"/>
    </w:pPr>
    <w:rPr>
      <w:rFonts w:ascii="Arial" w:hAnsi="Arial" w:eastAsia="仿宋_GB2312" w:cs="Arial"/>
      <w:kern w:val="0"/>
      <w:sz w:val="24"/>
      <w:szCs w:val="20"/>
    </w:rPr>
  </w:style>
  <w:style w:type="paragraph" w:customStyle="1" w:styleId="661">
    <w:name w:val="地理段落"/>
    <w:basedOn w:val="1"/>
    <w:qFormat/>
    <w:uiPriority w:val="0"/>
    <w:pPr>
      <w:adjustRightInd w:val="0"/>
      <w:snapToGrid w:val="0"/>
      <w:spacing w:line="360" w:lineRule="auto"/>
      <w:ind w:firstLine="200" w:firstLineChars="200"/>
    </w:pPr>
    <w:rPr>
      <w:rFonts w:ascii="仿宋_GB2312" w:eastAsia="仿宋_GB2312"/>
      <w:sz w:val="28"/>
      <w:szCs w:val="28"/>
    </w:rPr>
  </w:style>
  <w:style w:type="paragraph" w:customStyle="1" w:styleId="662">
    <w:name w:val="Char5"/>
    <w:basedOn w:val="1"/>
    <w:qFormat/>
    <w:uiPriority w:val="0"/>
  </w:style>
  <w:style w:type="paragraph" w:customStyle="1" w:styleId="663">
    <w:name w:val="综述"/>
    <w:qFormat/>
    <w:uiPriority w:val="0"/>
    <w:pPr>
      <w:spacing w:beforeLines="50" w:line="440" w:lineRule="exact"/>
      <w:ind w:firstLine="200" w:firstLineChars="200"/>
    </w:pPr>
    <w:rPr>
      <w:rFonts w:ascii="Times New Roman" w:hAnsi="Times New Roman" w:eastAsia="宋体" w:cs="MS Mincho"/>
      <w:b/>
      <w:kern w:val="2"/>
      <w:sz w:val="24"/>
      <w:szCs w:val="24"/>
      <w:lang w:val="en-US" w:eastAsia="zh-CN" w:bidi="ar-SA"/>
    </w:rPr>
  </w:style>
  <w:style w:type="paragraph" w:customStyle="1" w:styleId="664">
    <w:name w:val="样式 标题 3 + 宋体 四号1"/>
    <w:basedOn w:val="7"/>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665">
    <w:name w:val="样式 样式 正文文本缩进 + 行距: 固定值 24 磅1 + 首行缩进:  2 字符"/>
    <w:basedOn w:val="1"/>
    <w:qFormat/>
    <w:uiPriority w:val="0"/>
    <w:pPr>
      <w:spacing w:line="480" w:lineRule="exact"/>
      <w:ind w:firstLine="480" w:firstLineChars="200"/>
    </w:pPr>
    <w:rPr>
      <w:rFonts w:ascii="宋体" w:hAnsi="宋体" w:cs="宋体"/>
      <w:sz w:val="24"/>
      <w:szCs w:val="20"/>
    </w:rPr>
  </w:style>
  <w:style w:type="paragraph" w:customStyle="1" w:styleId="666">
    <w:name w:val="样式 标题 1 + 两端对齐"/>
    <w:basedOn w:val="5"/>
    <w:qFormat/>
    <w:uiPriority w:val="0"/>
    <w:pPr>
      <w:keepNext w:val="0"/>
      <w:pageBreakBefore/>
      <w:widowControl/>
      <w:tabs>
        <w:tab w:val="left" w:pos="390"/>
        <w:tab w:val="left" w:pos="420"/>
      </w:tabs>
      <w:overflowPunct/>
      <w:adjustRightInd w:val="0"/>
      <w:spacing w:before="0" w:after="0" w:line="300" w:lineRule="auto"/>
      <w:ind w:left="425" w:hanging="425"/>
      <w:jc w:val="center"/>
    </w:pPr>
    <w:rPr>
      <w:rFonts w:ascii="仿宋_GB2312" w:hAnsi="Calibri" w:eastAsia="仿宋_GB2312" w:cs="宋体"/>
      <w:b w:val="0"/>
      <w:bCs w:val="0"/>
      <w:snapToGrid w:val="0"/>
      <w:color w:val="auto"/>
      <w:kern w:val="0"/>
      <w:sz w:val="32"/>
      <w:szCs w:val="32"/>
    </w:rPr>
  </w:style>
  <w:style w:type="paragraph" w:customStyle="1" w:styleId="667">
    <w:name w:val="xl85"/>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68">
    <w:name w:val="xl118"/>
    <w:basedOn w:val="1"/>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69">
    <w:name w:val="xl134"/>
    <w:basedOn w:val="1"/>
    <w:qFormat/>
    <w:uiPriority w:val="0"/>
    <w:pPr>
      <w:widowControl/>
      <w:spacing w:before="100" w:beforeAutospacing="1" w:after="100" w:afterAutospacing="1"/>
      <w:jc w:val="left"/>
    </w:pPr>
    <w:rPr>
      <w:rFonts w:ascii="Arial Unicode MS" w:hAnsi="Arial Unicode MS"/>
      <w:kern w:val="0"/>
      <w:sz w:val="20"/>
      <w:szCs w:val="20"/>
    </w:rPr>
  </w:style>
  <w:style w:type="paragraph" w:customStyle="1" w:styleId="670">
    <w:name w:val="xl168"/>
    <w:basedOn w:val="1"/>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671">
    <w:name w:val="3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672">
    <w:name w:val="xl76"/>
    <w:basedOn w:val="1"/>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673">
    <w:name w:val="表蕊"/>
    <w:basedOn w:val="1"/>
    <w:qFormat/>
    <w:uiPriority w:val="0"/>
    <w:pPr>
      <w:adjustRightInd w:val="0"/>
      <w:spacing w:line="280" w:lineRule="atLeast"/>
      <w:jc w:val="left"/>
      <w:textAlignment w:val="baseline"/>
    </w:pPr>
    <w:rPr>
      <w:rFonts w:eastAsia="楷体_GB2312"/>
      <w:color w:val="000000"/>
      <w:spacing w:val="-10"/>
      <w:kern w:val="0"/>
    </w:rPr>
  </w:style>
  <w:style w:type="paragraph" w:customStyle="1" w:styleId="674">
    <w:name w:val="图"/>
    <w:basedOn w:val="475"/>
    <w:qFormat/>
    <w:uiPriority w:val="0"/>
    <w:pPr>
      <w:spacing w:line="240" w:lineRule="auto"/>
      <w:ind w:firstLine="0" w:firstLineChars="0"/>
      <w:jc w:val="center"/>
    </w:pPr>
  </w:style>
  <w:style w:type="paragraph" w:customStyle="1" w:styleId="675">
    <w:name w:val="Char Char Char Char1"/>
    <w:basedOn w:val="1"/>
    <w:qFormat/>
    <w:uiPriority w:val="0"/>
  </w:style>
  <w:style w:type="paragraph" w:customStyle="1" w:styleId="676">
    <w:name w:val="xl162"/>
    <w:basedOn w:val="1"/>
    <w:qFormat/>
    <w:uiPriority w:val="0"/>
    <w:pPr>
      <w:widowControl/>
      <w:pBdr>
        <w:bottom w:val="single" w:color="auto" w:sz="12" w:space="0"/>
        <w:righ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77">
    <w:name w:val="标题-图表"/>
    <w:basedOn w:val="1"/>
    <w:qFormat/>
    <w:uiPriority w:val="0"/>
    <w:pPr>
      <w:spacing w:line="500" w:lineRule="exact"/>
      <w:jc w:val="center"/>
    </w:pPr>
    <w:rPr>
      <w:rFonts w:ascii="黑体" w:eastAsia="黑体"/>
      <w:sz w:val="24"/>
    </w:rPr>
  </w:style>
  <w:style w:type="paragraph" w:customStyle="1" w:styleId="678">
    <w:name w:val="BG-WZ"/>
    <w:basedOn w:val="1"/>
    <w:qFormat/>
    <w:uiPriority w:val="0"/>
    <w:pPr>
      <w:adjustRightInd w:val="0"/>
      <w:snapToGrid w:val="0"/>
      <w:ind w:left="-51" w:right="-51"/>
      <w:jc w:val="center"/>
    </w:pPr>
    <w:rPr>
      <w:rFonts w:ascii="宋体" w:hAnsi="宋体"/>
      <w:szCs w:val="20"/>
    </w:rPr>
  </w:style>
  <w:style w:type="paragraph" w:customStyle="1" w:styleId="679">
    <w:name w:val="甲乙酮标题2"/>
    <w:basedOn w:val="6"/>
    <w:qFormat/>
    <w:uiPriority w:val="0"/>
    <w:pPr>
      <w:tabs>
        <w:tab w:val="left" w:pos="840"/>
      </w:tabs>
      <w:ind w:left="840"/>
    </w:pPr>
    <w:rPr>
      <w:rFonts w:ascii="Times New Roman" w:hAnsi="Times New Roman" w:eastAsia="宋体"/>
      <w:kern w:val="0"/>
    </w:rPr>
  </w:style>
  <w:style w:type="paragraph" w:customStyle="1" w:styleId="680">
    <w:name w:val="char"/>
    <w:basedOn w:val="1"/>
    <w:qFormat/>
    <w:uiPriority w:val="0"/>
    <w:pPr>
      <w:widowControl/>
      <w:spacing w:after="160"/>
      <w:jc w:val="left"/>
    </w:pPr>
    <w:rPr>
      <w:rFonts w:ascii="宋体" w:hAnsi="宋体" w:cs="宋体"/>
      <w:sz w:val="24"/>
    </w:rPr>
  </w:style>
  <w:style w:type="paragraph" w:customStyle="1" w:styleId="681">
    <w:name w:val="In Table"/>
    <w:basedOn w:val="1"/>
    <w:qFormat/>
    <w:uiPriority w:val="0"/>
    <w:pPr>
      <w:keepNext/>
      <w:tabs>
        <w:tab w:val="left" w:pos="3960"/>
        <w:tab w:val="left" w:pos="5280"/>
      </w:tabs>
      <w:snapToGrid w:val="0"/>
      <w:spacing w:beforeLines="40" w:afterLines="40" w:line="0" w:lineRule="atLeast"/>
      <w:contextualSpacing/>
      <w:jc w:val="center"/>
    </w:pPr>
    <w:rPr>
      <w:rFonts w:ascii="Tahoma" w:hAnsi="Tahoma" w:eastAsia="华文中宋" w:cs="Arial"/>
      <w:szCs w:val="20"/>
    </w:rPr>
  </w:style>
  <w:style w:type="paragraph" w:customStyle="1" w:styleId="682">
    <w:name w:val="xl49"/>
    <w:basedOn w:val="1"/>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683">
    <w:name w:val="表的格式（小四）"/>
    <w:basedOn w:val="1"/>
    <w:qFormat/>
    <w:uiPriority w:val="0"/>
    <w:pPr>
      <w:adjustRightInd w:val="0"/>
      <w:spacing w:line="360" w:lineRule="atLeast"/>
      <w:jc w:val="center"/>
    </w:pPr>
    <w:rPr>
      <w:kern w:val="0"/>
      <w:sz w:val="24"/>
      <w:szCs w:val="20"/>
    </w:rPr>
  </w:style>
  <w:style w:type="paragraph" w:customStyle="1" w:styleId="684">
    <w:name w:val="术语标题"/>
    <w:basedOn w:val="1"/>
    <w:next w:val="1"/>
    <w:qFormat/>
    <w:uiPriority w:val="0"/>
    <w:pPr>
      <w:ind w:firstLine="425"/>
    </w:pPr>
    <w:rPr>
      <w:rFonts w:ascii="黑体" w:eastAsia="黑体"/>
      <w:szCs w:val="20"/>
    </w:rPr>
  </w:style>
  <w:style w:type="paragraph" w:customStyle="1" w:styleId="685">
    <w:name w:val="东明_正文 Char Char Char"/>
    <w:basedOn w:val="1"/>
    <w:qFormat/>
    <w:uiPriority w:val="0"/>
    <w:pPr>
      <w:spacing w:before="240" w:after="240" w:line="480" w:lineRule="exact"/>
      <w:ind w:firstLine="560" w:firstLineChars="200"/>
    </w:pPr>
    <w:rPr>
      <w:sz w:val="28"/>
      <w:szCs w:val="20"/>
    </w:rPr>
  </w:style>
  <w:style w:type="paragraph" w:customStyle="1" w:styleId="686">
    <w:name w:val="样式 表标题4.9 + 居中"/>
    <w:basedOn w:val="1"/>
    <w:qFormat/>
    <w:uiPriority w:val="0"/>
    <w:pPr>
      <w:numPr>
        <w:ilvl w:val="0"/>
        <w:numId w:val="7"/>
      </w:numPr>
      <w:tabs>
        <w:tab w:val="center" w:pos="4060"/>
        <w:tab w:val="right" w:pos="8261"/>
      </w:tabs>
      <w:suppressAutoHyphens/>
      <w:adjustRightInd w:val="0"/>
      <w:spacing w:before="240" w:line="0" w:lineRule="atLeast"/>
      <w:jc w:val="center"/>
    </w:pPr>
    <w:rPr>
      <w:rFonts w:ascii="黑体" w:eastAsia="黑体" w:cs="宋体"/>
      <w:b/>
      <w:bCs/>
      <w:spacing w:val="6"/>
      <w:kern w:val="0"/>
      <w:sz w:val="26"/>
      <w:szCs w:val="20"/>
    </w:rPr>
  </w:style>
  <w:style w:type="paragraph" w:customStyle="1" w:styleId="687">
    <w:name w:val="(文字) (文字)"/>
    <w:basedOn w:val="1"/>
    <w:qFormat/>
    <w:uiPriority w:val="0"/>
  </w:style>
  <w:style w:type="paragraph" w:customStyle="1" w:styleId="688">
    <w:name w:val="xl170"/>
    <w:basedOn w:val="1"/>
    <w:qFormat/>
    <w:uiPriority w:val="0"/>
    <w:pPr>
      <w:widowControl/>
      <w:pBdr>
        <w:left w:val="single" w:color="auto" w:sz="4"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89">
    <w:name w:val="xl92"/>
    <w:basedOn w:val="1"/>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90">
    <w:name w:val="首页脚注"/>
    <w:basedOn w:val="52"/>
    <w:qFormat/>
    <w:uiPriority w:val="0"/>
    <w:pPr>
      <w:keepLines/>
      <w:widowControl/>
      <w:tabs>
        <w:tab w:val="center" w:pos="4320"/>
        <w:tab w:val="clear" w:pos="4153"/>
        <w:tab w:val="clear" w:pos="8306"/>
      </w:tabs>
      <w:overflowPunct w:val="0"/>
      <w:autoSpaceDE w:val="0"/>
      <w:autoSpaceDN w:val="0"/>
      <w:adjustRightInd w:val="0"/>
      <w:snapToGrid/>
      <w:jc w:val="center"/>
      <w:textAlignment w:val="baseline"/>
    </w:pPr>
    <w:rPr>
      <w:sz w:val="20"/>
    </w:rPr>
  </w:style>
  <w:style w:type="paragraph" w:customStyle="1" w:styleId="691">
    <w:name w:val="文本框文字格式"/>
    <w:basedOn w:val="1"/>
    <w:qFormat/>
    <w:uiPriority w:val="0"/>
    <w:pPr>
      <w:jc w:val="center"/>
    </w:pPr>
    <w:rPr>
      <w:sz w:val="24"/>
    </w:rPr>
  </w:style>
  <w:style w:type="paragraph" w:customStyle="1" w:styleId="692">
    <w:name w:val="Char Char Char Char Char Char Char Char Char Char Char Char Char Char Char Char Char Char Char1"/>
    <w:basedOn w:val="1"/>
    <w:qFormat/>
    <w:uiPriority w:val="0"/>
    <w:pPr>
      <w:widowControl/>
      <w:contextualSpacing/>
      <w:jc w:val="left"/>
    </w:pPr>
    <w:rPr>
      <w:rFonts w:cs="宋体"/>
      <w:kern w:val="0"/>
    </w:rPr>
  </w:style>
  <w:style w:type="paragraph" w:customStyle="1" w:styleId="693">
    <w:name w:val="标2"/>
    <w:basedOn w:val="6"/>
    <w:next w:val="294"/>
    <w:qFormat/>
    <w:uiPriority w:val="0"/>
    <w:pPr>
      <w:tabs>
        <w:tab w:val="left" w:pos="0"/>
      </w:tabs>
      <w:spacing w:before="0" w:after="0" w:line="240" w:lineRule="auto"/>
      <w:ind w:left="576" w:hanging="576"/>
      <w:contextualSpacing/>
      <w:jc w:val="left"/>
    </w:pPr>
    <w:rPr>
      <w:rFonts w:ascii="黑体" w:hAnsi="黑体" w:cs="宋体"/>
      <w:bCs w:val="0"/>
      <w:sz w:val="30"/>
      <w:szCs w:val="20"/>
    </w:rPr>
  </w:style>
  <w:style w:type="paragraph" w:customStyle="1" w:styleId="694">
    <w:name w:val="style12"/>
    <w:basedOn w:val="1"/>
    <w:qFormat/>
    <w:uiPriority w:val="0"/>
    <w:pPr>
      <w:widowControl/>
      <w:spacing w:before="100" w:beforeAutospacing="1" w:after="100" w:afterAutospacing="1"/>
      <w:jc w:val="left"/>
    </w:pPr>
    <w:rPr>
      <w:rFonts w:ascii="Arial" w:hAnsi="Arial" w:cs="Arial"/>
      <w:color w:val="666666"/>
      <w:kern w:val="0"/>
      <w:sz w:val="18"/>
      <w:szCs w:val="18"/>
    </w:rPr>
  </w:style>
  <w:style w:type="paragraph" w:customStyle="1" w:styleId="695">
    <w:name w:val="xl62"/>
    <w:basedOn w:val="1"/>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696">
    <w:name w:val="样式6"/>
    <w:basedOn w:val="1"/>
    <w:next w:val="1"/>
    <w:qFormat/>
    <w:uiPriority w:val="0"/>
    <w:pPr>
      <w:adjustRightInd w:val="0"/>
      <w:jc w:val="center"/>
      <w:textAlignment w:val="center"/>
    </w:pPr>
  </w:style>
  <w:style w:type="paragraph" w:customStyle="1" w:styleId="697">
    <w:name w:val="样式8"/>
    <w:basedOn w:val="1"/>
    <w:next w:val="1"/>
    <w:qFormat/>
    <w:uiPriority w:val="0"/>
    <w:pPr>
      <w:ind w:firstLine="420"/>
    </w:pPr>
    <w:rPr>
      <w:rFonts w:ascii="宋体" w:hAnsi="Arial Black" w:cs="宋体"/>
      <w:sz w:val="24"/>
    </w:rPr>
  </w:style>
  <w:style w:type="paragraph" w:customStyle="1" w:styleId="698">
    <w:name w:val="工业统一正文"/>
    <w:basedOn w:val="1"/>
    <w:qFormat/>
    <w:uiPriority w:val="0"/>
    <w:pPr>
      <w:adjustRightInd w:val="0"/>
      <w:snapToGrid w:val="0"/>
      <w:spacing w:line="360" w:lineRule="auto"/>
      <w:ind w:firstLine="200" w:firstLineChars="200"/>
      <w:jc w:val="left"/>
    </w:pPr>
    <w:rPr>
      <w:rFonts w:ascii="宋体"/>
      <w:sz w:val="28"/>
      <w:szCs w:val="20"/>
    </w:rPr>
  </w:style>
  <w:style w:type="paragraph" w:customStyle="1" w:styleId="699">
    <w:name w:val="菏泽-正文 Char Char Char"/>
    <w:basedOn w:val="1"/>
    <w:qFormat/>
    <w:uiPriority w:val="0"/>
    <w:pPr>
      <w:spacing w:line="440" w:lineRule="exact"/>
      <w:ind w:firstLine="420" w:firstLineChars="200"/>
    </w:pPr>
    <w:rPr>
      <w:rFonts w:ascii="Arial" w:hAnsi="Arial" w:eastAsia="华文细黑"/>
      <w:szCs w:val="20"/>
    </w:rPr>
  </w:style>
  <w:style w:type="paragraph" w:customStyle="1" w:styleId="700">
    <w:name w:val="xl173"/>
    <w:basedOn w:val="1"/>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701">
    <w:name w:val="pian"/>
    <w:basedOn w:val="1"/>
    <w:qFormat/>
    <w:uiPriority w:val="0"/>
    <w:pPr>
      <w:widowControl/>
      <w:spacing w:before="100" w:beforeAutospacing="1" w:after="100" w:afterAutospacing="1"/>
      <w:jc w:val="left"/>
    </w:pPr>
    <w:rPr>
      <w:rFonts w:ascii="宋体" w:hAnsi="宋体"/>
      <w:kern w:val="0"/>
      <w:sz w:val="24"/>
    </w:rPr>
  </w:style>
  <w:style w:type="paragraph" w:customStyle="1" w:styleId="702">
    <w:name w:val="缩进"/>
    <w:basedOn w:val="1"/>
    <w:qFormat/>
    <w:uiPriority w:val="0"/>
    <w:pPr>
      <w:autoSpaceDE w:val="0"/>
      <w:autoSpaceDN w:val="0"/>
      <w:adjustRightInd w:val="0"/>
      <w:spacing w:line="400" w:lineRule="atLeast"/>
      <w:ind w:firstLine="200" w:firstLineChars="200"/>
      <w:textAlignment w:val="baseline"/>
    </w:pPr>
    <w:rPr>
      <w:kern w:val="0"/>
      <w:sz w:val="24"/>
      <w:szCs w:val="20"/>
    </w:rPr>
  </w:style>
  <w:style w:type="paragraph" w:customStyle="1" w:styleId="703">
    <w:name w:val="工艺统一正文"/>
    <w:basedOn w:val="1"/>
    <w:qFormat/>
    <w:uiPriority w:val="0"/>
    <w:pPr>
      <w:adjustRightInd w:val="0"/>
      <w:snapToGrid w:val="0"/>
      <w:spacing w:line="360" w:lineRule="auto"/>
      <w:ind w:firstLine="578"/>
    </w:pPr>
    <w:rPr>
      <w:rFonts w:ascii="宋体"/>
      <w:sz w:val="28"/>
      <w:szCs w:val="20"/>
    </w:rPr>
  </w:style>
  <w:style w:type="paragraph" w:customStyle="1" w:styleId="704">
    <w:name w:val="样式 楷体_GB2312 居中"/>
    <w:basedOn w:val="1"/>
    <w:qFormat/>
    <w:uiPriority w:val="0"/>
    <w:pPr>
      <w:spacing w:line="360" w:lineRule="auto"/>
      <w:jc w:val="center"/>
    </w:pPr>
    <w:rPr>
      <w:rFonts w:ascii="楷体_GB2312" w:eastAsia="楷体_GB2312"/>
      <w:szCs w:val="20"/>
      <w:lang w:bidi="ar-OM"/>
    </w:rPr>
  </w:style>
  <w:style w:type="paragraph" w:customStyle="1" w:styleId="705">
    <w:name w:val="居中正文"/>
    <w:basedOn w:val="82"/>
    <w:qFormat/>
    <w:uiPriority w:val="0"/>
    <w:pPr>
      <w:adjustRightInd w:val="0"/>
      <w:spacing w:before="120" w:after="0" w:line="360" w:lineRule="auto"/>
      <w:ind w:firstLine="0" w:firstLineChars="0"/>
      <w:jc w:val="center"/>
      <w:textAlignment w:val="baseline"/>
    </w:pPr>
    <w:rPr>
      <w:rFonts w:ascii="宋体"/>
      <w:kern w:val="28"/>
      <w:sz w:val="24"/>
      <w:szCs w:val="20"/>
    </w:rPr>
  </w:style>
  <w:style w:type="paragraph" w:customStyle="1" w:styleId="706">
    <w:name w:val="Char4"/>
    <w:basedOn w:val="1"/>
    <w:qFormat/>
    <w:uiPriority w:val="0"/>
    <w:pPr>
      <w:widowControl/>
      <w:spacing w:after="160"/>
      <w:jc w:val="left"/>
    </w:pPr>
    <w:rPr>
      <w:rFonts w:ascii="Verdana" w:hAnsi="Verdana" w:eastAsia="仿宋_GB2312" w:cs="”“Times New Roman”“"/>
      <w:kern w:val="0"/>
      <w:sz w:val="28"/>
      <w:szCs w:val="28"/>
      <w:lang w:eastAsia="en-US"/>
    </w:rPr>
  </w:style>
  <w:style w:type="paragraph" w:customStyle="1" w:styleId="707">
    <w:name w:val="CM75"/>
    <w:basedOn w:val="1"/>
    <w:next w:val="1"/>
    <w:qFormat/>
    <w:uiPriority w:val="0"/>
    <w:pPr>
      <w:autoSpaceDE w:val="0"/>
      <w:autoSpaceDN w:val="0"/>
      <w:adjustRightInd w:val="0"/>
      <w:spacing w:after="60"/>
      <w:jc w:val="left"/>
    </w:pPr>
    <w:rPr>
      <w:rFonts w:ascii="Sim Sun+ 2" w:eastAsia="Sim Sun+ 2" w:cs="Sim Sun+ 2"/>
      <w:kern w:val="0"/>
      <w:sz w:val="24"/>
    </w:rPr>
  </w:style>
  <w:style w:type="paragraph" w:customStyle="1" w:styleId="708">
    <w:name w:val="WPS Plain"/>
    <w:qFormat/>
    <w:uiPriority w:val="0"/>
    <w:rPr>
      <w:rFonts w:ascii="Times New Roman" w:hAnsi="Times New Roman" w:eastAsia="宋体" w:cs="Times New Roman"/>
      <w:lang w:val="en-US" w:eastAsia="zh-CN" w:bidi="ar-SA"/>
    </w:rPr>
  </w:style>
  <w:style w:type="paragraph" w:customStyle="1" w:styleId="709">
    <w:name w:val="xl133"/>
    <w:basedOn w:val="1"/>
    <w:qFormat/>
    <w:uiPriority w:val="0"/>
    <w:pPr>
      <w:widowControl/>
      <w:pBdr>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10">
    <w:name w:val="xl57"/>
    <w:basedOn w:val="1"/>
    <w:qFormat/>
    <w:uiPriority w:val="0"/>
    <w:pPr>
      <w:widowControl/>
      <w:spacing w:before="100" w:beforeAutospacing="1" w:after="100" w:afterAutospacing="1"/>
      <w:jc w:val="left"/>
    </w:pPr>
    <w:rPr>
      <w:rFonts w:ascii="宋体" w:hAnsi="宋体"/>
      <w:b/>
      <w:bCs/>
      <w:kern w:val="0"/>
      <w:sz w:val="22"/>
      <w:szCs w:val="22"/>
    </w:rPr>
  </w:style>
  <w:style w:type="paragraph" w:customStyle="1" w:styleId="711">
    <w:name w:val="宏福正文-2"/>
    <w:basedOn w:val="82"/>
    <w:qFormat/>
    <w:uiPriority w:val="0"/>
    <w:pPr>
      <w:snapToGrid w:val="0"/>
      <w:spacing w:before="240" w:after="0" w:line="400" w:lineRule="atLeast"/>
      <w:ind w:firstLine="567" w:firstLineChars="0"/>
    </w:pPr>
    <w:rPr>
      <w:kern w:val="0"/>
      <w:sz w:val="28"/>
    </w:rPr>
  </w:style>
  <w:style w:type="paragraph" w:customStyle="1" w:styleId="712">
    <w:name w:val="正文2"/>
    <w:qFormat/>
    <w:uiPriority w:val="0"/>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713">
    <w:name w:val="我的样式（正文）"/>
    <w:basedOn w:val="1"/>
    <w:qFormat/>
    <w:uiPriority w:val="0"/>
    <w:pPr>
      <w:spacing w:line="440" w:lineRule="exact"/>
    </w:pPr>
    <w:rPr>
      <w:rFonts w:ascii="宋体"/>
      <w:sz w:val="28"/>
      <w:szCs w:val="20"/>
    </w:rPr>
  </w:style>
  <w:style w:type="paragraph" w:customStyle="1" w:styleId="714">
    <w:name w:val="xl36"/>
    <w:basedOn w:val="1"/>
    <w:qFormat/>
    <w:uiPriority w:val="0"/>
    <w:pPr>
      <w:widowControl/>
      <w:spacing w:before="100" w:beforeAutospacing="1" w:after="100" w:afterAutospacing="1"/>
      <w:jc w:val="left"/>
      <w:textAlignment w:val="bottom"/>
    </w:pPr>
    <w:rPr>
      <w:rFonts w:ascii="Arial" w:hAnsi="Arial" w:cs="Arial"/>
      <w:b/>
      <w:bCs/>
      <w:kern w:val="0"/>
      <w:sz w:val="24"/>
    </w:rPr>
  </w:style>
  <w:style w:type="paragraph" w:customStyle="1" w:styleId="715">
    <w:name w:val="表格文字居中 Char"/>
    <w:basedOn w:val="82"/>
    <w:qFormat/>
    <w:uiPriority w:val="0"/>
    <w:pPr>
      <w:keepNext/>
      <w:tabs>
        <w:tab w:val="left" w:pos="628"/>
        <w:tab w:val="left" w:pos="1727"/>
        <w:tab w:val="left" w:pos="1884"/>
        <w:tab w:val="left" w:pos="2660"/>
        <w:tab w:val="left" w:pos="5460"/>
      </w:tabs>
      <w:spacing w:before="100" w:beforeAutospacing="1" w:after="0"/>
      <w:ind w:firstLine="0" w:firstLineChars="0"/>
      <w:jc w:val="center"/>
    </w:pPr>
    <w:rPr>
      <w:rFonts w:ascii="宋体"/>
      <w:bCs/>
      <w:color w:val="000000"/>
      <w:kern w:val="0"/>
      <w:sz w:val="24"/>
    </w:rPr>
  </w:style>
  <w:style w:type="paragraph" w:customStyle="1" w:styleId="716">
    <w:name w:val="Char2"/>
    <w:basedOn w:val="1"/>
    <w:qFormat/>
    <w:uiPriority w:val="0"/>
    <w:pPr>
      <w:spacing w:line="360" w:lineRule="auto"/>
      <w:ind w:firstLine="200" w:firstLineChars="200"/>
    </w:pPr>
    <w:rPr>
      <w:rFonts w:ascii="宋体" w:hAnsi="宋体" w:cs="宋体"/>
      <w:sz w:val="24"/>
    </w:rPr>
  </w:style>
  <w:style w:type="paragraph" w:customStyle="1" w:styleId="717">
    <w:name w:val="xl58"/>
    <w:basedOn w:val="1"/>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718">
    <w:name w:val="7表格(治)"/>
    <w:qFormat/>
    <w:uiPriority w:val="0"/>
    <w:pPr>
      <w:jc w:val="center"/>
    </w:pPr>
    <w:rPr>
      <w:rFonts w:ascii="Calibri" w:hAnsi="Calibri" w:eastAsia="楷体_GB2312" w:cs="Times New Roman"/>
      <w:color w:val="000000"/>
      <w:sz w:val="21"/>
      <w:lang w:val="en-US" w:eastAsia="zh-CN" w:bidi="ar-SA"/>
    </w:rPr>
  </w:style>
  <w:style w:type="paragraph" w:customStyle="1" w:styleId="719">
    <w:name w:val="环表"/>
    <w:basedOn w:val="553"/>
    <w:qFormat/>
    <w:uiPriority w:val="0"/>
    <w:pPr>
      <w:tabs>
        <w:tab w:val="left" w:pos="1464"/>
        <w:tab w:val="left" w:pos="5094"/>
      </w:tabs>
      <w:suppressAutoHyphens w:val="0"/>
      <w:spacing w:before="120" w:after="120" w:line="324" w:lineRule="auto"/>
      <w:ind w:left="7" w:right="29" w:firstLine="539"/>
      <w:jc w:val="center"/>
    </w:pPr>
    <w:rPr>
      <w:rFonts w:hAnsi="Courier New"/>
      <w:sz w:val="21"/>
    </w:rPr>
  </w:style>
  <w:style w:type="paragraph" w:customStyle="1" w:styleId="720">
    <w:name w:val="Char Char Char Char Char Char Char2"/>
    <w:basedOn w:val="1"/>
    <w:qFormat/>
    <w:uiPriority w:val="0"/>
    <w:pPr>
      <w:widowControl/>
      <w:spacing w:after="160" w:line="240" w:lineRule="exact"/>
      <w:contextualSpacing/>
      <w:jc w:val="left"/>
    </w:pPr>
    <w:rPr>
      <w:rFonts w:ascii="Arial" w:hAnsi="Arial" w:eastAsia="Times New Roman" w:cs="Verdana"/>
      <w:b/>
      <w:kern w:val="0"/>
      <w:lang w:eastAsia="en-US"/>
    </w:rPr>
  </w:style>
  <w:style w:type="paragraph" w:customStyle="1" w:styleId="721">
    <w:name w:val="xl59"/>
    <w:basedOn w:val="1"/>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22">
    <w:name w:val="w4"/>
    <w:basedOn w:val="1"/>
    <w:qFormat/>
    <w:uiPriority w:val="0"/>
    <w:pPr>
      <w:widowControl/>
      <w:spacing w:before="100" w:beforeAutospacing="1" w:after="100" w:afterAutospacing="1" w:line="336" w:lineRule="auto"/>
      <w:ind w:firstLine="360"/>
      <w:jc w:val="left"/>
    </w:pPr>
    <w:rPr>
      <w:rFonts w:ascii="Calibri" w:hAnsi="Calibri"/>
      <w:color w:val="8A5E00"/>
      <w:kern w:val="0"/>
      <w:sz w:val="18"/>
      <w:szCs w:val="18"/>
    </w:rPr>
  </w:style>
  <w:style w:type="paragraph" w:customStyle="1" w:styleId="723">
    <w:name w:val="xl176"/>
    <w:basedOn w:val="1"/>
    <w:qFormat/>
    <w:uiPriority w:val="0"/>
    <w:pPr>
      <w:widowControl/>
      <w:pBdr>
        <w:top w:val="single" w:color="auto" w:sz="12" w:space="0"/>
        <w:left w:val="single" w:color="auto" w:sz="12" w:space="0"/>
      </w:pBdr>
      <w:spacing w:before="100" w:beforeAutospacing="1" w:after="100" w:afterAutospacing="1"/>
      <w:jc w:val="left"/>
    </w:pPr>
    <w:rPr>
      <w:rFonts w:ascii="Arial Unicode MS" w:hAnsi="Arial Unicode MS"/>
      <w:kern w:val="0"/>
    </w:rPr>
  </w:style>
  <w:style w:type="paragraph" w:customStyle="1" w:styleId="724">
    <w:name w:val="表格文字居中"/>
    <w:basedOn w:val="1"/>
    <w:next w:val="82"/>
    <w:qFormat/>
    <w:uiPriority w:val="0"/>
    <w:pPr>
      <w:keepNext/>
      <w:tabs>
        <w:tab w:val="left" w:pos="628"/>
        <w:tab w:val="left" w:pos="1727"/>
        <w:tab w:val="left" w:pos="1884"/>
      </w:tabs>
      <w:adjustRightInd w:val="0"/>
      <w:snapToGrid w:val="0"/>
      <w:contextualSpacing/>
      <w:jc w:val="center"/>
    </w:pPr>
    <w:rPr>
      <w:bCs/>
      <w:color w:val="000000"/>
      <w:kern w:val="0"/>
    </w:rPr>
  </w:style>
  <w:style w:type="paragraph" w:customStyle="1" w:styleId="725">
    <w:name w:val="缺省文本_宋体"/>
    <w:basedOn w:val="1"/>
    <w:qFormat/>
    <w:uiPriority w:val="0"/>
    <w:pPr>
      <w:tabs>
        <w:tab w:val="left" w:pos="525"/>
        <w:tab w:val="center" w:pos="5670"/>
        <w:tab w:val="right" w:pos="7655"/>
      </w:tabs>
      <w:spacing w:before="80" w:after="120" w:line="360" w:lineRule="auto"/>
      <w:outlineLvl w:val="7"/>
    </w:pPr>
    <w:rPr>
      <w:spacing w:val="16"/>
      <w:kern w:val="28"/>
      <w:sz w:val="24"/>
      <w:szCs w:val="20"/>
    </w:rPr>
  </w:style>
  <w:style w:type="paragraph" w:customStyle="1" w:styleId="726">
    <w:name w:val="流程图"/>
    <w:basedOn w:val="1"/>
    <w:qFormat/>
    <w:uiPriority w:val="0"/>
    <w:pPr>
      <w:tabs>
        <w:tab w:val="left" w:pos="0"/>
      </w:tabs>
      <w:autoSpaceDE w:val="0"/>
      <w:autoSpaceDN w:val="0"/>
      <w:adjustRightInd w:val="0"/>
      <w:spacing w:line="240" w:lineRule="atLeast"/>
      <w:jc w:val="center"/>
      <w:textAlignment w:val="bottom"/>
    </w:pPr>
    <w:rPr>
      <w:rFonts w:ascii="宋体"/>
      <w:szCs w:val="20"/>
    </w:rPr>
  </w:style>
  <w:style w:type="paragraph" w:customStyle="1" w:styleId="727">
    <w:name w:val="流程文字"/>
    <w:basedOn w:val="1"/>
    <w:qFormat/>
    <w:uiPriority w:val="0"/>
    <w:pPr>
      <w:tabs>
        <w:tab w:val="left" w:pos="6480"/>
      </w:tabs>
      <w:topLinePunct/>
      <w:adjustRightInd w:val="0"/>
      <w:snapToGrid w:val="0"/>
      <w:jc w:val="center"/>
    </w:pPr>
    <w:rPr>
      <w:rFonts w:eastAsia="仿宋_GB2312"/>
      <w:szCs w:val="20"/>
    </w:rPr>
  </w:style>
  <w:style w:type="paragraph" w:customStyle="1" w:styleId="728">
    <w:name w:val="表格1"/>
    <w:basedOn w:val="1"/>
    <w:qFormat/>
    <w:uiPriority w:val="0"/>
    <w:pPr>
      <w:jc w:val="center"/>
    </w:pPr>
  </w:style>
  <w:style w:type="paragraph" w:customStyle="1" w:styleId="729">
    <w:name w:val="xl53"/>
    <w:basedOn w:val="1"/>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730">
    <w:name w:val="EIA1"/>
    <w:basedOn w:val="5"/>
    <w:qFormat/>
    <w:uiPriority w:val="0"/>
    <w:pPr>
      <w:tabs>
        <w:tab w:val="left" w:pos="390"/>
      </w:tabs>
      <w:overflowPunct/>
      <w:snapToGrid/>
      <w:spacing w:before="0" w:after="0" w:line="480" w:lineRule="auto"/>
      <w:ind w:left="390" w:firstLine="0"/>
      <w:jc w:val="left"/>
    </w:pPr>
    <w:rPr>
      <w:rFonts w:ascii="Calibri" w:hAnsi="Calibri" w:eastAsia="宋体"/>
      <w:bCs w:val="0"/>
      <w:color w:val="auto"/>
      <w:kern w:val="2"/>
      <w:sz w:val="32"/>
      <w:szCs w:val="20"/>
    </w:rPr>
  </w:style>
  <w:style w:type="paragraph" w:customStyle="1" w:styleId="731">
    <w:name w:val="标准条文"/>
    <w:basedOn w:val="732"/>
    <w:next w:val="732"/>
    <w:qFormat/>
    <w:uiPriority w:val="0"/>
    <w:rPr>
      <w:rFonts w:ascii="宋体"/>
      <w:color w:val="auto"/>
    </w:rPr>
  </w:style>
  <w:style w:type="paragraph" w:customStyle="1" w:styleId="732">
    <w:name w:val="Default"/>
    <w:next w:val="1"/>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733">
    <w:name w:val="font5"/>
    <w:basedOn w:val="1"/>
    <w:qFormat/>
    <w:uiPriority w:val="0"/>
    <w:pPr>
      <w:widowControl/>
      <w:spacing w:before="100" w:beforeAutospacing="1" w:after="100" w:afterAutospacing="1"/>
      <w:jc w:val="left"/>
    </w:pPr>
    <w:rPr>
      <w:rFonts w:hint="eastAsia" w:ascii="宋体" w:hAnsi="宋体"/>
      <w:kern w:val="0"/>
      <w:sz w:val="18"/>
      <w:szCs w:val="18"/>
    </w:rPr>
  </w:style>
  <w:style w:type="paragraph" w:customStyle="1" w:styleId="734">
    <w:name w:val="表格标题2"/>
    <w:basedOn w:val="160"/>
    <w:qFormat/>
    <w:uiPriority w:val="0"/>
    <w:pPr>
      <w:adjustRightInd/>
      <w:snapToGrid/>
      <w:spacing w:line="360" w:lineRule="auto"/>
      <w:jc w:val="left"/>
      <w:textAlignment w:val="auto"/>
    </w:pPr>
    <w:rPr>
      <w:rFonts w:eastAsia="宋体"/>
      <w:b/>
      <w:color w:val="000000"/>
      <w:sz w:val="24"/>
      <w:szCs w:val="21"/>
    </w:rPr>
  </w:style>
  <w:style w:type="paragraph" w:customStyle="1" w:styleId="735">
    <w:name w:val="图文字"/>
    <w:basedOn w:val="1"/>
    <w:qFormat/>
    <w:uiPriority w:val="0"/>
    <w:pPr>
      <w:spacing w:line="400" w:lineRule="exact"/>
      <w:jc w:val="center"/>
    </w:pPr>
    <w:rPr>
      <w:rFonts w:ascii="宋体" w:hAnsi="宋体"/>
      <w:kern w:val="44"/>
      <w:sz w:val="24"/>
    </w:rPr>
  </w:style>
  <w:style w:type="paragraph" w:customStyle="1" w:styleId="736">
    <w:name w:val="xl52"/>
    <w:basedOn w:val="1"/>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37">
    <w:name w:val="xl159"/>
    <w:basedOn w:val="1"/>
    <w:qFormat/>
    <w:uiPriority w:val="0"/>
    <w:pPr>
      <w:widowControl/>
      <w:pBdr>
        <w:right w:val="single" w:color="auto" w:sz="4" w:space="0"/>
      </w:pBdr>
      <w:spacing w:before="100" w:beforeAutospacing="1" w:after="100" w:afterAutospacing="1"/>
      <w:jc w:val="left"/>
    </w:pPr>
    <w:rPr>
      <w:rFonts w:ascii="Arial Unicode MS" w:hAnsi="Arial Unicode MS"/>
      <w:kern w:val="0"/>
    </w:rPr>
  </w:style>
  <w:style w:type="paragraph" w:customStyle="1" w:styleId="738">
    <w:name w:val="GY6"/>
    <w:basedOn w:val="1"/>
    <w:qFormat/>
    <w:uiPriority w:val="0"/>
    <w:pPr>
      <w:tabs>
        <w:tab w:val="left" w:pos="840"/>
      </w:tabs>
      <w:adjustRightInd w:val="0"/>
      <w:snapToGrid w:val="0"/>
      <w:spacing w:line="360" w:lineRule="auto"/>
    </w:pPr>
    <w:rPr>
      <w:rFonts w:hint="eastAsia" w:ascii="宋体" w:hAnsi="宋体"/>
      <w:sz w:val="28"/>
      <w:szCs w:val="20"/>
    </w:rPr>
  </w:style>
  <w:style w:type="paragraph" w:customStyle="1" w:styleId="739">
    <w:name w:val="a"/>
    <w:basedOn w:val="1"/>
    <w:qFormat/>
    <w:uiPriority w:val="0"/>
    <w:pPr>
      <w:widowControl/>
      <w:spacing w:before="100" w:beforeAutospacing="1" w:after="100" w:afterAutospacing="1"/>
      <w:jc w:val="left"/>
    </w:pPr>
    <w:rPr>
      <w:rFonts w:ascii="宋体" w:hAnsi="宋体" w:cs="宋体"/>
      <w:kern w:val="0"/>
      <w:sz w:val="24"/>
    </w:rPr>
  </w:style>
  <w:style w:type="paragraph" w:customStyle="1" w:styleId="740">
    <w:name w:val="甲乙酮标题4"/>
    <w:basedOn w:val="8"/>
    <w:qFormat/>
    <w:uiPriority w:val="0"/>
    <w:pPr>
      <w:tabs>
        <w:tab w:val="left" w:pos="1680"/>
      </w:tabs>
      <w:spacing w:before="100" w:after="100" w:line="377" w:lineRule="auto"/>
      <w:ind w:left="1680"/>
    </w:pPr>
    <w:rPr>
      <w:rFonts w:ascii="Times New Roman" w:hAnsi="Times New Roman"/>
      <w:sz w:val="24"/>
      <w:szCs w:val="24"/>
    </w:rPr>
  </w:style>
  <w:style w:type="paragraph" w:customStyle="1" w:styleId="741">
    <w:name w:val="样式10"/>
    <w:basedOn w:val="5"/>
    <w:qFormat/>
    <w:uiPriority w:val="0"/>
    <w:pPr>
      <w:keepLines/>
      <w:tabs>
        <w:tab w:val="left" w:pos="390"/>
      </w:tabs>
      <w:overflowPunct/>
      <w:snapToGrid/>
      <w:spacing w:before="340" w:beforeLines="100" w:after="330" w:afterLines="100" w:line="520" w:lineRule="exact"/>
      <w:ind w:left="390" w:firstLine="0"/>
    </w:pPr>
    <w:rPr>
      <w:rFonts w:ascii="Calibri" w:hAnsi="Calibri" w:eastAsia="宋体"/>
      <w:color w:val="FF0000"/>
    </w:rPr>
  </w:style>
  <w:style w:type="paragraph" w:customStyle="1" w:styleId="742">
    <w:name w:val="xl146"/>
    <w:basedOn w:val="1"/>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743">
    <w:name w:val="标题 2 + 黑体"/>
    <w:basedOn w:val="6"/>
    <w:qFormat/>
    <w:uiPriority w:val="0"/>
    <w:pPr>
      <w:keepNext w:val="0"/>
      <w:keepLines w:val="0"/>
      <w:tabs>
        <w:tab w:val="left" w:pos="280"/>
        <w:tab w:val="left" w:pos="1400"/>
      </w:tabs>
      <w:adjustRightInd w:val="0"/>
      <w:snapToGrid w:val="0"/>
      <w:spacing w:before="50" w:after="240" w:line="480" w:lineRule="exact"/>
      <w:ind w:left="1233" w:right="100" w:rightChars="100" w:firstLine="567"/>
      <w:jc w:val="left"/>
    </w:pPr>
    <w:rPr>
      <w:rFonts w:ascii="黑体" w:hAnsi="黑体"/>
      <w:b w:val="0"/>
      <w:bCs w:val="0"/>
      <w:sz w:val="28"/>
      <w:szCs w:val="28"/>
    </w:rPr>
  </w:style>
  <w:style w:type="paragraph" w:customStyle="1" w:styleId="744">
    <w:name w:val="xl96"/>
    <w:basedOn w:val="1"/>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45">
    <w:name w:val="报告书表格"/>
    <w:basedOn w:val="1"/>
    <w:qFormat/>
    <w:uiPriority w:val="0"/>
    <w:pPr>
      <w:adjustRightInd w:val="0"/>
      <w:spacing w:before="60" w:after="60" w:line="240" w:lineRule="atLeast"/>
      <w:jc w:val="center"/>
      <w:textAlignment w:val="baseline"/>
    </w:pPr>
    <w:rPr>
      <w:kern w:val="0"/>
      <w:szCs w:val="20"/>
    </w:rPr>
  </w:style>
  <w:style w:type="paragraph" w:customStyle="1" w:styleId="746">
    <w:name w:val="表后文"/>
    <w:basedOn w:val="1"/>
    <w:qFormat/>
    <w:uiPriority w:val="0"/>
    <w:pPr>
      <w:adjustRightInd w:val="0"/>
      <w:spacing w:before="120" w:line="400" w:lineRule="exact"/>
      <w:ind w:firstLine="601"/>
      <w:textAlignment w:val="baseline"/>
    </w:pPr>
    <w:rPr>
      <w:rFonts w:eastAsia="楷体_GB2312"/>
      <w:spacing w:val="8"/>
      <w:kern w:val="0"/>
      <w:sz w:val="28"/>
      <w:szCs w:val="20"/>
    </w:rPr>
  </w:style>
  <w:style w:type="paragraph" w:customStyle="1" w:styleId="747">
    <w:name w:val="xl144"/>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48">
    <w:name w:val="图编号"/>
    <w:basedOn w:val="417"/>
    <w:qFormat/>
    <w:uiPriority w:val="0"/>
    <w:pPr>
      <w:tabs>
        <w:tab w:val="left" w:pos="763"/>
        <w:tab w:val="left" w:pos="1440"/>
      </w:tabs>
      <w:spacing w:before="300" w:after="300" w:line="360" w:lineRule="auto"/>
      <w:ind w:left="400" w:leftChars="400" w:hanging="200" w:hangingChars="200"/>
    </w:pPr>
    <w:rPr>
      <w:rFonts w:ascii="Times New Roman" w:hAnsi="Times New Roman" w:eastAsia="宋体"/>
      <w:kern w:val="0"/>
      <w:sz w:val="20"/>
      <w:szCs w:val="24"/>
    </w:rPr>
  </w:style>
  <w:style w:type="paragraph" w:customStyle="1" w:styleId="749">
    <w:name w:val="xl169"/>
    <w:basedOn w:val="1"/>
    <w:qFormat/>
    <w:uiPriority w:val="0"/>
    <w:pPr>
      <w:widowControl/>
      <w:pBdr>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750">
    <w:name w:val="样式13"/>
    <w:basedOn w:val="1"/>
    <w:next w:val="31"/>
    <w:qFormat/>
    <w:uiPriority w:val="0"/>
    <w:pPr>
      <w:adjustRightInd w:val="0"/>
      <w:spacing w:line="500" w:lineRule="exact"/>
      <w:ind w:firstLine="200" w:firstLineChars="200"/>
      <w:textAlignment w:val="baseline"/>
    </w:pPr>
    <w:rPr>
      <w:rFonts w:ascii="仿宋_GB2312" w:hAnsi="宋体" w:eastAsia="仿宋_GB2312"/>
      <w:color w:val="FF0000"/>
      <w:sz w:val="28"/>
      <w:szCs w:val="28"/>
    </w:rPr>
  </w:style>
  <w:style w:type="paragraph" w:customStyle="1" w:styleId="751">
    <w:name w:val="表格03"/>
    <w:basedOn w:val="1"/>
    <w:qFormat/>
    <w:uiPriority w:val="0"/>
    <w:pPr>
      <w:spacing w:line="400" w:lineRule="exact"/>
      <w:jc w:val="center"/>
    </w:pPr>
    <w:rPr>
      <w:color w:val="000000"/>
      <w:sz w:val="24"/>
    </w:rPr>
  </w:style>
  <w:style w:type="paragraph" w:customStyle="1" w:styleId="752">
    <w:name w:val="xl104"/>
    <w:basedOn w:val="1"/>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753">
    <w:name w:val="扉页 黑体缩进"/>
    <w:basedOn w:val="1"/>
    <w:qFormat/>
    <w:uiPriority w:val="0"/>
    <w:pPr>
      <w:spacing w:before="240" w:after="240" w:line="480" w:lineRule="exact"/>
      <w:ind w:firstLine="2240" w:firstLineChars="700"/>
      <w:jc w:val="left"/>
    </w:pPr>
    <w:rPr>
      <w:rFonts w:eastAsia="黑体"/>
      <w:sz w:val="32"/>
      <w:szCs w:val="20"/>
    </w:rPr>
  </w:style>
  <w:style w:type="paragraph" w:customStyle="1" w:styleId="754">
    <w:name w:val="xl33"/>
    <w:basedOn w:val="1"/>
    <w:qFormat/>
    <w:uiPriority w:val="0"/>
    <w:pPr>
      <w:widowControl/>
      <w:spacing w:before="100" w:beforeAutospacing="1" w:after="100" w:afterAutospacing="1"/>
      <w:jc w:val="left"/>
    </w:pPr>
    <w:rPr>
      <w:rFonts w:ascii="Arial" w:hAnsi="Arial" w:cs="Arial"/>
      <w:kern w:val="0"/>
      <w:sz w:val="22"/>
      <w:szCs w:val="22"/>
    </w:rPr>
  </w:style>
  <w:style w:type="paragraph" w:customStyle="1" w:styleId="755">
    <w:name w:val="正文首行缩进2字"/>
    <w:basedOn w:val="1"/>
    <w:qFormat/>
    <w:uiPriority w:val="0"/>
    <w:pPr>
      <w:adjustRightInd w:val="0"/>
      <w:snapToGrid w:val="0"/>
      <w:spacing w:line="300" w:lineRule="auto"/>
      <w:ind w:firstLine="563" w:firstLineChars="201"/>
    </w:pPr>
    <w:rPr>
      <w:sz w:val="28"/>
    </w:rPr>
  </w:style>
  <w:style w:type="paragraph" w:customStyle="1" w:styleId="756">
    <w:name w:val="xl82"/>
    <w:basedOn w:val="1"/>
    <w:qFormat/>
    <w:uiPriority w:val="0"/>
    <w:pPr>
      <w:widowControl/>
      <w:pBdr>
        <w:left w:val="single" w:color="auto" w:sz="12" w:space="0"/>
        <w:bottom w:val="single" w:color="auto" w:sz="12" w:space="0"/>
      </w:pBdr>
      <w:spacing w:before="100" w:beforeAutospacing="1" w:after="100" w:afterAutospacing="1"/>
      <w:jc w:val="right"/>
      <w:textAlignment w:val="center"/>
    </w:pPr>
    <w:rPr>
      <w:rFonts w:ascii="Arial Unicode MS" w:hAnsi="Arial Unicode MS"/>
      <w:kern w:val="0"/>
      <w:sz w:val="12"/>
      <w:szCs w:val="12"/>
    </w:rPr>
  </w:style>
  <w:style w:type="paragraph" w:customStyle="1" w:styleId="757">
    <w:name w:val="1"/>
    <w:basedOn w:val="1"/>
    <w:next w:val="3"/>
    <w:qFormat/>
    <w:uiPriority w:val="0"/>
    <w:pPr>
      <w:ind w:firstLine="480" w:firstLineChars="200"/>
    </w:pPr>
    <w:rPr>
      <w:sz w:val="24"/>
    </w:rPr>
  </w:style>
  <w:style w:type="paragraph" w:customStyle="1" w:styleId="758">
    <w:name w:val="样式"/>
    <w:basedOn w:val="1"/>
    <w:next w:val="372"/>
    <w:qFormat/>
    <w:uiPriority w:val="0"/>
    <w:pPr>
      <w:tabs>
        <w:tab w:val="left" w:pos="280"/>
        <w:tab w:val="left" w:pos="620"/>
      </w:tabs>
      <w:adjustRightInd w:val="0"/>
      <w:snapToGrid w:val="0"/>
      <w:spacing w:before="240" w:after="240" w:line="480" w:lineRule="exact"/>
      <w:ind w:left="2098" w:right="392" w:rightChars="140" w:firstLine="454" w:firstLineChars="200"/>
    </w:pPr>
    <w:rPr>
      <w:sz w:val="28"/>
    </w:rPr>
  </w:style>
  <w:style w:type="paragraph" w:customStyle="1" w:styleId="759">
    <w:name w:val="高表标"/>
    <w:basedOn w:val="1"/>
    <w:qFormat/>
    <w:uiPriority w:val="0"/>
    <w:pPr>
      <w:snapToGrid w:val="0"/>
      <w:spacing w:line="300" w:lineRule="auto"/>
      <w:jc w:val="right"/>
    </w:pPr>
    <w:rPr>
      <w:rFonts w:ascii="Arial" w:hAnsi="Arial" w:eastAsia="黑体"/>
      <w:bCs/>
      <w:sz w:val="24"/>
    </w:rPr>
  </w:style>
  <w:style w:type="paragraph" w:customStyle="1" w:styleId="760">
    <w:name w:val="五级条标题"/>
    <w:basedOn w:val="640"/>
    <w:next w:val="1"/>
    <w:qFormat/>
    <w:uiPriority w:val="0"/>
    <w:pPr>
      <w:outlineLvl w:val="6"/>
    </w:pPr>
  </w:style>
  <w:style w:type="paragraph" w:customStyle="1" w:styleId="761">
    <w:name w:val="myformat_content Char"/>
    <w:basedOn w:val="1"/>
    <w:qFormat/>
    <w:uiPriority w:val="0"/>
    <w:pPr>
      <w:spacing w:beforeLines="50" w:afterLines="50" w:line="360" w:lineRule="exact"/>
      <w:ind w:firstLine="480" w:firstLineChars="200"/>
    </w:pPr>
    <w:rPr>
      <w:sz w:val="24"/>
      <w:szCs w:val="20"/>
    </w:rPr>
  </w:style>
  <w:style w:type="paragraph" w:customStyle="1" w:styleId="762">
    <w:name w:val="xl123"/>
    <w:basedOn w:val="1"/>
    <w:qFormat/>
    <w:uiPriority w:val="0"/>
    <w:pPr>
      <w:widowControl/>
      <w:pBdr>
        <w:top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763">
    <w:name w:val="xl149"/>
    <w:basedOn w:val="1"/>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rPr>
  </w:style>
  <w:style w:type="paragraph" w:customStyle="1" w:styleId="764">
    <w:name w:val="表样式3"/>
    <w:basedOn w:val="1"/>
    <w:qFormat/>
    <w:uiPriority w:val="0"/>
    <w:pPr>
      <w:spacing w:beforeLines="50" w:afterLines="50"/>
      <w:jc w:val="center"/>
    </w:pPr>
    <w:rPr>
      <w:rFonts w:ascii="宋体" w:hAnsi="宋体" w:eastAsia="黑体"/>
      <w:color w:val="000000"/>
      <w:szCs w:val="18"/>
    </w:rPr>
  </w:style>
  <w:style w:type="paragraph" w:customStyle="1" w:styleId="765">
    <w:name w:val="word"/>
    <w:basedOn w:val="1"/>
    <w:qFormat/>
    <w:uiPriority w:val="0"/>
    <w:pPr>
      <w:spacing w:line="360" w:lineRule="auto"/>
      <w:ind w:firstLine="480" w:firstLineChars="200"/>
    </w:pPr>
    <w:rPr>
      <w:sz w:val="24"/>
    </w:rPr>
  </w:style>
  <w:style w:type="paragraph" w:customStyle="1" w:styleId="766">
    <w:name w:val="样式 标题 2 + 行距: 1.5 倍行距"/>
    <w:basedOn w:val="6"/>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767">
    <w:name w:val="注"/>
    <w:basedOn w:val="1"/>
    <w:next w:val="1"/>
    <w:qFormat/>
    <w:uiPriority w:val="0"/>
    <w:pPr>
      <w:widowControl/>
      <w:spacing w:before="60" w:after="60" w:line="312" w:lineRule="auto"/>
    </w:pPr>
    <w:rPr>
      <w:rFonts w:eastAsia="黑体"/>
      <w:kern w:val="0"/>
      <w:szCs w:val="20"/>
    </w:rPr>
  </w:style>
  <w:style w:type="paragraph" w:customStyle="1" w:styleId="768">
    <w:name w:val="样式 正文文本 + 左侧:  2 字符 首行缩进:  2 字符"/>
    <w:basedOn w:val="34"/>
    <w:qFormat/>
    <w:uiPriority w:val="0"/>
    <w:pPr>
      <w:widowControl w:val="0"/>
      <w:adjustRightInd w:val="0"/>
      <w:spacing w:before="0" w:after="0" w:line="360" w:lineRule="auto"/>
      <w:ind w:left="480" w:leftChars="200" w:right="0" w:firstLine="480" w:firstLineChars="200"/>
      <w:jc w:val="left"/>
    </w:pPr>
    <w:rPr>
      <w:rFonts w:ascii="Arial" w:hAnsi="Arial" w:cs="宋体"/>
      <w:kern w:val="2"/>
      <w:sz w:val="24"/>
    </w:rPr>
  </w:style>
  <w:style w:type="paragraph" w:customStyle="1" w:styleId="769">
    <w:name w:val="xl31"/>
    <w:basedOn w:val="1"/>
    <w:qFormat/>
    <w:uiPriority w:val="0"/>
    <w:pPr>
      <w:widowControl/>
      <w:spacing w:before="100" w:beforeAutospacing="1" w:after="100" w:afterAutospacing="1"/>
      <w:jc w:val="center"/>
      <w:textAlignment w:val="bottom"/>
    </w:pPr>
    <w:rPr>
      <w:rFonts w:ascii="Arial" w:hAnsi="Arial" w:cs="Arial"/>
      <w:b/>
      <w:bCs/>
      <w:kern w:val="0"/>
      <w:sz w:val="28"/>
      <w:szCs w:val="28"/>
    </w:rPr>
  </w:style>
  <w:style w:type="paragraph" w:customStyle="1" w:styleId="770">
    <w:name w:val="表名称"/>
    <w:semiHidden/>
    <w:qFormat/>
    <w:uiPriority w:val="0"/>
    <w:pPr>
      <w:widowControl w:val="0"/>
      <w:spacing w:before="240" w:line="288" w:lineRule="auto"/>
      <w:jc w:val="both"/>
    </w:pPr>
    <w:rPr>
      <w:rFonts w:ascii="Times New Roman" w:hAnsi="Times New Roman" w:eastAsia="宋体" w:cs="Times New Roman"/>
      <w:kern w:val="2"/>
      <w:sz w:val="24"/>
      <w:szCs w:val="24"/>
      <w:lang w:val="en-US" w:eastAsia="zh-CN" w:bidi="ar-SA"/>
    </w:rPr>
  </w:style>
  <w:style w:type="paragraph" w:customStyle="1" w:styleId="771">
    <w:name w:val="Char Char Char Char Char Char"/>
    <w:basedOn w:val="1"/>
    <w:qFormat/>
    <w:uiPriority w:val="0"/>
    <w:rPr>
      <w:sz w:val="24"/>
    </w:rPr>
  </w:style>
  <w:style w:type="paragraph" w:customStyle="1" w:styleId="772">
    <w:name w:val="标准"/>
    <w:basedOn w:val="1"/>
    <w:qFormat/>
    <w:uiPriority w:val="0"/>
    <w:pPr>
      <w:adjustRightInd w:val="0"/>
      <w:spacing w:line="312" w:lineRule="atLeast"/>
      <w:jc w:val="center"/>
      <w:textAlignment w:val="baseline"/>
    </w:pPr>
    <w:rPr>
      <w:kern w:val="0"/>
      <w:szCs w:val="20"/>
    </w:rPr>
  </w:style>
  <w:style w:type="paragraph" w:customStyle="1" w:styleId="773">
    <w:name w:val="样式 样式 正文 首行缩进:  2 字符 + (中文) 楷体_GB2312 + 宋体 首行缩进:  2 字符 段前: 7.8..."/>
    <w:basedOn w:val="411"/>
    <w:qFormat/>
    <w:uiPriority w:val="0"/>
    <w:rPr>
      <w:rFonts w:eastAsia="宋体"/>
    </w:rPr>
  </w:style>
  <w:style w:type="paragraph" w:customStyle="1" w:styleId="774">
    <w:name w:val="样式 样式 标题 3东明_小节H3条标题1.1.1二级节名h33rd level3l3CTHeading 3 - ... + 段..."/>
    <w:basedOn w:val="646"/>
    <w:qFormat/>
    <w:uiPriority w:val="0"/>
    <w:pPr>
      <w:spacing w:after="156"/>
    </w:pPr>
  </w:style>
  <w:style w:type="paragraph" w:customStyle="1" w:styleId="775">
    <w:name w:val="首行缩进"/>
    <w:basedOn w:val="1"/>
    <w:qFormat/>
    <w:uiPriority w:val="0"/>
    <w:pPr>
      <w:spacing w:line="360" w:lineRule="auto"/>
      <w:ind w:firstLine="480" w:firstLineChars="200"/>
    </w:pPr>
    <w:rPr>
      <w:sz w:val="24"/>
    </w:rPr>
  </w:style>
  <w:style w:type="paragraph" w:customStyle="1" w:styleId="776">
    <w:name w:val="Char Char Char Char Char Char Char Char Char Char Char Char Char Char Char Char"/>
    <w:basedOn w:val="1"/>
    <w:qFormat/>
    <w:uiPriority w:val="0"/>
    <w:rPr>
      <w:rFonts w:cs="宋体"/>
      <w:bCs/>
      <w:color w:val="000000"/>
      <w:szCs w:val="28"/>
    </w:rPr>
  </w:style>
  <w:style w:type="paragraph" w:customStyle="1" w:styleId="777">
    <w:name w:val="修订1"/>
    <w:semiHidden/>
    <w:qFormat/>
    <w:uiPriority w:val="0"/>
    <w:rPr>
      <w:rFonts w:ascii="Times New Roman" w:hAnsi="Times New Roman" w:eastAsia="宋体" w:cs="Times New Roman"/>
      <w:kern w:val="2"/>
      <w:sz w:val="24"/>
      <w:szCs w:val="21"/>
      <w:lang w:val="en-US" w:eastAsia="zh-CN" w:bidi="ar-SA"/>
    </w:rPr>
  </w:style>
  <w:style w:type="paragraph" w:customStyle="1" w:styleId="778">
    <w:name w:val="文本框"/>
    <w:basedOn w:val="1"/>
    <w:qFormat/>
    <w:uiPriority w:val="0"/>
    <w:pPr>
      <w:adjustRightInd w:val="0"/>
      <w:snapToGrid w:val="0"/>
      <w:spacing w:line="300" w:lineRule="exact"/>
      <w:jc w:val="center"/>
    </w:pPr>
    <w:rPr>
      <w:sz w:val="24"/>
    </w:rPr>
  </w:style>
  <w:style w:type="paragraph" w:customStyle="1" w:styleId="779">
    <w:name w:val="xl69"/>
    <w:basedOn w:val="1"/>
    <w:qFormat/>
    <w:uiPriority w:val="0"/>
    <w:pPr>
      <w:widowControl/>
      <w:spacing w:before="100" w:beforeAutospacing="1" w:after="100" w:afterAutospacing="1"/>
      <w:jc w:val="left"/>
    </w:pPr>
    <w:rPr>
      <w:rFonts w:ascii="宋体" w:hAnsi="宋体"/>
      <w:b/>
      <w:bCs/>
      <w:kern w:val="0"/>
      <w:sz w:val="22"/>
      <w:szCs w:val="22"/>
    </w:rPr>
  </w:style>
  <w:style w:type="paragraph" w:customStyle="1" w:styleId="780">
    <w:name w:val="五号表格"/>
    <w:next w:val="1"/>
    <w:qFormat/>
    <w:uiPriority w:val="0"/>
    <w:rPr>
      <w:rFonts w:ascii="宋体" w:hAnsi="Times New Roman" w:eastAsia="宋体" w:cs="Times New Roman"/>
      <w:sz w:val="21"/>
      <w:lang w:val="en-US" w:eastAsia="zh-CN" w:bidi="ar-SA"/>
    </w:rPr>
  </w:style>
  <w:style w:type="paragraph" w:customStyle="1" w:styleId="781">
    <w:name w:val="样式 样式 样式 首行缩进:  2 字符 + 首行缩进:  2 字符 + 首行缩进:  2 字符"/>
    <w:basedOn w:val="1"/>
    <w:qFormat/>
    <w:uiPriority w:val="0"/>
    <w:pPr>
      <w:spacing w:line="360" w:lineRule="auto"/>
      <w:ind w:firstLine="480" w:firstLineChars="200"/>
    </w:pPr>
    <w:rPr>
      <w:rFonts w:eastAsia="仿宋_GB2312"/>
      <w:sz w:val="24"/>
      <w:szCs w:val="20"/>
    </w:rPr>
  </w:style>
  <w:style w:type="paragraph" w:customStyle="1" w:styleId="782">
    <w:name w:val="xl186"/>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783">
    <w:name w:val="xl88"/>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4">
    <w:name w:val="注释"/>
    <w:basedOn w:val="211"/>
    <w:qFormat/>
    <w:uiPriority w:val="0"/>
    <w:pPr>
      <w:ind w:firstLine="420"/>
    </w:pPr>
    <w:rPr>
      <w:sz w:val="21"/>
      <w:szCs w:val="24"/>
    </w:rPr>
  </w:style>
  <w:style w:type="paragraph" w:customStyle="1" w:styleId="785">
    <w:name w:val="xl131"/>
    <w:basedOn w:val="1"/>
    <w:qFormat/>
    <w:uiPriority w:val="0"/>
    <w:pPr>
      <w:widowControl/>
      <w:pBdr>
        <w:left w:val="single" w:color="auto" w:sz="4" w:space="0"/>
        <w:right w:val="single" w:color="auto" w:sz="8" w:space="0"/>
      </w:pBdr>
      <w:spacing w:before="100" w:beforeAutospacing="1" w:after="100" w:afterAutospacing="1"/>
      <w:jc w:val="left"/>
    </w:pPr>
    <w:rPr>
      <w:rFonts w:ascii="Arial Unicode MS" w:hAnsi="Arial Unicode MS"/>
      <w:kern w:val="0"/>
    </w:rPr>
  </w:style>
  <w:style w:type="paragraph" w:customStyle="1" w:styleId="786">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787">
    <w:name w:val="xl80"/>
    <w:basedOn w:val="1"/>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8">
    <w:name w:val="样式 标题 2东明_节Chapter HeadingHeading 2 HiddenHeading 2 CCBShea..."/>
    <w:basedOn w:val="6"/>
    <w:qFormat/>
    <w:uiPriority w:val="0"/>
    <w:pPr>
      <w:spacing w:before="0" w:after="0" w:line="360" w:lineRule="auto"/>
    </w:pPr>
    <w:rPr>
      <w:rFonts w:ascii="Times New Roman" w:hAnsi="Times New Roman" w:cs="宋体"/>
      <w:kern w:val="44"/>
      <w:sz w:val="28"/>
      <w:szCs w:val="20"/>
      <w:lang w:val="zh-CN"/>
    </w:rPr>
  </w:style>
  <w:style w:type="paragraph" w:customStyle="1" w:styleId="789">
    <w:name w:val="Char Char Char4 Char Char Char Char Char Char3"/>
    <w:basedOn w:val="1"/>
    <w:qFormat/>
    <w:uiPriority w:val="0"/>
    <w:rPr>
      <w:rFonts w:ascii="宋体" w:hAnsi="宋体" w:cs="宋体"/>
      <w:sz w:val="24"/>
    </w:rPr>
  </w:style>
  <w:style w:type="paragraph" w:customStyle="1" w:styleId="790">
    <w:name w:val="前言、引言标题"/>
    <w:next w:val="1"/>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791">
    <w:name w:val="项目编号"/>
    <w:basedOn w:val="1"/>
    <w:next w:val="1"/>
    <w:qFormat/>
    <w:uiPriority w:val="0"/>
    <w:pPr>
      <w:spacing w:before="120" w:after="120" w:line="360" w:lineRule="auto"/>
    </w:pPr>
    <w:rPr>
      <w:sz w:val="24"/>
      <w:szCs w:val="20"/>
    </w:rPr>
  </w:style>
  <w:style w:type="paragraph" w:customStyle="1" w:styleId="792">
    <w:name w:val="xl38"/>
    <w:basedOn w:val="1"/>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93">
    <w:name w:val="图目"/>
    <w:basedOn w:val="1"/>
    <w:qFormat/>
    <w:uiPriority w:val="0"/>
    <w:pPr>
      <w:snapToGrid w:val="0"/>
      <w:spacing w:before="360" w:after="360" w:line="440" w:lineRule="atLeast"/>
      <w:jc w:val="center"/>
    </w:pPr>
    <w:rPr>
      <w:rFonts w:ascii="黑体" w:hAnsi="Arial" w:eastAsia="黑体"/>
      <w:sz w:val="24"/>
      <w:szCs w:val="20"/>
    </w:rPr>
  </w:style>
  <w:style w:type="paragraph" w:customStyle="1" w:styleId="794">
    <w:name w:val="Char Char Char1 Char Char Char Char Char Char Char Char Char Char"/>
    <w:basedOn w:val="1"/>
    <w:qFormat/>
    <w:uiPriority w:val="0"/>
  </w:style>
  <w:style w:type="paragraph" w:customStyle="1" w:styleId="795">
    <w:name w:val="表居中（中文）"/>
    <w:basedOn w:val="1"/>
    <w:qFormat/>
    <w:uiPriority w:val="0"/>
    <w:pPr>
      <w:adjustRightInd w:val="0"/>
      <w:spacing w:line="380" w:lineRule="atLeast"/>
      <w:jc w:val="center"/>
      <w:textAlignment w:val="baseline"/>
    </w:pPr>
    <w:rPr>
      <w:rFonts w:eastAsia="楷体_GB2312"/>
      <w:kern w:val="0"/>
      <w:sz w:val="24"/>
      <w:szCs w:val="20"/>
    </w:rPr>
  </w:style>
  <w:style w:type="paragraph" w:customStyle="1" w:styleId="796">
    <w:name w:val="xl18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97">
    <w:name w:val="样式a"/>
    <w:basedOn w:val="1"/>
    <w:qFormat/>
    <w:uiPriority w:val="0"/>
    <w:pPr>
      <w:adjustRightInd w:val="0"/>
      <w:snapToGrid w:val="0"/>
      <w:spacing w:line="420" w:lineRule="exact"/>
      <w:ind w:firstLine="200" w:firstLineChars="200"/>
      <w:textAlignment w:val="baseline"/>
    </w:pPr>
    <w:rPr>
      <w:kern w:val="0"/>
      <w:sz w:val="24"/>
    </w:rPr>
  </w:style>
  <w:style w:type="paragraph" w:customStyle="1" w:styleId="798">
    <w:name w:val="xl71"/>
    <w:basedOn w:val="1"/>
    <w:qFormat/>
    <w:uiPriority w:val="0"/>
    <w:pPr>
      <w:widowControl/>
      <w:spacing w:before="100" w:beforeAutospacing="1" w:after="100" w:afterAutospacing="1"/>
      <w:jc w:val="left"/>
    </w:pPr>
    <w:rPr>
      <w:rFonts w:ascii="宋体" w:hAnsi="宋体"/>
      <w:b/>
      <w:bCs/>
      <w:kern w:val="0"/>
      <w:sz w:val="20"/>
      <w:szCs w:val="20"/>
    </w:rPr>
  </w:style>
  <w:style w:type="paragraph" w:customStyle="1" w:styleId="799">
    <w:name w:val="xl98"/>
    <w:basedOn w:val="1"/>
    <w:qFormat/>
    <w:uiPriority w:val="0"/>
    <w:pPr>
      <w:widowControl/>
      <w:pBdr>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00">
    <w:name w:val="4"/>
    <w:basedOn w:val="1"/>
    <w:qFormat/>
    <w:uiPriority w:val="0"/>
    <w:rPr>
      <w:sz w:val="28"/>
    </w:rPr>
  </w:style>
  <w:style w:type="paragraph" w:customStyle="1" w:styleId="801">
    <w:name w:val="样式 标题 1章标题 11标题 1H1一、 + 行距: 1.5 倍行距4"/>
    <w:basedOn w:val="5"/>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802">
    <w:name w:val="样式 列表 2 + 华文仿宋 居中"/>
    <w:basedOn w:val="37"/>
    <w:qFormat/>
    <w:uiPriority w:val="0"/>
    <w:pPr>
      <w:ind w:left="0" w:leftChars="0" w:firstLine="0" w:firstLineChars="0"/>
      <w:jc w:val="center"/>
    </w:pPr>
    <w:rPr>
      <w:rFonts w:ascii="宋体" w:hAnsi="宋体" w:eastAsia="宋体"/>
      <w:snapToGrid/>
      <w:kern w:val="2"/>
      <w:sz w:val="21"/>
      <w:szCs w:val="21"/>
    </w:rPr>
  </w:style>
  <w:style w:type="paragraph" w:customStyle="1" w:styleId="803">
    <w:name w:val="样式 样式 首行缩进:  0.85 厘米 行距: 1.5 倍行距 + 段后: 0.3 行"/>
    <w:basedOn w:val="804"/>
    <w:semiHidden/>
    <w:qFormat/>
    <w:uiPriority w:val="0"/>
  </w:style>
  <w:style w:type="paragraph" w:customStyle="1" w:styleId="804">
    <w:name w:val="样式 首行缩进:  0.85 厘米 行距: 1.5 倍行距"/>
    <w:basedOn w:val="1"/>
    <w:semiHidden/>
    <w:qFormat/>
    <w:uiPriority w:val="0"/>
    <w:pPr>
      <w:snapToGrid w:val="0"/>
      <w:spacing w:beforeLines="50" w:line="360" w:lineRule="auto"/>
      <w:ind w:firstLine="480" w:firstLineChars="200"/>
    </w:pPr>
    <w:rPr>
      <w:sz w:val="24"/>
      <w:szCs w:val="20"/>
    </w:rPr>
  </w:style>
  <w:style w:type="paragraph" w:customStyle="1" w:styleId="805">
    <w:name w:val="正文首行缩进2"/>
    <w:basedOn w:val="1"/>
    <w:qFormat/>
    <w:uiPriority w:val="0"/>
    <w:pPr>
      <w:snapToGrid w:val="0"/>
      <w:spacing w:line="500" w:lineRule="exact"/>
      <w:ind w:firstLine="480" w:firstLineChars="200"/>
    </w:pPr>
    <w:rPr>
      <w:sz w:val="18"/>
      <w:szCs w:val="20"/>
    </w:rPr>
  </w:style>
  <w:style w:type="paragraph" w:customStyle="1" w:styleId="806">
    <w:name w:val="font6"/>
    <w:basedOn w:val="1"/>
    <w:qFormat/>
    <w:uiPriority w:val="0"/>
    <w:pPr>
      <w:widowControl/>
      <w:spacing w:before="100" w:beforeAutospacing="1" w:after="100" w:afterAutospacing="1"/>
      <w:jc w:val="left"/>
    </w:pPr>
    <w:rPr>
      <w:rFonts w:ascii="宋体" w:hAnsi="宋体"/>
      <w:b/>
      <w:bCs/>
      <w:kern w:val="0"/>
      <w:sz w:val="24"/>
    </w:rPr>
  </w:style>
  <w:style w:type="paragraph" w:customStyle="1" w:styleId="807">
    <w:name w:val="p6"/>
    <w:basedOn w:val="1"/>
    <w:qFormat/>
    <w:uiPriority w:val="0"/>
    <w:pPr>
      <w:tabs>
        <w:tab w:val="left" w:pos="4720"/>
      </w:tabs>
      <w:spacing w:line="240" w:lineRule="atLeast"/>
      <w:ind w:left="3280"/>
      <w:jc w:val="left"/>
    </w:pPr>
    <w:rPr>
      <w:rFonts w:ascii="Arial" w:hAnsi="Arial"/>
      <w:snapToGrid w:val="0"/>
      <w:kern w:val="0"/>
      <w:sz w:val="24"/>
      <w:szCs w:val="20"/>
      <w:lang w:eastAsia="en-US"/>
    </w:rPr>
  </w:style>
  <w:style w:type="paragraph" w:customStyle="1" w:styleId="808">
    <w:name w:val="Char Char Char Char3"/>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09">
    <w:name w:val="font11"/>
    <w:basedOn w:val="1"/>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810">
    <w:name w:val="样式 上标 Char"/>
    <w:basedOn w:val="685"/>
    <w:next w:val="685"/>
    <w:qFormat/>
    <w:uiPriority w:val="0"/>
    <w:pPr>
      <w:spacing w:before="0" w:after="0" w:line="320" w:lineRule="exact"/>
      <w:ind w:firstLine="200"/>
    </w:pPr>
    <w:rPr>
      <w:caps/>
      <w:szCs w:val="36"/>
    </w:rPr>
  </w:style>
  <w:style w:type="paragraph" w:customStyle="1" w:styleId="811">
    <w:name w:val="样式 样式 首行缩进:  2 字符 + 首行缩进:  2 字符2"/>
    <w:basedOn w:val="1"/>
    <w:qFormat/>
    <w:uiPriority w:val="0"/>
    <w:pPr>
      <w:spacing w:line="440" w:lineRule="exact"/>
      <w:ind w:firstLine="584" w:firstLineChars="200"/>
    </w:pPr>
    <w:rPr>
      <w:rFonts w:eastAsia="楷体_GB2312" w:cs="宋体"/>
      <w:spacing w:val="6"/>
      <w:kern w:val="0"/>
      <w:sz w:val="28"/>
      <w:szCs w:val="20"/>
    </w:rPr>
  </w:style>
  <w:style w:type="paragraph" w:customStyle="1" w:styleId="812">
    <w:name w:val="xl22"/>
    <w:basedOn w:val="1"/>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813">
    <w:name w:val="正文缩进3"/>
    <w:basedOn w:val="1"/>
    <w:qFormat/>
    <w:uiPriority w:val="0"/>
    <w:pPr>
      <w:adjustRightInd w:val="0"/>
      <w:ind w:firstLine="420" w:firstLineChars="200"/>
      <w:textAlignment w:val="baseline"/>
    </w:pPr>
    <w:rPr>
      <w:rFonts w:hint="eastAsia" w:hAnsi="宋体"/>
      <w:sz w:val="24"/>
      <w:szCs w:val="20"/>
    </w:rPr>
  </w:style>
  <w:style w:type="paragraph" w:customStyle="1" w:styleId="814">
    <w:name w:val="样式 标题 2 + 首行缩进:  2.5 字符"/>
    <w:basedOn w:val="6"/>
    <w:qFormat/>
    <w:uiPriority w:val="0"/>
    <w:pPr>
      <w:keepNext w:val="0"/>
      <w:keepLines w:val="0"/>
      <w:tabs>
        <w:tab w:val="left" w:pos="840"/>
      </w:tabs>
      <w:spacing w:before="0" w:after="0" w:line="240" w:lineRule="auto"/>
      <w:ind w:left="840" w:hanging="420"/>
    </w:pPr>
    <w:rPr>
      <w:rFonts w:ascii="Times New Roman" w:hAnsi="Times New Roman" w:eastAsia="楷体_GB2312" w:cs="宋体"/>
      <w:b w:val="0"/>
      <w:bCs w:val="0"/>
      <w:kern w:val="0"/>
      <w:sz w:val="28"/>
      <w:szCs w:val="20"/>
    </w:rPr>
  </w:style>
  <w:style w:type="paragraph" w:customStyle="1" w:styleId="815">
    <w:name w:val="xl132"/>
    <w:basedOn w:val="1"/>
    <w:qFormat/>
    <w:uiPriority w:val="0"/>
    <w:pPr>
      <w:widowControl/>
      <w:pBdr>
        <w:top w:val="single" w:color="auto" w:sz="12" w:space="0"/>
        <w:lef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816">
    <w:name w:val="xl66"/>
    <w:basedOn w:val="1"/>
    <w:qFormat/>
    <w:uiPriority w:val="0"/>
    <w:pPr>
      <w:widowControl/>
      <w:spacing w:before="100" w:beforeAutospacing="1" w:after="100" w:afterAutospacing="1"/>
      <w:jc w:val="center"/>
      <w:textAlignment w:val="bottom"/>
    </w:pPr>
    <w:rPr>
      <w:rFonts w:ascii="宋体" w:hAnsi="宋体"/>
      <w:b/>
      <w:bCs/>
      <w:color w:val="0000FF"/>
      <w:kern w:val="0"/>
      <w:sz w:val="22"/>
      <w:szCs w:val="22"/>
    </w:rPr>
  </w:style>
  <w:style w:type="paragraph" w:customStyle="1" w:styleId="817">
    <w:name w:val="dandan6-13正文 Char Char Char Char Char Char"/>
    <w:basedOn w:val="1"/>
    <w:next w:val="1"/>
    <w:qFormat/>
    <w:uiPriority w:val="0"/>
    <w:pPr>
      <w:keepNext/>
      <w:keepLines/>
      <w:widowControl/>
      <w:adjustRightInd w:val="0"/>
      <w:spacing w:before="40" w:after="40" w:line="360" w:lineRule="auto"/>
      <w:ind w:firstLine="200" w:firstLineChars="200"/>
      <w:textAlignment w:val="baseline"/>
    </w:pPr>
    <w:rPr>
      <w:szCs w:val="20"/>
    </w:rPr>
  </w:style>
  <w:style w:type="paragraph" w:customStyle="1" w:styleId="818">
    <w:name w:val="xl120"/>
    <w:basedOn w:val="1"/>
    <w:qFormat/>
    <w:uiPriority w:val="0"/>
    <w:pPr>
      <w:widowControl/>
      <w:spacing w:before="100" w:beforeAutospacing="1" w:after="100" w:afterAutospacing="1"/>
      <w:jc w:val="left"/>
      <w:textAlignment w:val="center"/>
    </w:pPr>
    <w:rPr>
      <w:rFonts w:ascii="Arial Unicode MS" w:hAnsi="Arial Unicode MS"/>
      <w:kern w:val="0"/>
      <w:sz w:val="12"/>
      <w:szCs w:val="12"/>
    </w:rPr>
  </w:style>
  <w:style w:type="paragraph" w:customStyle="1" w:styleId="819">
    <w:name w:val="xl105"/>
    <w:basedOn w:val="1"/>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20">
    <w:name w:val="目录3"/>
    <w:basedOn w:val="1"/>
    <w:qFormat/>
    <w:uiPriority w:val="0"/>
    <w:pPr>
      <w:tabs>
        <w:tab w:val="right" w:leader="dot" w:pos="8112"/>
        <w:tab w:val="right" w:leader="dot" w:pos="8160"/>
        <w:tab w:val="right" w:leader="dot" w:pos="8280"/>
      </w:tabs>
      <w:spacing w:line="480" w:lineRule="exact"/>
      <w:ind w:left="1134"/>
      <w:jc w:val="left"/>
    </w:pPr>
    <w:rPr>
      <w:bCs/>
      <w:sz w:val="28"/>
      <w:szCs w:val="20"/>
    </w:rPr>
  </w:style>
  <w:style w:type="paragraph" w:customStyle="1" w:styleId="821">
    <w:name w:val="xl28"/>
    <w:basedOn w:val="1"/>
    <w:qFormat/>
    <w:uiPriority w:val="0"/>
    <w:pPr>
      <w:widowControl/>
      <w:spacing w:before="100" w:beforeAutospacing="1" w:after="100" w:afterAutospacing="1"/>
      <w:jc w:val="center"/>
      <w:textAlignment w:val="bottom"/>
    </w:pPr>
    <w:rPr>
      <w:rFonts w:ascii="Arial" w:hAnsi="Arial" w:cs="Arial"/>
      <w:b/>
      <w:bCs/>
      <w:kern w:val="0"/>
      <w:sz w:val="24"/>
    </w:rPr>
  </w:style>
  <w:style w:type="paragraph" w:customStyle="1" w:styleId="822">
    <w:name w:val="样式 段前: 3 磅 段后: 3 磅"/>
    <w:basedOn w:val="1"/>
    <w:qFormat/>
    <w:uiPriority w:val="0"/>
    <w:pPr>
      <w:adjustRightInd w:val="0"/>
      <w:snapToGrid w:val="0"/>
      <w:spacing w:line="360" w:lineRule="auto"/>
      <w:ind w:firstLine="480" w:firstLineChars="200"/>
    </w:pPr>
    <w:rPr>
      <w:rFonts w:ascii="宋体" w:hAnsi="宋体" w:cs="宋体"/>
      <w:snapToGrid w:val="0"/>
      <w:color w:val="000000"/>
      <w:kern w:val="0"/>
      <w:sz w:val="24"/>
    </w:rPr>
  </w:style>
  <w:style w:type="paragraph" w:customStyle="1" w:styleId="823">
    <w:name w:val="xl157"/>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824">
    <w:name w:val="Char Char Char Char4"/>
    <w:basedOn w:val="1"/>
    <w:qFormat/>
    <w:uiPriority w:val="0"/>
    <w:pPr>
      <w:snapToGrid w:val="0"/>
      <w:ind w:firstLine="200" w:firstLineChars="200"/>
    </w:pPr>
  </w:style>
  <w:style w:type="paragraph" w:customStyle="1" w:styleId="825">
    <w:name w:val="p0"/>
    <w:basedOn w:val="1"/>
    <w:qFormat/>
    <w:uiPriority w:val="0"/>
    <w:pPr>
      <w:widowControl/>
    </w:pPr>
    <w:rPr>
      <w:kern w:val="0"/>
    </w:rPr>
  </w:style>
  <w:style w:type="paragraph" w:customStyle="1" w:styleId="826">
    <w:name w:val="xl166"/>
    <w:basedOn w:val="1"/>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27">
    <w:name w:val="xl46"/>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eastAsia="Arial Unicode MS"/>
      <w:kern w:val="0"/>
      <w:sz w:val="24"/>
    </w:rPr>
  </w:style>
  <w:style w:type="paragraph" w:customStyle="1" w:styleId="828">
    <w:name w:val="xl25"/>
    <w:basedOn w:val="1"/>
    <w:qFormat/>
    <w:uiPriority w:val="0"/>
    <w:pPr>
      <w:widowControl/>
      <w:pBdr>
        <w:bottom w:val="single" w:color="auto" w:sz="4" w:space="0"/>
        <w:right w:val="single" w:color="auto" w:sz="4" w:space="0"/>
      </w:pBdr>
      <w:spacing w:before="100" w:beforeAutospacing="1" w:after="100" w:afterAutospacing="1"/>
      <w:jc w:val="center"/>
      <w:textAlignment w:val="top"/>
    </w:pPr>
    <w:rPr>
      <w:kern w:val="0"/>
    </w:rPr>
  </w:style>
  <w:style w:type="paragraph" w:customStyle="1" w:styleId="829">
    <w:name w:val="正文可研"/>
    <w:basedOn w:val="1"/>
    <w:qFormat/>
    <w:uiPriority w:val="0"/>
    <w:pPr>
      <w:autoSpaceDE w:val="0"/>
      <w:autoSpaceDN w:val="0"/>
      <w:adjustRightInd w:val="0"/>
      <w:spacing w:line="360" w:lineRule="auto"/>
      <w:ind w:firstLine="480" w:firstLineChars="200"/>
      <w:textAlignment w:val="baseline"/>
    </w:pPr>
    <w:rPr>
      <w:rFonts w:ascii="宋体" w:hAnsi="Tms Rmn" w:cs="宋体"/>
      <w:kern w:val="0"/>
      <w:sz w:val="24"/>
      <w:szCs w:val="20"/>
    </w:rPr>
  </w:style>
  <w:style w:type="paragraph" w:customStyle="1" w:styleId="830">
    <w:name w:val="正文样式3"/>
    <w:basedOn w:val="1"/>
    <w:qFormat/>
    <w:uiPriority w:val="0"/>
    <w:pPr>
      <w:keepLines/>
      <w:adjustRightInd w:val="0"/>
      <w:spacing w:line="20" w:lineRule="atLeast"/>
      <w:ind w:firstLine="200" w:firstLineChars="200"/>
      <w:jc w:val="center"/>
      <w:textAlignment w:val="baseline"/>
    </w:pPr>
    <w:rPr>
      <w:rFonts w:eastAsia="仿宋_GB2312"/>
      <w:kern w:val="0"/>
      <w:sz w:val="24"/>
      <w:szCs w:val="20"/>
    </w:rPr>
  </w:style>
  <w:style w:type="paragraph" w:customStyle="1" w:styleId="831">
    <w:name w:val="Date1"/>
    <w:basedOn w:val="1"/>
    <w:next w:val="1"/>
    <w:qFormat/>
    <w:uiPriority w:val="0"/>
    <w:pPr>
      <w:adjustRightInd w:val="0"/>
      <w:textAlignment w:val="baseline"/>
    </w:pPr>
  </w:style>
  <w:style w:type="paragraph" w:customStyle="1" w:styleId="832">
    <w:name w:val="表格中"/>
    <w:basedOn w:val="1"/>
    <w:qFormat/>
    <w:uiPriority w:val="0"/>
    <w:rPr>
      <w:rFonts w:ascii="宋体"/>
    </w:rPr>
  </w:style>
  <w:style w:type="paragraph" w:customStyle="1" w:styleId="833">
    <w:name w:val="Char31"/>
    <w:basedOn w:val="1"/>
    <w:qFormat/>
    <w:uiPriority w:val="0"/>
    <w:pPr>
      <w:spacing w:line="360" w:lineRule="auto"/>
      <w:ind w:firstLine="200" w:firstLineChars="200"/>
    </w:pPr>
    <w:rPr>
      <w:rFonts w:ascii="宋体" w:hAnsi="宋体" w:cs="宋体"/>
      <w:sz w:val="24"/>
    </w:rPr>
  </w:style>
  <w:style w:type="paragraph" w:customStyle="1" w:styleId="834">
    <w:name w:val="式中："/>
    <w:basedOn w:val="286"/>
    <w:qFormat/>
    <w:uiPriority w:val="0"/>
    <w:pPr>
      <w:spacing w:after="0"/>
      <w:ind w:left="500" w:leftChars="500" w:firstLine="0" w:firstLineChars="0"/>
      <w:jc w:val="left"/>
    </w:pPr>
  </w:style>
  <w:style w:type="paragraph" w:customStyle="1" w:styleId="835">
    <w:name w:val="xl161"/>
    <w:basedOn w:val="1"/>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36">
    <w:name w:val="defaultfont"/>
    <w:basedOn w:val="1"/>
    <w:qFormat/>
    <w:uiPriority w:val="0"/>
    <w:pPr>
      <w:widowControl/>
      <w:spacing w:before="100" w:beforeAutospacing="1" w:after="100" w:afterAutospacing="1"/>
      <w:jc w:val="left"/>
    </w:pPr>
    <w:rPr>
      <w:rFonts w:ascii="宋体" w:hAnsi="宋体" w:cs="宋体"/>
      <w:kern w:val="0"/>
      <w:sz w:val="24"/>
    </w:rPr>
  </w:style>
  <w:style w:type="paragraph" w:customStyle="1" w:styleId="837">
    <w:name w:val="普通文字 Char Char"/>
    <w:basedOn w:val="1"/>
    <w:next w:val="78"/>
    <w:qFormat/>
    <w:uiPriority w:val="0"/>
    <w:rPr>
      <w:sz w:val="24"/>
    </w:rPr>
  </w:style>
  <w:style w:type="paragraph" w:customStyle="1" w:styleId="838">
    <w:name w:val="xl44"/>
    <w:basedOn w:val="1"/>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39">
    <w:name w:val="xl142"/>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40">
    <w:name w:val="_Style 1"/>
    <w:basedOn w:val="1"/>
    <w:next w:val="10"/>
    <w:qFormat/>
    <w:uiPriority w:val="0"/>
    <w:pPr>
      <w:adjustRightInd w:val="0"/>
      <w:spacing w:line="288" w:lineRule="auto"/>
      <w:ind w:firstLine="480"/>
      <w:textAlignment w:val="baseline"/>
    </w:pPr>
    <w:rPr>
      <w:rFonts w:ascii="宋体" w:hAnsi="宋体" w:cs="宋体"/>
      <w:sz w:val="24"/>
    </w:rPr>
  </w:style>
  <w:style w:type="paragraph" w:customStyle="1" w:styleId="841">
    <w:name w:val="xl56"/>
    <w:basedOn w:val="1"/>
    <w:qFormat/>
    <w:uiPriority w:val="0"/>
    <w:pPr>
      <w:widowControl/>
      <w:spacing w:before="100" w:beforeAutospacing="1" w:after="100" w:afterAutospacing="1"/>
      <w:jc w:val="right"/>
    </w:pPr>
    <w:rPr>
      <w:rFonts w:ascii="Arial" w:hAnsi="Arial" w:cs="Arial"/>
      <w:b/>
      <w:bCs/>
      <w:i/>
      <w:iCs/>
      <w:kern w:val="0"/>
      <w:sz w:val="22"/>
      <w:szCs w:val="22"/>
    </w:rPr>
  </w:style>
  <w:style w:type="paragraph" w:customStyle="1" w:styleId="842">
    <w:name w:val="样式 样式 左侧:  2 字符 + 首行缩进:  2 字符 Char"/>
    <w:basedOn w:val="1"/>
    <w:qFormat/>
    <w:uiPriority w:val="0"/>
    <w:pPr>
      <w:tabs>
        <w:tab w:val="left" w:pos="540"/>
      </w:tabs>
      <w:spacing w:line="360" w:lineRule="auto"/>
      <w:ind w:firstLine="478" w:firstLineChars="199"/>
    </w:pPr>
    <w:rPr>
      <w:rFonts w:ascii="宋体" w:hAnsi="宋体"/>
      <w:bCs/>
      <w:sz w:val="24"/>
    </w:rPr>
  </w:style>
  <w:style w:type="paragraph" w:customStyle="1" w:styleId="843">
    <w:name w:val="样式 标题 2 + 左侧:  0厘米 首行缩进:  0 厘米 右侧:  1 字符"/>
    <w:basedOn w:val="6"/>
    <w:qFormat/>
    <w:uiPriority w:val="0"/>
    <w:pPr>
      <w:keepNext w:val="0"/>
      <w:keepLines w:val="0"/>
      <w:tabs>
        <w:tab w:val="left" w:pos="280"/>
        <w:tab w:val="left" w:pos="1400"/>
      </w:tabs>
      <w:adjustRightInd w:val="0"/>
      <w:snapToGrid w:val="0"/>
      <w:spacing w:before="50" w:after="240" w:line="480" w:lineRule="exact"/>
      <w:ind w:left="1233" w:right="280" w:rightChars="100" w:firstLine="567"/>
      <w:jc w:val="left"/>
    </w:pPr>
    <w:rPr>
      <w:rFonts w:ascii="Times New Roman" w:hAnsi="Times New Roman" w:eastAsia="宋体"/>
      <w:b w:val="0"/>
      <w:bCs w:val="0"/>
      <w:sz w:val="28"/>
      <w:szCs w:val="20"/>
    </w:rPr>
  </w:style>
  <w:style w:type="paragraph" w:customStyle="1" w:styleId="844">
    <w:name w:val="表格（大）"/>
    <w:basedOn w:val="1"/>
    <w:qFormat/>
    <w:uiPriority w:val="0"/>
    <w:pPr>
      <w:jc w:val="center"/>
    </w:pPr>
    <w:rPr>
      <w:rFonts w:ascii="仿宋_GB2312" w:eastAsia="仿宋_GB2312"/>
      <w:color w:val="000000"/>
      <w:sz w:val="24"/>
      <w:szCs w:val="20"/>
    </w:rPr>
  </w:style>
  <w:style w:type="paragraph" w:customStyle="1" w:styleId="845">
    <w:name w:val="表格注释"/>
    <w:basedOn w:val="1"/>
    <w:next w:val="685"/>
    <w:qFormat/>
    <w:uiPriority w:val="0"/>
    <w:pPr>
      <w:spacing w:before="240" w:after="240" w:line="480" w:lineRule="exact"/>
      <w:jc w:val="center"/>
    </w:pPr>
    <w:rPr>
      <w:sz w:val="24"/>
      <w:szCs w:val="20"/>
    </w:rPr>
  </w:style>
  <w:style w:type="paragraph" w:customStyle="1" w:styleId="846">
    <w:name w:val="标题16.1.1.1"/>
    <w:basedOn w:val="8"/>
    <w:qFormat/>
    <w:uiPriority w:val="0"/>
    <w:pPr>
      <w:tabs>
        <w:tab w:val="left" w:pos="360"/>
      </w:tabs>
      <w:spacing w:before="120" w:after="120" w:line="312" w:lineRule="auto"/>
      <w:ind w:left="864" w:hanging="864"/>
      <w:contextualSpacing/>
    </w:pPr>
    <w:rPr>
      <w:rFonts w:ascii="Arial" w:hAnsi="Arial" w:eastAsia="黑体"/>
      <w:sz w:val="21"/>
      <w:szCs w:val="24"/>
    </w:rPr>
  </w:style>
  <w:style w:type="paragraph" w:customStyle="1" w:styleId="847">
    <w:name w:val="xl151"/>
    <w:basedOn w:val="1"/>
    <w:qFormat/>
    <w:uiPriority w:val="0"/>
    <w:pPr>
      <w:widowControl/>
      <w:spacing w:before="100" w:beforeAutospacing="1" w:after="100" w:afterAutospacing="1"/>
      <w:jc w:val="left"/>
    </w:pPr>
    <w:rPr>
      <w:kern w:val="0"/>
      <w:sz w:val="16"/>
      <w:szCs w:val="16"/>
    </w:rPr>
  </w:style>
  <w:style w:type="paragraph" w:customStyle="1" w:styleId="848">
    <w:name w:val="样式 表格正文样式A-MHZ-居中定表长格文本 + 五号"/>
    <w:basedOn w:val="1"/>
    <w:qFormat/>
    <w:uiPriority w:val="0"/>
    <w:pPr>
      <w:spacing w:line="360" w:lineRule="auto"/>
      <w:jc w:val="center"/>
    </w:pPr>
    <w:rPr>
      <w:rFonts w:cs="宋体"/>
      <w:kern w:val="24"/>
      <w:sz w:val="24"/>
    </w:rPr>
  </w:style>
  <w:style w:type="paragraph" w:customStyle="1" w:styleId="849">
    <w:name w:val="xl27"/>
    <w:basedOn w:val="1"/>
    <w:qFormat/>
    <w:uiPriority w:val="0"/>
    <w:pPr>
      <w:widowControl/>
      <w:pBdr>
        <w:bottom w:val="single" w:color="auto" w:sz="12" w:space="0"/>
      </w:pBdr>
      <w:spacing w:before="100" w:after="100"/>
      <w:jc w:val="center"/>
    </w:pPr>
    <w:rPr>
      <w:rFonts w:ascii="宋体" w:hAnsi="宋体"/>
      <w:kern w:val="0"/>
      <w:szCs w:val="20"/>
    </w:rPr>
  </w:style>
  <w:style w:type="paragraph" w:customStyle="1" w:styleId="850">
    <w:name w:val="注："/>
    <w:next w:val="1"/>
    <w:qFormat/>
    <w:uiPriority w:val="0"/>
    <w:pPr>
      <w:spacing w:line="300" w:lineRule="exact"/>
    </w:pPr>
    <w:rPr>
      <w:rFonts w:ascii="Times New Roman" w:hAnsi="Times New Roman" w:eastAsia="宋体" w:cs="宋体"/>
      <w:bCs/>
      <w:kern w:val="2"/>
      <w:sz w:val="18"/>
      <w:lang w:val="en-US" w:eastAsia="zh-CN" w:bidi="ar-SA"/>
    </w:rPr>
  </w:style>
  <w:style w:type="paragraph" w:customStyle="1" w:styleId="851">
    <w:name w:val="xl167"/>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52">
    <w:name w:val="正文表标题"/>
    <w:next w:val="1"/>
    <w:qFormat/>
    <w:uiPriority w:val="0"/>
    <w:pPr>
      <w:numPr>
        <w:ilvl w:val="0"/>
        <w:numId w:val="8"/>
      </w:numPr>
      <w:spacing w:beforeLines="50" w:afterLines="50"/>
      <w:jc w:val="center"/>
    </w:pPr>
    <w:rPr>
      <w:rFonts w:ascii="黑体" w:hAnsi="Times New Roman" w:eastAsia="黑体" w:cs="Times New Roman"/>
      <w:sz w:val="21"/>
      <w:lang w:val="en-US" w:eastAsia="zh-CN" w:bidi="ar-SA"/>
    </w:rPr>
  </w:style>
  <w:style w:type="paragraph" w:customStyle="1" w:styleId="853">
    <w:name w:val="样式 样式 标题 4 + 宋体 行距: 1.5 倍行距 + 段前: 0.5 行"/>
    <w:basedOn w:val="634"/>
    <w:qFormat/>
    <w:uiPriority w:val="0"/>
    <w:pPr>
      <w:snapToGrid/>
      <w:spacing w:beforeLines="0"/>
      <w:ind w:left="1984" w:hanging="1984"/>
      <w:jc w:val="both"/>
    </w:pPr>
    <w:rPr>
      <w:rFonts w:ascii="Times New Roman" w:eastAsia="黑体" w:cs="Times New Roman"/>
    </w:rPr>
  </w:style>
  <w:style w:type="paragraph" w:customStyle="1" w:styleId="854">
    <w:name w:val="小四表文左齐"/>
    <w:basedOn w:val="1"/>
    <w:qFormat/>
    <w:uiPriority w:val="0"/>
    <w:pPr>
      <w:jc w:val="center"/>
    </w:pPr>
    <w:rPr>
      <w:rFonts w:ascii="仿宋_GB2312" w:hAnsi="宋体" w:eastAsia="仿宋_GB2312"/>
    </w:rPr>
  </w:style>
  <w:style w:type="paragraph" w:customStyle="1" w:styleId="855">
    <w:name w:val="TOC 标题2"/>
    <w:basedOn w:val="5"/>
    <w:next w:val="1"/>
    <w:unhideWhenUsed/>
    <w:qFormat/>
    <w:uiPriority w:val="39"/>
    <w:pPr>
      <w:keepLines/>
      <w:widowControl/>
      <w:overflowPunct/>
      <w:snapToGrid/>
      <w:spacing w:before="240" w:after="0"/>
      <w:ind w:left="0" w:firstLine="0"/>
      <w:jc w:val="left"/>
      <w:outlineLvl w:val="9"/>
    </w:pPr>
    <w:rPr>
      <w:rFonts w:ascii="Cambria" w:hAnsi="Cambria" w:eastAsia="宋体"/>
      <w:b w:val="0"/>
      <w:bCs w:val="0"/>
      <w:color w:val="365F91"/>
      <w:kern w:val="0"/>
      <w:sz w:val="32"/>
      <w:szCs w:val="32"/>
    </w:rPr>
  </w:style>
  <w:style w:type="paragraph" w:customStyle="1" w:styleId="856">
    <w:name w:val="项目段落"/>
    <w:basedOn w:val="1"/>
    <w:qFormat/>
    <w:uiPriority w:val="0"/>
    <w:pPr>
      <w:spacing w:before="60" w:line="360" w:lineRule="auto"/>
      <w:ind w:left="476" w:firstLine="482"/>
    </w:pPr>
    <w:rPr>
      <w:rFonts w:ascii="Arial" w:hAnsi="Arial" w:eastAsia="仿宋_GB2312"/>
      <w:kern w:val="0"/>
      <w:sz w:val="24"/>
      <w:szCs w:val="20"/>
    </w:rPr>
  </w:style>
  <w:style w:type="paragraph" w:customStyle="1" w:styleId="857">
    <w:name w:val="Char Char Char Char Char Char Char Char Char1 Char Char Char Char Char Char Char Char1 Char Char Char"/>
    <w:basedOn w:val="1"/>
    <w:qFormat/>
    <w:uiPriority w:val="0"/>
    <w:pPr>
      <w:snapToGrid w:val="0"/>
      <w:spacing w:line="360" w:lineRule="auto"/>
      <w:ind w:firstLine="200" w:firstLineChars="200"/>
    </w:pPr>
    <w:rPr>
      <w:rFonts w:eastAsia="仿宋_GB2312"/>
      <w:sz w:val="24"/>
    </w:rPr>
  </w:style>
  <w:style w:type="paragraph" w:customStyle="1" w:styleId="858">
    <w:name w:val="默认段落字体 Para Char Char Char1 Char Char"/>
    <w:basedOn w:val="1"/>
    <w:qFormat/>
    <w:uiPriority w:val="0"/>
    <w:rPr>
      <w:sz w:val="24"/>
    </w:rPr>
  </w:style>
  <w:style w:type="paragraph" w:customStyle="1" w:styleId="859">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860">
    <w:name w:val="xl48"/>
    <w:basedOn w:val="1"/>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61">
    <w:name w:val="1正文段落"/>
    <w:basedOn w:val="1"/>
    <w:qFormat/>
    <w:uiPriority w:val="0"/>
    <w:pPr>
      <w:spacing w:line="360" w:lineRule="auto"/>
      <w:ind w:firstLine="480" w:firstLineChars="200"/>
      <w:jc w:val="left"/>
    </w:pPr>
    <w:rPr>
      <w:snapToGrid w:val="0"/>
      <w:kern w:val="0"/>
      <w:sz w:val="24"/>
    </w:rPr>
  </w:style>
  <w:style w:type="paragraph" w:customStyle="1" w:styleId="862">
    <w:name w:val="五号字表格"/>
    <w:basedOn w:val="728"/>
    <w:qFormat/>
    <w:uiPriority w:val="0"/>
    <w:pPr>
      <w:adjustRightInd w:val="0"/>
      <w:textAlignment w:val="baseline"/>
    </w:pPr>
    <w:rPr>
      <w:rFonts w:ascii="宋体"/>
      <w:kern w:val="0"/>
      <w:szCs w:val="20"/>
    </w:rPr>
  </w:style>
  <w:style w:type="paragraph" w:customStyle="1" w:styleId="863">
    <w:name w:val="样式 首行缩进:  2 字符"/>
    <w:basedOn w:val="1"/>
    <w:qFormat/>
    <w:uiPriority w:val="0"/>
    <w:pPr>
      <w:snapToGrid w:val="0"/>
      <w:spacing w:line="500" w:lineRule="exact"/>
      <w:ind w:firstLine="480" w:firstLineChars="200"/>
      <w:jc w:val="left"/>
    </w:pPr>
    <w:rPr>
      <w:rFonts w:cs="宋体"/>
      <w:sz w:val="24"/>
      <w:szCs w:val="20"/>
    </w:rPr>
  </w:style>
  <w:style w:type="paragraph" w:customStyle="1" w:styleId="864">
    <w:name w:val="标题6"/>
    <w:basedOn w:val="1"/>
    <w:next w:val="82"/>
    <w:qFormat/>
    <w:uiPriority w:val="0"/>
    <w:pPr>
      <w:keepNext/>
      <w:spacing w:line="360" w:lineRule="auto"/>
      <w:ind w:firstLine="567"/>
      <w:jc w:val="left"/>
      <w:outlineLvl w:val="5"/>
    </w:pPr>
    <w:rPr>
      <w:sz w:val="28"/>
    </w:rPr>
  </w:style>
  <w:style w:type="paragraph" w:customStyle="1" w:styleId="865">
    <w:name w:val="图标题"/>
    <w:basedOn w:val="424"/>
    <w:qFormat/>
    <w:uiPriority w:val="0"/>
    <w:pPr>
      <w:adjustRightInd/>
      <w:snapToGrid/>
      <w:spacing w:before="0" w:after="0" w:line="300" w:lineRule="exact"/>
      <w:jc w:val="both"/>
    </w:pPr>
    <w:rPr>
      <w:rFonts w:ascii="仿宋_GB2312" w:eastAsia="仿宋_GB2312"/>
      <w:kern w:val="0"/>
      <w:szCs w:val="24"/>
    </w:rPr>
  </w:style>
  <w:style w:type="paragraph" w:customStyle="1" w:styleId="866">
    <w:name w:val="1条目"/>
    <w:basedOn w:val="743"/>
    <w:qFormat/>
    <w:uiPriority w:val="0"/>
    <w:pPr>
      <w:ind w:left="851"/>
    </w:pPr>
    <w:rPr>
      <w:rFonts w:ascii="宋体" w:hAnsi="宋体"/>
      <w:b/>
      <w:sz w:val="30"/>
      <w:szCs w:val="30"/>
    </w:rPr>
  </w:style>
  <w:style w:type="paragraph" w:customStyle="1" w:styleId="867">
    <w:name w:val="源程序"/>
    <w:qFormat/>
    <w:uiPriority w:val="0"/>
    <w:pPr>
      <w:widowControl w:val="0"/>
      <w:kinsoku w:val="0"/>
      <w:wordWrap w:val="0"/>
      <w:overflowPunct w:val="0"/>
      <w:autoSpaceDE w:val="0"/>
      <w:autoSpaceDN w:val="0"/>
      <w:adjustRightInd w:val="0"/>
      <w:ind w:left="482"/>
    </w:pPr>
    <w:rPr>
      <w:rFonts w:ascii="Courier New" w:hAnsi="Courier New" w:eastAsia="仿宋_GB2312" w:cs="Times New Roman"/>
      <w:snapToGrid w:val="0"/>
      <w:sz w:val="24"/>
      <w:lang w:val="en-US" w:eastAsia="zh-CN" w:bidi="ar-SA"/>
    </w:rPr>
  </w:style>
  <w:style w:type="paragraph" w:customStyle="1" w:styleId="868">
    <w:name w:val="三级标题 大王 20100426"/>
    <w:basedOn w:val="1"/>
    <w:qFormat/>
    <w:uiPriority w:val="0"/>
    <w:pPr>
      <w:numPr>
        <w:ilvl w:val="3"/>
        <w:numId w:val="4"/>
      </w:numPr>
      <w:spacing w:beforeLines="20" w:afterLines="50"/>
      <w:ind w:left="0" w:firstLine="0"/>
      <w:outlineLvl w:val="2"/>
    </w:pPr>
    <w:rPr>
      <w:rFonts w:eastAsia="黑体"/>
      <w:sz w:val="28"/>
      <w:szCs w:val="28"/>
    </w:rPr>
  </w:style>
  <w:style w:type="paragraph" w:customStyle="1" w:styleId="869">
    <w:name w:val="xl78"/>
    <w:basedOn w:val="1"/>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70">
    <w:name w:val="h"/>
    <w:basedOn w:val="1"/>
    <w:qFormat/>
    <w:uiPriority w:val="0"/>
    <w:pPr>
      <w:spacing w:before="60"/>
      <w:ind w:firstLine="482"/>
    </w:pPr>
    <w:rPr>
      <w:rFonts w:ascii="Arial" w:hAnsi="Arial" w:eastAsia="仿宋_GB2312"/>
      <w:kern w:val="0"/>
      <w:sz w:val="24"/>
      <w:szCs w:val="20"/>
    </w:rPr>
  </w:style>
  <w:style w:type="paragraph" w:customStyle="1" w:styleId="871">
    <w:name w:val="xl43"/>
    <w:basedOn w:val="1"/>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72">
    <w:name w:val="Char Char Char Char Char Char1"/>
    <w:basedOn w:val="1"/>
    <w:qFormat/>
    <w:uiPriority w:val="0"/>
    <w:rPr>
      <w:sz w:val="24"/>
    </w:rPr>
  </w:style>
  <w:style w:type="paragraph" w:customStyle="1" w:styleId="873">
    <w:name w:val="xl106"/>
    <w:basedOn w:val="1"/>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4">
    <w:name w:val="列出段落1"/>
    <w:basedOn w:val="1"/>
    <w:qFormat/>
    <w:uiPriority w:val="34"/>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875">
    <w:name w:val="GY3"/>
    <w:basedOn w:val="1"/>
    <w:qFormat/>
    <w:uiPriority w:val="0"/>
    <w:pPr>
      <w:adjustRightInd w:val="0"/>
      <w:snapToGrid w:val="0"/>
      <w:spacing w:line="360" w:lineRule="auto"/>
    </w:pPr>
    <w:rPr>
      <w:rFonts w:ascii="黑体" w:hAnsi="宋体" w:eastAsia="黑体"/>
      <w:sz w:val="28"/>
      <w:szCs w:val="20"/>
    </w:rPr>
  </w:style>
  <w:style w:type="paragraph" w:customStyle="1" w:styleId="876">
    <w:name w:val="xl108"/>
    <w:basedOn w:val="1"/>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7">
    <w:name w:val="Char Char Char Char Char Char2"/>
    <w:basedOn w:val="1"/>
    <w:qFormat/>
    <w:uiPriority w:val="0"/>
    <w:rPr>
      <w:sz w:val="24"/>
    </w:rPr>
  </w:style>
  <w:style w:type="paragraph" w:customStyle="1" w:styleId="878">
    <w:name w:val="样式2.2.5"/>
    <w:basedOn w:val="1"/>
    <w:qFormat/>
    <w:uiPriority w:val="0"/>
    <w:pPr>
      <w:spacing w:beforeLines="50" w:line="360" w:lineRule="auto"/>
      <w:outlineLvl w:val="3"/>
    </w:pPr>
    <w:rPr>
      <w:b/>
      <w:sz w:val="24"/>
    </w:rPr>
  </w:style>
  <w:style w:type="paragraph" w:customStyle="1" w:styleId="879">
    <w:name w:val="xl54"/>
    <w:basedOn w:val="1"/>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880">
    <w:name w:val="扉页 黑体"/>
    <w:basedOn w:val="1"/>
    <w:qFormat/>
    <w:uiPriority w:val="0"/>
    <w:pPr>
      <w:spacing w:before="240" w:after="240" w:line="480" w:lineRule="exact"/>
      <w:ind w:firstLine="640" w:firstLineChars="200"/>
      <w:jc w:val="left"/>
    </w:pPr>
    <w:rPr>
      <w:rFonts w:eastAsia="黑体"/>
      <w:bCs/>
      <w:sz w:val="32"/>
      <w:szCs w:val="20"/>
    </w:rPr>
  </w:style>
  <w:style w:type="paragraph" w:customStyle="1" w:styleId="881">
    <w:name w:val="图文框"/>
    <w:basedOn w:val="1"/>
    <w:qFormat/>
    <w:uiPriority w:val="0"/>
    <w:pPr>
      <w:widowControl/>
      <w:spacing w:line="240" w:lineRule="exact"/>
      <w:jc w:val="center"/>
    </w:pPr>
    <w:rPr>
      <w:rFonts w:ascii="仿宋_GB2312" w:hAnsi="宋体" w:eastAsia="仿宋_GB2312"/>
      <w:spacing w:val="-14"/>
      <w:kern w:val="0"/>
      <w:sz w:val="18"/>
      <w:szCs w:val="20"/>
    </w:rPr>
  </w:style>
  <w:style w:type="paragraph" w:customStyle="1" w:styleId="882">
    <w:name w:val="样式 样式3 + 首行缩进:  2 字符"/>
    <w:basedOn w:val="1"/>
    <w:qFormat/>
    <w:uiPriority w:val="0"/>
    <w:pPr>
      <w:widowControl/>
      <w:spacing w:line="440" w:lineRule="exact"/>
      <w:ind w:firstLine="560" w:firstLineChars="200"/>
      <w:contextualSpacing/>
      <w:jc w:val="left"/>
    </w:pPr>
    <w:rPr>
      <w:rFonts w:cs="宋体"/>
      <w:kern w:val="0"/>
    </w:rPr>
  </w:style>
  <w:style w:type="paragraph" w:customStyle="1" w:styleId="883">
    <w:name w:val="纯文本2"/>
    <w:basedOn w:val="1"/>
    <w:qFormat/>
    <w:uiPriority w:val="0"/>
    <w:pPr>
      <w:autoSpaceDE w:val="0"/>
      <w:autoSpaceDN w:val="0"/>
      <w:adjustRightInd w:val="0"/>
      <w:textAlignment w:val="baseline"/>
    </w:pPr>
    <w:rPr>
      <w:rFonts w:ascii="宋体"/>
      <w:szCs w:val="20"/>
    </w:rPr>
  </w:style>
  <w:style w:type="paragraph" w:customStyle="1" w:styleId="884">
    <w:name w:val="样式 标题 1章标题 1H11.1标题 111标题 1 + 行距: 固定值 30 磅"/>
    <w:basedOn w:val="5"/>
    <w:qFormat/>
    <w:uiPriority w:val="0"/>
    <w:pPr>
      <w:keepNext w:val="0"/>
      <w:pageBreakBefore/>
      <w:tabs>
        <w:tab w:val="left" w:pos="390"/>
      </w:tabs>
      <w:overflowPunct/>
      <w:snapToGrid/>
      <w:spacing w:after="120" w:line="600" w:lineRule="exact"/>
      <w:ind w:left="390" w:firstLine="0"/>
      <w:jc w:val="center"/>
    </w:pPr>
    <w:rPr>
      <w:rFonts w:ascii="黑体" w:hAnsi="Calibri" w:cs="宋体"/>
      <w:color w:val="auto"/>
      <w:sz w:val="44"/>
      <w:szCs w:val="20"/>
    </w:rPr>
  </w:style>
  <w:style w:type="paragraph" w:customStyle="1" w:styleId="885">
    <w:name w:val="样式 样式 样式 标题 3东明_小节H3条标题1.1.1二级节名h33rd level3l3CTHeading 3 - ... ...1"/>
    <w:basedOn w:val="774"/>
    <w:qFormat/>
    <w:uiPriority w:val="0"/>
    <w:pPr>
      <w:spacing w:after="0"/>
    </w:pPr>
  </w:style>
  <w:style w:type="paragraph" w:customStyle="1" w:styleId="886">
    <w:name w:val="Char Char Char Char Char Char Char Char Char Char Char Char1 Char Char Char Char"/>
    <w:basedOn w:val="1"/>
    <w:next w:val="1"/>
    <w:semiHidden/>
    <w:qFormat/>
    <w:uiPriority w:val="0"/>
    <w:pPr>
      <w:spacing w:line="336" w:lineRule="auto"/>
      <w:ind w:firstLine="200" w:firstLineChars="200"/>
    </w:pPr>
    <w:rPr>
      <w:rFonts w:ascii="宋体" w:hAnsi="宋体" w:eastAsia="汉鼎简书宋" w:cs="宋体"/>
      <w:sz w:val="24"/>
    </w:rPr>
  </w:style>
  <w:style w:type="paragraph" w:customStyle="1" w:styleId="887">
    <w:name w:val="Char"/>
    <w:basedOn w:val="1"/>
    <w:qFormat/>
    <w:uiPriority w:val="0"/>
  </w:style>
  <w:style w:type="paragraph" w:customStyle="1" w:styleId="888">
    <w:name w:val="Char Char Char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89">
    <w:name w:val="5"/>
    <w:qFormat/>
    <w:uiPriority w:val="0"/>
    <w:rPr>
      <w:rFonts w:ascii="Calibri" w:hAnsi="Calibri" w:eastAsia="宋体" w:cs="Times New Roman"/>
      <w:kern w:val="2"/>
      <w:sz w:val="21"/>
      <w:szCs w:val="22"/>
      <w:lang w:val="en-US" w:eastAsia="zh-CN" w:bidi="ar-SA"/>
    </w:rPr>
  </w:style>
  <w:style w:type="paragraph" w:customStyle="1" w:styleId="890">
    <w:name w:val="字元 字元"/>
    <w:basedOn w:val="1"/>
    <w:qFormat/>
    <w:uiPriority w:val="0"/>
  </w:style>
  <w:style w:type="paragraph" w:customStyle="1" w:styleId="891">
    <w:name w:val="样式 样式 样式 标题 3 + 两端对齐 + 段后: 0.1 行 +"/>
    <w:basedOn w:val="1"/>
    <w:semiHidden/>
    <w:qFormat/>
    <w:uiPriority w:val="0"/>
    <w:pPr>
      <w:keepNext/>
      <w:keepLines/>
      <w:widowControl/>
      <w:tabs>
        <w:tab w:val="left" w:pos="0"/>
        <w:tab w:val="left" w:pos="2700"/>
      </w:tabs>
      <w:spacing w:line="320" w:lineRule="exact"/>
      <w:contextualSpacing/>
      <w:jc w:val="center"/>
    </w:pPr>
    <w:rPr>
      <w:rFonts w:cs="宋体"/>
      <w:bCs/>
      <w:kern w:val="0"/>
    </w:rPr>
  </w:style>
  <w:style w:type="paragraph" w:customStyle="1" w:styleId="892">
    <w:name w:val="xl126"/>
    <w:basedOn w:val="1"/>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893">
    <w:name w:val="xl47"/>
    <w:basedOn w:val="1"/>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94">
    <w:name w:val="法规"/>
    <w:basedOn w:val="1"/>
    <w:qFormat/>
    <w:uiPriority w:val="0"/>
    <w:pPr>
      <w:tabs>
        <w:tab w:val="left" w:pos="400"/>
      </w:tabs>
      <w:spacing w:line="440" w:lineRule="exact"/>
      <w:ind w:firstLine="400"/>
    </w:pPr>
    <w:rPr>
      <w:sz w:val="25"/>
      <w:szCs w:val="20"/>
    </w:rPr>
  </w:style>
  <w:style w:type="paragraph" w:customStyle="1" w:styleId="895">
    <w:name w:val="正文首行缩进1"/>
    <w:basedOn w:val="1"/>
    <w:next w:val="1"/>
    <w:qFormat/>
    <w:uiPriority w:val="0"/>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561"/>
      <w:textAlignment w:val="baseline"/>
    </w:pPr>
    <w:rPr>
      <w:kern w:val="0"/>
      <w:sz w:val="28"/>
    </w:rPr>
  </w:style>
  <w:style w:type="paragraph" w:customStyle="1" w:styleId="896">
    <w:name w:val="样式 标题 2东明_节 + 行距: 1.5 倍行距"/>
    <w:basedOn w:val="6"/>
    <w:qFormat/>
    <w:uiPriority w:val="0"/>
    <w:pPr>
      <w:keepLines w:val="0"/>
      <w:widowControl/>
      <w:spacing w:before="240" w:after="60" w:line="360" w:lineRule="auto"/>
      <w:jc w:val="left"/>
    </w:pPr>
    <w:rPr>
      <w:rFonts w:ascii="Cambria" w:hAnsi="Cambria" w:eastAsia="宋体" w:cs="宋体"/>
      <w:kern w:val="0"/>
      <w:sz w:val="30"/>
      <w:szCs w:val="20"/>
      <w:lang w:eastAsia="en-US" w:bidi="en-US"/>
    </w:rPr>
  </w:style>
  <w:style w:type="paragraph" w:customStyle="1" w:styleId="897">
    <w:name w:val="xl30"/>
    <w:basedOn w:val="1"/>
    <w:qFormat/>
    <w:uiPriority w:val="0"/>
    <w:pPr>
      <w:widowControl/>
      <w:pBdr>
        <w:bottom w:val="single" w:color="auto" w:sz="4" w:space="0"/>
        <w:right w:val="single" w:color="auto" w:sz="4" w:space="0"/>
      </w:pBdr>
      <w:spacing w:before="100" w:beforeAutospacing="1" w:after="100" w:afterAutospacing="1"/>
    </w:pPr>
    <w:rPr>
      <w:rFonts w:hint="eastAsia" w:ascii="宋体" w:hAnsi="宋体"/>
      <w:kern w:val="0"/>
    </w:rPr>
  </w:style>
  <w:style w:type="paragraph" w:customStyle="1" w:styleId="898">
    <w:name w:val="样式38"/>
    <w:basedOn w:val="5"/>
    <w:qFormat/>
    <w:uiPriority w:val="0"/>
    <w:pPr>
      <w:tabs>
        <w:tab w:val="left" w:pos="720"/>
      </w:tabs>
      <w:overflowPunct/>
      <w:snapToGrid/>
      <w:spacing w:before="340" w:beforeLines="100" w:after="330" w:afterLines="100" w:line="360" w:lineRule="auto"/>
      <w:ind w:left="0" w:firstLine="0"/>
      <w:jc w:val="center"/>
    </w:pPr>
    <w:rPr>
      <w:rFonts w:ascii="黑体" w:hAnsi="Calibri"/>
      <w:b w:val="0"/>
      <w:bCs w:val="0"/>
      <w:color w:val="auto"/>
      <w:kern w:val="2"/>
      <w:sz w:val="32"/>
      <w:szCs w:val="32"/>
    </w:rPr>
  </w:style>
  <w:style w:type="paragraph" w:customStyle="1" w:styleId="899">
    <w:name w:val="样式 Char"/>
    <w:basedOn w:val="1"/>
    <w:next w:val="685"/>
    <w:qFormat/>
    <w:uiPriority w:val="0"/>
    <w:pPr>
      <w:numPr>
        <w:ilvl w:val="0"/>
        <w:numId w:val="9"/>
      </w:numPr>
      <w:adjustRightInd w:val="0"/>
      <w:snapToGrid w:val="0"/>
      <w:spacing w:before="240" w:after="240" w:line="480" w:lineRule="exact"/>
    </w:pPr>
    <w:rPr>
      <w:sz w:val="28"/>
    </w:rPr>
  </w:style>
  <w:style w:type="paragraph" w:customStyle="1" w:styleId="900">
    <w:name w:val="样式28"/>
    <w:basedOn w:val="901"/>
    <w:qFormat/>
    <w:uiPriority w:val="0"/>
    <w:pPr>
      <w:spacing w:beforeLines="50" w:afterLines="50"/>
      <w:ind w:firstLine="0" w:firstLineChars="0"/>
      <w:jc w:val="center"/>
    </w:pPr>
    <w:rPr>
      <w:rFonts w:ascii="宋体" w:eastAsia="宋体"/>
      <w:b/>
      <w:snapToGrid w:val="0"/>
      <w:color w:val="000000"/>
      <w:szCs w:val="28"/>
    </w:rPr>
  </w:style>
  <w:style w:type="paragraph" w:customStyle="1" w:styleId="901">
    <w:name w:val="样式17"/>
    <w:basedOn w:val="1"/>
    <w:qFormat/>
    <w:uiPriority w:val="0"/>
    <w:pPr>
      <w:ind w:firstLine="560" w:firstLineChars="200"/>
    </w:pPr>
    <w:rPr>
      <w:rFonts w:ascii="黑体" w:hAnsi="宋体" w:eastAsia="黑体"/>
      <w:sz w:val="28"/>
      <w:szCs w:val="20"/>
    </w:rPr>
  </w:style>
  <w:style w:type="paragraph" w:customStyle="1" w:styleId="902">
    <w:name w:val="font10"/>
    <w:basedOn w:val="1"/>
    <w:qFormat/>
    <w:uiPriority w:val="0"/>
    <w:pPr>
      <w:widowControl/>
      <w:spacing w:before="100" w:beforeAutospacing="1" w:after="100" w:afterAutospacing="1"/>
      <w:jc w:val="left"/>
    </w:pPr>
    <w:rPr>
      <w:rFonts w:ascii="Arial" w:hAnsi="Arial" w:cs="Arial"/>
      <w:kern w:val="0"/>
      <w:sz w:val="20"/>
      <w:szCs w:val="20"/>
    </w:rPr>
  </w:style>
  <w:style w:type="paragraph" w:customStyle="1" w:styleId="903">
    <w:name w:val="东明_表格"/>
    <w:basedOn w:val="904"/>
    <w:qFormat/>
    <w:uiPriority w:val="0"/>
    <w:pPr>
      <w:spacing w:before="100" w:beforeAutospacing="1" w:after="100" w:afterAutospacing="1" w:line="240" w:lineRule="auto"/>
    </w:pPr>
    <w:rPr>
      <w:rFonts w:ascii="黑体" w:hAnsi="黑体" w:eastAsia="黑体"/>
      <w:szCs w:val="24"/>
    </w:rPr>
  </w:style>
  <w:style w:type="paragraph" w:customStyle="1" w:styleId="904">
    <w:name w:val="表格正文"/>
    <w:basedOn w:val="1"/>
    <w:qFormat/>
    <w:uiPriority w:val="0"/>
    <w:pPr>
      <w:spacing w:line="360" w:lineRule="exact"/>
      <w:jc w:val="center"/>
    </w:pPr>
    <w:rPr>
      <w:szCs w:val="20"/>
    </w:rPr>
  </w:style>
  <w:style w:type="paragraph" w:customStyle="1" w:styleId="905">
    <w:name w:val="xl122"/>
    <w:basedOn w:val="1"/>
    <w:qFormat/>
    <w:uiPriority w:val="0"/>
    <w:pPr>
      <w:widowControl/>
      <w:pBdr>
        <w:lef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06">
    <w:name w:val="正文文字 3"/>
    <w:basedOn w:val="1"/>
    <w:qFormat/>
    <w:uiPriority w:val="0"/>
    <w:pPr>
      <w:spacing w:line="280" w:lineRule="exact"/>
      <w:jc w:val="center"/>
    </w:pPr>
    <w:rPr>
      <w:rFonts w:ascii="仿宋_GB2312" w:hAnsi="Arial Black" w:eastAsia="仿宋_GB2312" w:cs="仿宋_GB2312"/>
    </w:rPr>
  </w:style>
  <w:style w:type="paragraph" w:customStyle="1" w:styleId="907">
    <w:name w:val="文本居中"/>
    <w:basedOn w:val="1"/>
    <w:qFormat/>
    <w:uiPriority w:val="0"/>
    <w:pPr>
      <w:adjustRightInd w:val="0"/>
      <w:spacing w:line="360" w:lineRule="auto"/>
      <w:jc w:val="center"/>
    </w:pPr>
    <w:rPr>
      <w:sz w:val="28"/>
    </w:rPr>
  </w:style>
  <w:style w:type="paragraph" w:customStyle="1" w:styleId="908">
    <w:name w:val="xl112"/>
    <w:basedOn w:val="1"/>
    <w:qFormat/>
    <w:uiPriority w:val="0"/>
    <w:pPr>
      <w:widowControl/>
      <w:pBdr>
        <w:righ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909">
    <w:name w:val="Char Char Char Char Char Char Char Char Char Char1 Char Char Char Char Char Char"/>
    <w:basedOn w:val="1"/>
    <w:qFormat/>
    <w:uiPriority w:val="0"/>
    <w:pPr>
      <w:widowControl/>
      <w:contextualSpacing/>
      <w:jc w:val="left"/>
    </w:pPr>
    <w:rPr>
      <w:rFonts w:cs="宋体"/>
      <w:kern w:val="0"/>
    </w:rPr>
  </w:style>
  <w:style w:type="paragraph" w:customStyle="1" w:styleId="910">
    <w:name w:val="xl103"/>
    <w:basedOn w:val="1"/>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11">
    <w:name w:val="yz"/>
    <w:basedOn w:val="34"/>
    <w:qFormat/>
    <w:uiPriority w:val="0"/>
    <w:pPr>
      <w:widowControl w:val="0"/>
      <w:tabs>
        <w:tab w:val="left" w:pos="900"/>
      </w:tabs>
      <w:adjustRightInd w:val="0"/>
      <w:snapToGrid/>
      <w:spacing w:before="0" w:after="0" w:line="240" w:lineRule="auto"/>
      <w:ind w:right="0" w:firstLine="200" w:firstLineChars="200"/>
      <w:textAlignment w:val="baseline"/>
    </w:pPr>
    <w:rPr>
      <w:rFonts w:hint="eastAsia" w:ascii="宋体" w:hAnsi="宋体"/>
      <w:sz w:val="24"/>
      <w:szCs w:val="24"/>
    </w:rPr>
  </w:style>
  <w:style w:type="paragraph" w:customStyle="1" w:styleId="912">
    <w:name w:val="标准符号 行距1倍"/>
    <w:basedOn w:val="1"/>
    <w:qFormat/>
    <w:uiPriority w:val="0"/>
    <w:pPr>
      <w:adjustRightInd w:val="0"/>
      <w:snapToGrid w:val="0"/>
      <w:spacing w:beforeLines="50"/>
      <w:jc w:val="center"/>
      <w:textAlignment w:val="center"/>
    </w:pPr>
    <w:rPr>
      <w:rFonts w:ascii="黑体" w:eastAsia="黑体" w:cs="宋体"/>
      <w:color w:val="000000"/>
      <w:kern w:val="0"/>
      <w:sz w:val="24"/>
    </w:rPr>
  </w:style>
  <w:style w:type="paragraph" w:customStyle="1" w:styleId="913">
    <w:name w:val="2.2.1"/>
    <w:basedOn w:val="8"/>
    <w:qFormat/>
    <w:uiPriority w:val="0"/>
    <w:pPr>
      <w:tabs>
        <w:tab w:val="left" w:pos="864"/>
      </w:tabs>
      <w:spacing w:before="0" w:after="0" w:line="360" w:lineRule="auto"/>
      <w:ind w:left="864" w:hanging="864"/>
      <w:jc w:val="left"/>
    </w:pPr>
    <w:rPr>
      <w:rFonts w:ascii="宋体" w:hAnsi="Arial"/>
      <w:b w:val="0"/>
      <w:color w:val="000000"/>
      <w:sz w:val="24"/>
    </w:rPr>
  </w:style>
  <w:style w:type="paragraph" w:customStyle="1" w:styleId="914">
    <w:name w:val="Char1 Char Char Char"/>
    <w:basedOn w:val="1"/>
    <w:qFormat/>
    <w:uiPriority w:val="0"/>
    <w:pPr>
      <w:spacing w:line="360" w:lineRule="auto"/>
      <w:ind w:firstLine="200" w:firstLineChars="200"/>
    </w:pPr>
    <w:rPr>
      <w:rFonts w:ascii="宋体" w:hAnsi="宋体" w:cs="宋体"/>
      <w:sz w:val="24"/>
    </w:rPr>
  </w:style>
  <w:style w:type="paragraph" w:customStyle="1" w:styleId="915">
    <w:name w:val="TOC 标题1"/>
    <w:basedOn w:val="5"/>
    <w:next w:val="1"/>
    <w:qFormat/>
    <w:uiPriority w:val="39"/>
    <w:pPr>
      <w:keepLines/>
      <w:widowControl/>
      <w:tabs>
        <w:tab w:val="left" w:pos="390"/>
      </w:tabs>
      <w:overflowPunct/>
      <w:snapToGrid/>
      <w:spacing w:before="480" w:after="0" w:line="276" w:lineRule="auto"/>
      <w:ind w:left="390" w:firstLine="0"/>
      <w:jc w:val="left"/>
      <w:outlineLvl w:val="9"/>
    </w:pPr>
    <w:rPr>
      <w:rFonts w:ascii="Cambria" w:hAnsi="Cambria" w:eastAsia="宋体"/>
      <w:color w:val="365F91"/>
      <w:kern w:val="0"/>
      <w:sz w:val="28"/>
      <w:szCs w:val="28"/>
    </w:rPr>
  </w:style>
  <w:style w:type="paragraph" w:customStyle="1" w:styleId="916">
    <w:name w:val="小节标题"/>
    <w:basedOn w:val="1"/>
    <w:qFormat/>
    <w:uiPriority w:val="0"/>
    <w:pPr>
      <w:widowControl/>
      <w:spacing w:before="175" w:after="102" w:line="351" w:lineRule="atLeast"/>
      <w:contextualSpacing/>
      <w:textAlignment w:val="baseline"/>
    </w:pPr>
    <w:rPr>
      <w:rFonts w:eastAsia="黑体"/>
      <w:color w:val="000000"/>
      <w:kern w:val="0"/>
      <w:szCs w:val="20"/>
      <w:u w:color="000000"/>
    </w:rPr>
  </w:style>
  <w:style w:type="paragraph" w:customStyle="1" w:styleId="917">
    <w:name w:val="高表内"/>
    <w:basedOn w:val="11"/>
    <w:qFormat/>
    <w:uiPriority w:val="0"/>
    <w:pPr>
      <w:autoSpaceDE w:val="0"/>
      <w:adjustRightInd w:val="0"/>
      <w:snapToGrid w:val="0"/>
      <w:jc w:val="center"/>
      <w:textAlignment w:val="baseline"/>
    </w:pPr>
    <w:rPr>
      <w:rFonts w:ascii="Arial" w:hAnsi="Arial" w:eastAsia="楷体_GB2312" w:cs="Times New Roman"/>
      <w:kern w:val="0"/>
      <w:sz w:val="24"/>
      <w:szCs w:val="24"/>
    </w:rPr>
  </w:style>
  <w:style w:type="paragraph" w:customStyle="1" w:styleId="918">
    <w:name w:val="正文 + 宋体"/>
    <w:basedOn w:val="1"/>
    <w:qFormat/>
    <w:uiPriority w:val="0"/>
    <w:pPr>
      <w:tabs>
        <w:tab w:val="left" w:pos="6120"/>
      </w:tabs>
      <w:adjustRightInd w:val="0"/>
      <w:spacing w:line="500" w:lineRule="exact"/>
      <w:ind w:firstLine="420" w:firstLineChars="150"/>
      <w:jc w:val="left"/>
    </w:pPr>
    <w:rPr>
      <w:rFonts w:ascii="宋体" w:hAnsi="宋体"/>
      <w:sz w:val="28"/>
      <w:szCs w:val="28"/>
    </w:rPr>
  </w:style>
  <w:style w:type="paragraph" w:customStyle="1" w:styleId="919">
    <w:name w:val="xl165"/>
    <w:basedOn w:val="1"/>
    <w:qFormat/>
    <w:uiPriority w:val="0"/>
    <w:pPr>
      <w:widowControl/>
      <w:pBdr>
        <w:top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20">
    <w:name w:val="样式 标题 1 + (中文) 宋体 小三 行距: 多倍行距 1.35 字行"/>
    <w:basedOn w:val="5"/>
    <w:qFormat/>
    <w:uiPriority w:val="0"/>
    <w:pPr>
      <w:keepLines/>
      <w:tabs>
        <w:tab w:val="left" w:pos="390"/>
        <w:tab w:val="left" w:pos="432"/>
      </w:tabs>
      <w:overflowPunct/>
      <w:spacing w:before="0" w:after="0" w:line="360" w:lineRule="auto"/>
    </w:pPr>
    <w:rPr>
      <w:rFonts w:ascii="宋体" w:hAnsi="宋体" w:eastAsia="宋体"/>
      <w:color w:val="auto"/>
      <w:sz w:val="32"/>
      <w:szCs w:val="32"/>
    </w:rPr>
  </w:style>
  <w:style w:type="paragraph" w:customStyle="1" w:styleId="921">
    <w:name w:val="表字1"/>
    <w:basedOn w:val="1"/>
    <w:qFormat/>
    <w:uiPriority w:val="0"/>
    <w:pPr>
      <w:adjustRightInd w:val="0"/>
      <w:spacing w:line="360" w:lineRule="auto"/>
      <w:jc w:val="center"/>
      <w:textAlignment w:val="baseline"/>
    </w:pPr>
    <w:rPr>
      <w:rFonts w:ascii="宋体"/>
      <w:kern w:val="0"/>
      <w:szCs w:val="20"/>
    </w:rPr>
  </w:style>
  <w:style w:type="paragraph" w:customStyle="1" w:styleId="922">
    <w:name w:val="xl42"/>
    <w:basedOn w:val="1"/>
    <w:qFormat/>
    <w:uiPriority w:val="0"/>
    <w:pPr>
      <w:widowControl/>
      <w:pBdr>
        <w:bottom w:val="dotted" w:color="auto" w:sz="4" w:space="0"/>
        <w:right w:val="dotted" w:color="auto" w:sz="4" w:space="0"/>
      </w:pBdr>
      <w:spacing w:before="100" w:beforeAutospacing="1" w:after="100" w:afterAutospacing="1"/>
      <w:jc w:val="center"/>
    </w:pPr>
    <w:rPr>
      <w:kern w:val="0"/>
    </w:rPr>
  </w:style>
  <w:style w:type="paragraph" w:customStyle="1" w:styleId="923">
    <w:name w:val="Char Char Char Char Char Char Char Char Char Char Char Char1 Char Char Char Char1"/>
    <w:basedOn w:val="1"/>
    <w:qFormat/>
    <w:uiPriority w:val="0"/>
    <w:pPr>
      <w:widowControl/>
      <w:contextualSpacing/>
      <w:jc w:val="left"/>
    </w:pPr>
    <w:rPr>
      <w:rFonts w:cs="宋体"/>
      <w:kern w:val="0"/>
    </w:rPr>
  </w:style>
  <w:style w:type="paragraph" w:customStyle="1" w:styleId="924">
    <w:name w:val="1 Char Char Char Char Char Char Char"/>
    <w:basedOn w:val="1"/>
    <w:qFormat/>
    <w:uiPriority w:val="0"/>
    <w:pPr>
      <w:spacing w:line="360" w:lineRule="auto"/>
      <w:ind w:firstLine="200" w:firstLineChars="200"/>
    </w:pPr>
    <w:rPr>
      <w:rFonts w:ascii="宋体" w:hAnsi="宋体" w:cs="宋体"/>
      <w:sz w:val="24"/>
    </w:rPr>
  </w:style>
  <w:style w:type="paragraph" w:customStyle="1" w:styleId="925">
    <w:name w:val="样式 正文001 + 首行缩进:  2 字符1"/>
    <w:basedOn w:val="1"/>
    <w:qFormat/>
    <w:uiPriority w:val="0"/>
    <w:pPr>
      <w:spacing w:before="60" w:line="460" w:lineRule="exact"/>
      <w:ind w:firstLine="480" w:firstLineChars="200"/>
    </w:pPr>
    <w:rPr>
      <w:sz w:val="24"/>
      <w:szCs w:val="20"/>
    </w:rPr>
  </w:style>
  <w:style w:type="paragraph" w:customStyle="1" w:styleId="926">
    <w:name w:val="样式 标题 1章标题 11标题 1H1一、 + 行距: 1.5 倍行距"/>
    <w:basedOn w:val="5"/>
    <w:qFormat/>
    <w:uiPriority w:val="0"/>
    <w:pPr>
      <w:keepLines/>
      <w:overflowPunct/>
      <w:spacing w:before="340" w:after="330" w:line="360" w:lineRule="auto"/>
      <w:ind w:left="3845" w:hanging="3845"/>
      <w:jc w:val="center"/>
    </w:pPr>
    <w:rPr>
      <w:rFonts w:cs="宋体"/>
      <w:color w:val="auto"/>
      <w:sz w:val="44"/>
      <w:szCs w:val="20"/>
    </w:rPr>
  </w:style>
  <w:style w:type="paragraph" w:customStyle="1" w:styleId="927">
    <w:name w:val="1 Char"/>
    <w:basedOn w:val="1"/>
    <w:qFormat/>
    <w:uiPriority w:val="0"/>
    <w:pPr>
      <w:spacing w:line="360" w:lineRule="auto"/>
      <w:ind w:firstLine="200" w:firstLineChars="200"/>
    </w:pPr>
    <w:rPr>
      <w:rFonts w:ascii="宋体" w:hAnsi="宋体" w:cs="宋体"/>
      <w:sz w:val="24"/>
    </w:rPr>
  </w:style>
  <w:style w:type="paragraph" w:customStyle="1" w:styleId="928">
    <w:name w:val="工艺正文"/>
    <w:basedOn w:val="1"/>
    <w:qFormat/>
    <w:uiPriority w:val="0"/>
    <w:pPr>
      <w:adjustRightInd w:val="0"/>
      <w:snapToGrid w:val="0"/>
      <w:spacing w:line="360" w:lineRule="auto"/>
      <w:ind w:firstLine="580"/>
    </w:pPr>
    <w:rPr>
      <w:rFonts w:ascii="宋体"/>
      <w:sz w:val="28"/>
      <w:szCs w:val="20"/>
    </w:rPr>
  </w:style>
  <w:style w:type="paragraph" w:customStyle="1" w:styleId="929">
    <w:name w:val="正文 黑体"/>
    <w:basedOn w:val="1"/>
    <w:qFormat/>
    <w:uiPriority w:val="0"/>
    <w:pPr>
      <w:spacing w:before="240" w:after="240" w:line="480" w:lineRule="exact"/>
      <w:ind w:firstLine="560" w:firstLineChars="200"/>
    </w:pPr>
    <w:rPr>
      <w:rFonts w:eastAsia="黑体"/>
      <w:sz w:val="28"/>
      <w:szCs w:val="20"/>
    </w:rPr>
  </w:style>
  <w:style w:type="paragraph" w:customStyle="1" w:styleId="930">
    <w:name w:val="xl175"/>
    <w:basedOn w:val="1"/>
    <w:qFormat/>
    <w:uiPriority w:val="0"/>
    <w:pPr>
      <w:widowControl/>
      <w:pBdr>
        <w:left w:val="single" w:color="auto" w:sz="12" w:space="0"/>
        <w:right w:val="single" w:color="auto" w:sz="4" w:space="0"/>
      </w:pBdr>
      <w:spacing w:before="100" w:beforeAutospacing="1" w:after="100" w:afterAutospacing="1"/>
      <w:jc w:val="left"/>
    </w:pPr>
    <w:rPr>
      <w:rFonts w:ascii="Arial Unicode MS" w:hAnsi="Arial Unicode MS"/>
      <w:kern w:val="0"/>
    </w:rPr>
  </w:style>
  <w:style w:type="paragraph" w:customStyle="1" w:styleId="931">
    <w:name w:val="xl140"/>
    <w:basedOn w:val="1"/>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32">
    <w:name w:val="z-窗体底端1"/>
    <w:basedOn w:val="1"/>
    <w:next w:val="1"/>
    <w:qFormat/>
    <w:uiPriority w:val="0"/>
    <w:pPr>
      <w:widowControl/>
      <w:pBdr>
        <w:top w:val="single" w:color="auto" w:sz="6" w:space="1"/>
      </w:pBdr>
      <w:jc w:val="center"/>
    </w:pPr>
    <w:rPr>
      <w:rFonts w:ascii="Arial" w:hAnsi="Arial" w:cs="Arial"/>
      <w:vanish/>
      <w:kern w:val="0"/>
      <w:sz w:val="16"/>
      <w:szCs w:val="16"/>
    </w:rPr>
  </w:style>
  <w:style w:type="paragraph" w:customStyle="1" w:styleId="933">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34">
    <w:name w:val="正文 黑体 Char"/>
    <w:basedOn w:val="685"/>
    <w:next w:val="685"/>
    <w:qFormat/>
    <w:uiPriority w:val="0"/>
    <w:rPr>
      <w:rFonts w:eastAsia="黑体"/>
    </w:rPr>
  </w:style>
  <w:style w:type="paragraph" w:customStyle="1" w:styleId="935">
    <w:name w:val="xl24"/>
    <w:basedOn w:val="1"/>
    <w:qFormat/>
    <w:uiPriority w:val="0"/>
    <w:pPr>
      <w:widowControl/>
      <w:spacing w:before="100" w:after="100"/>
      <w:jc w:val="center"/>
    </w:pPr>
    <w:rPr>
      <w:rFonts w:ascii="宋体" w:hAnsi="宋体"/>
      <w:kern w:val="0"/>
      <w:sz w:val="24"/>
      <w:szCs w:val="20"/>
    </w:rPr>
  </w:style>
  <w:style w:type="paragraph" w:customStyle="1" w:styleId="936">
    <w:name w:val="表中"/>
    <w:qFormat/>
    <w:uiPriority w:val="0"/>
    <w:pPr>
      <w:adjustRightInd w:val="0"/>
      <w:snapToGrid w:val="0"/>
      <w:jc w:val="right"/>
    </w:pPr>
    <w:rPr>
      <w:rFonts w:ascii="Times New Roman" w:hAnsi="Times New Roman" w:eastAsia="宋体" w:cs="Times New Roman"/>
      <w:kern w:val="44"/>
      <w:sz w:val="18"/>
      <w:lang w:val="en-US" w:eastAsia="zh-CN" w:bidi="ar-SA"/>
    </w:rPr>
  </w:style>
  <w:style w:type="paragraph" w:customStyle="1" w:styleId="937">
    <w:name w:val="编制说明"/>
    <w:basedOn w:val="1"/>
    <w:qFormat/>
    <w:uiPriority w:val="0"/>
    <w:pPr>
      <w:topLinePunct/>
      <w:adjustRightInd w:val="0"/>
      <w:snapToGrid w:val="0"/>
      <w:ind w:firstLine="420"/>
      <w:contextualSpacing/>
    </w:pPr>
    <w:rPr>
      <w:rFonts w:eastAsia="仿宋_GB2312"/>
      <w:szCs w:val="20"/>
    </w:rPr>
  </w:style>
  <w:style w:type="paragraph" w:customStyle="1" w:styleId="938">
    <w:name w:val="Char Char1"/>
    <w:basedOn w:val="1"/>
    <w:qFormat/>
    <w:uiPriority w:val="0"/>
    <w:pPr>
      <w:spacing w:line="360" w:lineRule="auto"/>
      <w:ind w:firstLine="200" w:firstLineChars="200"/>
      <w:jc w:val="left"/>
    </w:pPr>
    <w:rPr>
      <w:rFonts w:ascii="宋体" w:hAnsi="宋体" w:cs="宋体"/>
      <w:sz w:val="24"/>
    </w:rPr>
  </w:style>
  <w:style w:type="paragraph" w:customStyle="1" w:styleId="939">
    <w:name w:val="xl141"/>
    <w:basedOn w:val="1"/>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40">
    <w:name w:val="xl79"/>
    <w:basedOn w:val="1"/>
    <w:qFormat/>
    <w:uiPriority w:val="0"/>
    <w:pPr>
      <w:widowControl/>
      <w:pBdr>
        <w:bottom w:val="single" w:color="auto" w:sz="12" w:space="0"/>
      </w:pBdr>
      <w:spacing w:before="100" w:beforeAutospacing="1" w:after="100" w:afterAutospacing="1"/>
      <w:jc w:val="left"/>
      <w:textAlignment w:val="center"/>
    </w:pPr>
    <w:rPr>
      <w:kern w:val="0"/>
      <w:sz w:val="12"/>
      <w:szCs w:val="12"/>
    </w:rPr>
  </w:style>
  <w:style w:type="paragraph" w:customStyle="1" w:styleId="941">
    <w:name w:val="xl153"/>
    <w:basedOn w:val="1"/>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42">
    <w:name w:val="xl145"/>
    <w:basedOn w:val="1"/>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43">
    <w:name w:val="xl163"/>
    <w:basedOn w:val="1"/>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944">
    <w:name w:val="图号"/>
    <w:basedOn w:val="1"/>
    <w:qFormat/>
    <w:uiPriority w:val="0"/>
    <w:pPr>
      <w:tabs>
        <w:tab w:val="left" w:pos="8160"/>
      </w:tabs>
      <w:adjustRightInd w:val="0"/>
      <w:spacing w:before="120" w:after="120" w:line="320" w:lineRule="exact"/>
      <w:jc w:val="center"/>
      <w:textAlignment w:val="baseline"/>
    </w:pPr>
    <w:rPr>
      <w:rFonts w:ascii="黑体" w:hAnsi="宋体" w:eastAsia="黑体"/>
      <w:spacing w:val="6"/>
      <w:sz w:val="24"/>
    </w:rPr>
  </w:style>
  <w:style w:type="paragraph" w:customStyle="1" w:styleId="945">
    <w:name w:val="样式 标题 2节H2（一）Underrubrik1prop2Heading 2 HiddenHeading 2 C..."/>
    <w:basedOn w:val="6"/>
    <w:qFormat/>
    <w:uiPriority w:val="0"/>
    <w:pPr>
      <w:tabs>
        <w:tab w:val="left" w:pos="840"/>
      </w:tabs>
      <w:spacing w:before="240" w:after="240" w:line="480" w:lineRule="exact"/>
      <w:ind w:left="840"/>
    </w:pPr>
    <w:rPr>
      <w:rFonts w:cs="宋体"/>
      <w:b w:val="0"/>
      <w:kern w:val="0"/>
      <w:szCs w:val="20"/>
    </w:rPr>
  </w:style>
  <w:style w:type="paragraph" w:customStyle="1" w:styleId="946">
    <w:name w:val="unnamed11"/>
    <w:basedOn w:val="1"/>
    <w:qFormat/>
    <w:uiPriority w:val="0"/>
    <w:pPr>
      <w:widowControl/>
      <w:spacing w:before="100" w:beforeAutospacing="1" w:after="100" w:afterAutospacing="1"/>
      <w:jc w:val="left"/>
    </w:pPr>
    <w:rPr>
      <w:rFonts w:ascii="宋体" w:hAnsi="宋体"/>
      <w:kern w:val="0"/>
      <w:sz w:val="24"/>
    </w:rPr>
  </w:style>
  <w:style w:type="paragraph" w:customStyle="1" w:styleId="947">
    <w:name w:val="Char2 Char Char Char Char Char Char Char Char Char"/>
    <w:basedOn w:val="1"/>
    <w:qFormat/>
    <w:uiPriority w:val="0"/>
    <w:rPr>
      <w:sz w:val="24"/>
    </w:rPr>
  </w:style>
  <w:style w:type="paragraph" w:customStyle="1" w:styleId="948">
    <w:name w:val="工业统一题目"/>
    <w:basedOn w:val="1"/>
    <w:qFormat/>
    <w:uiPriority w:val="0"/>
    <w:pPr>
      <w:adjustRightInd w:val="0"/>
      <w:snapToGrid w:val="0"/>
      <w:spacing w:line="360" w:lineRule="auto"/>
      <w:jc w:val="left"/>
    </w:pPr>
    <w:rPr>
      <w:rFonts w:ascii="宋体"/>
      <w:b/>
      <w:sz w:val="28"/>
      <w:szCs w:val="20"/>
    </w:rPr>
  </w:style>
  <w:style w:type="paragraph" w:customStyle="1" w:styleId="949">
    <w:name w:val="Char Char Char Char Char Char Char Char Char Char Char Char Char Char Char Char Char Char Char"/>
    <w:basedOn w:val="1"/>
    <w:qFormat/>
    <w:uiPriority w:val="0"/>
  </w:style>
  <w:style w:type="paragraph" w:customStyle="1" w:styleId="950">
    <w:name w:val="Table Paragraph"/>
    <w:basedOn w:val="1"/>
    <w:unhideWhenUsed/>
    <w:qFormat/>
    <w:uiPriority w:val="1"/>
    <w:pPr>
      <w:widowControl/>
      <w:adjustRightInd w:val="0"/>
      <w:snapToGrid w:val="0"/>
      <w:spacing w:after="200"/>
      <w:jc w:val="left"/>
    </w:pPr>
    <w:rPr>
      <w:rFonts w:ascii="Tahoma" w:hAnsi="Tahoma" w:eastAsia="微软雅黑"/>
      <w:kern w:val="0"/>
      <w:sz w:val="22"/>
      <w:szCs w:val="22"/>
    </w:rPr>
  </w:style>
  <w:style w:type="paragraph" w:customStyle="1" w:styleId="951">
    <w:name w:val="款"/>
    <w:basedOn w:val="1"/>
    <w:qFormat/>
    <w:uiPriority w:val="0"/>
    <w:pPr>
      <w:spacing w:line="360" w:lineRule="auto"/>
    </w:pPr>
    <w:rPr>
      <w:szCs w:val="20"/>
    </w:rPr>
  </w:style>
  <w:style w:type="paragraph" w:customStyle="1" w:styleId="952">
    <w:name w:val="xl19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53">
    <w:name w:val="备注"/>
    <w:basedOn w:val="475"/>
    <w:qFormat/>
    <w:uiPriority w:val="0"/>
    <w:pPr>
      <w:spacing w:line="360" w:lineRule="exact"/>
    </w:pPr>
    <w:rPr>
      <w:sz w:val="21"/>
    </w:rPr>
  </w:style>
  <w:style w:type="paragraph" w:customStyle="1" w:styleId="954">
    <w:name w:val="font0"/>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955">
    <w:name w:val="+正文 Char Char"/>
    <w:basedOn w:val="1"/>
    <w:qFormat/>
    <w:uiPriority w:val="0"/>
    <w:pPr>
      <w:spacing w:line="360" w:lineRule="auto"/>
      <w:ind w:firstLine="200" w:firstLineChars="200"/>
    </w:pPr>
    <w:rPr>
      <w:sz w:val="24"/>
      <w:szCs w:val="28"/>
    </w:rPr>
  </w:style>
  <w:style w:type="paragraph" w:customStyle="1" w:styleId="956">
    <w:name w:val="font13"/>
    <w:basedOn w:val="1"/>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957">
    <w:name w:val="xl190"/>
    <w:basedOn w:val="1"/>
    <w:qFormat/>
    <w:uiPriority w:val="0"/>
    <w:pPr>
      <w:widowControl/>
      <w:pBdr>
        <w:top w:val="single" w:color="auto" w:sz="12" w:space="0"/>
      </w:pBdr>
      <w:spacing w:before="100" w:beforeAutospacing="1" w:after="100" w:afterAutospacing="1"/>
      <w:jc w:val="left"/>
      <w:textAlignment w:val="center"/>
    </w:pPr>
    <w:rPr>
      <w:rFonts w:ascii="Arial Unicode MS" w:hAnsi="Arial Unicode MS"/>
      <w:kern w:val="0"/>
      <w:sz w:val="12"/>
      <w:szCs w:val="12"/>
    </w:rPr>
  </w:style>
  <w:style w:type="paragraph" w:customStyle="1" w:styleId="958">
    <w:name w:val="xl172"/>
    <w:basedOn w:val="1"/>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59">
    <w:name w:val="B1"/>
    <w:basedOn w:val="1"/>
    <w:next w:val="1"/>
    <w:qFormat/>
    <w:uiPriority w:val="0"/>
    <w:pPr>
      <w:keepNext/>
      <w:tabs>
        <w:tab w:val="left" w:pos="624"/>
      </w:tabs>
      <w:adjustRightInd w:val="0"/>
      <w:spacing w:before="240" w:line="360" w:lineRule="auto"/>
      <w:ind w:left="624" w:hanging="624"/>
      <w:textAlignment w:val="baseline"/>
    </w:pPr>
    <w:rPr>
      <w:kern w:val="24"/>
      <w:sz w:val="28"/>
      <w:szCs w:val="20"/>
    </w:rPr>
  </w:style>
  <w:style w:type="paragraph" w:customStyle="1" w:styleId="960">
    <w:name w:val="表格0"/>
    <w:next w:val="1"/>
    <w:qFormat/>
    <w:uiPriority w:val="99"/>
    <w:pPr>
      <w:adjustRightInd w:val="0"/>
      <w:snapToGrid w:val="0"/>
      <w:jc w:val="center"/>
    </w:pPr>
    <w:rPr>
      <w:rFonts w:ascii="Times New Roman" w:hAnsi="Times New Roman" w:eastAsia="宋体" w:cs="Times New Roman"/>
      <w:sz w:val="21"/>
      <w:lang w:val="en-US" w:eastAsia="zh-CN" w:bidi="ar-SA"/>
    </w:rPr>
  </w:style>
  <w:style w:type="paragraph" w:customStyle="1" w:styleId="961">
    <w:name w:val="目录2"/>
    <w:basedOn w:val="71"/>
    <w:next w:val="44"/>
    <w:qFormat/>
    <w:uiPriority w:val="0"/>
    <w:pPr>
      <w:keepNext/>
      <w:widowControl/>
      <w:tabs>
        <w:tab w:val="right" w:leader="dot" w:pos="8160"/>
        <w:tab w:val="right" w:leader="dot" w:pos="8640"/>
        <w:tab w:val="right" w:leader="dot" w:pos="8820"/>
      </w:tabs>
      <w:spacing w:beforeLines="50" w:afterLines="50" w:line="480" w:lineRule="exact"/>
      <w:ind w:left="567"/>
      <w:jc w:val="both"/>
    </w:pPr>
    <w:rPr>
      <w:rFonts w:ascii="Calibri" w:hAnsi="Calibri"/>
      <w:kern w:val="0"/>
      <w:sz w:val="28"/>
      <w:szCs w:val="24"/>
      <w:lang w:bidi="en-US"/>
    </w:rPr>
  </w:style>
  <w:style w:type="paragraph" w:customStyle="1" w:styleId="962">
    <w:name w:val="xl51"/>
    <w:basedOn w:val="1"/>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963">
    <w:name w:val="新正文样式"/>
    <w:basedOn w:val="1"/>
    <w:qFormat/>
    <w:uiPriority w:val="0"/>
    <w:pPr>
      <w:tabs>
        <w:tab w:val="left" w:pos="567"/>
      </w:tabs>
      <w:spacing w:line="360" w:lineRule="auto"/>
      <w:ind w:firstLine="567"/>
    </w:pPr>
    <w:rPr>
      <w:spacing w:val="20"/>
      <w:sz w:val="24"/>
      <w:szCs w:val="20"/>
    </w:rPr>
  </w:style>
  <w:style w:type="paragraph" w:customStyle="1" w:styleId="964">
    <w:name w:val="表格编号"/>
    <w:basedOn w:val="1"/>
    <w:qFormat/>
    <w:uiPriority w:val="0"/>
    <w:pPr>
      <w:snapToGrid w:val="0"/>
      <w:spacing w:before="300" w:after="200" w:line="500" w:lineRule="exact"/>
      <w:jc w:val="left"/>
    </w:pPr>
    <w:rPr>
      <w:sz w:val="24"/>
    </w:rPr>
  </w:style>
  <w:style w:type="paragraph" w:customStyle="1" w:styleId="965">
    <w:name w:val="Char Char Char Char Char Char Char Char Char Char1"/>
    <w:basedOn w:val="1"/>
    <w:qFormat/>
    <w:uiPriority w:val="0"/>
    <w:pPr>
      <w:widowControl/>
      <w:contextualSpacing/>
      <w:jc w:val="left"/>
    </w:pPr>
    <w:rPr>
      <w:rFonts w:cs="宋体"/>
      <w:kern w:val="0"/>
    </w:rPr>
  </w:style>
  <w:style w:type="paragraph" w:customStyle="1" w:styleId="966">
    <w:name w:val="正文001"/>
    <w:basedOn w:val="1"/>
    <w:qFormat/>
    <w:uiPriority w:val="0"/>
    <w:pPr>
      <w:spacing w:before="60" w:line="460" w:lineRule="exact"/>
      <w:ind w:firstLine="200" w:firstLineChars="200"/>
    </w:pPr>
    <w:rPr>
      <w:sz w:val="24"/>
      <w:szCs w:val="20"/>
    </w:rPr>
  </w:style>
  <w:style w:type="paragraph" w:customStyle="1" w:styleId="967">
    <w:name w:val="正文图标题"/>
    <w:next w:val="1"/>
    <w:qFormat/>
    <w:uiPriority w:val="0"/>
    <w:pPr>
      <w:numPr>
        <w:ilvl w:val="0"/>
        <w:numId w:val="10"/>
      </w:numPr>
      <w:tabs>
        <w:tab w:val="left" w:pos="360"/>
      </w:tabs>
      <w:spacing w:beforeLines="50" w:afterLines="50"/>
      <w:jc w:val="center"/>
    </w:pPr>
    <w:rPr>
      <w:rFonts w:ascii="黑体" w:hAnsi="Times New Roman" w:eastAsia="黑体" w:cs="Times New Roman"/>
      <w:sz w:val="21"/>
      <w:lang w:val="en-US" w:eastAsia="zh-CN" w:bidi="ar-SA"/>
    </w:rPr>
  </w:style>
  <w:style w:type="paragraph" w:customStyle="1" w:styleId="968">
    <w:name w:val="Char Char Char Char Char Char Char1"/>
    <w:basedOn w:val="1"/>
    <w:qFormat/>
    <w:uiPriority w:val="0"/>
    <w:pPr>
      <w:widowControl/>
      <w:contextualSpacing/>
      <w:jc w:val="left"/>
    </w:pPr>
    <w:rPr>
      <w:rFonts w:cs="宋体"/>
      <w:kern w:val="0"/>
    </w:rPr>
  </w:style>
  <w:style w:type="paragraph" w:customStyle="1" w:styleId="969">
    <w:name w:val="xl111"/>
    <w:basedOn w:val="1"/>
    <w:qFormat/>
    <w:uiPriority w:val="0"/>
    <w:pPr>
      <w:widowControl/>
      <w:pBdr>
        <w:top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70">
    <w:name w:val="xl35"/>
    <w:basedOn w:val="1"/>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971">
    <w:name w:val="表内4号居中"/>
    <w:qFormat/>
    <w:uiPriority w:val="0"/>
    <w:pPr>
      <w:adjustRightInd w:val="0"/>
      <w:snapToGrid w:val="0"/>
      <w:spacing w:line="360" w:lineRule="auto"/>
      <w:jc w:val="center"/>
    </w:pPr>
    <w:rPr>
      <w:rFonts w:ascii="Arial" w:hAnsi="Arial" w:eastAsia="宋体" w:cs="Times New Roman"/>
      <w:spacing w:val="20"/>
      <w:sz w:val="21"/>
      <w:lang w:val="en-US" w:eastAsia="zh-CN" w:bidi="ar-SA"/>
    </w:rPr>
  </w:style>
  <w:style w:type="paragraph" w:customStyle="1" w:styleId="972">
    <w:name w:val="xl128"/>
    <w:basedOn w:val="1"/>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73">
    <w:name w:val="样式 标题 3 + (西文) Times New Roman (中文) 宋体 小四 加粗"/>
    <w:basedOn w:val="7"/>
    <w:qFormat/>
    <w:uiPriority w:val="0"/>
    <w:pPr>
      <w:tabs>
        <w:tab w:val="left" w:pos="1021"/>
      </w:tabs>
      <w:spacing w:before="156" w:after="0" w:afterLines="50" w:line="360" w:lineRule="auto"/>
      <w:ind w:left="1021" w:hanging="1021"/>
    </w:pPr>
    <w:rPr>
      <w:rFonts w:ascii="宋体" w:hAnsi="宋体"/>
      <w:b w:val="0"/>
      <w:snapToGrid w:val="0"/>
      <w:sz w:val="28"/>
      <w:szCs w:val="28"/>
    </w:rPr>
  </w:style>
  <w:style w:type="paragraph" w:customStyle="1" w:styleId="974">
    <w:name w:val="默认段落字体 Para Char Char Char Char Char Char"/>
    <w:basedOn w:val="1"/>
    <w:qFormat/>
    <w:uiPriority w:val="0"/>
  </w:style>
  <w:style w:type="paragraph" w:customStyle="1" w:styleId="975">
    <w:name w:val="xl158"/>
    <w:basedOn w:val="1"/>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976">
    <w:name w:val="表样式2"/>
    <w:basedOn w:val="1"/>
    <w:qFormat/>
    <w:uiPriority w:val="0"/>
    <w:pPr>
      <w:jc w:val="center"/>
    </w:pPr>
    <w:rPr>
      <w:kern w:val="0"/>
    </w:rPr>
  </w:style>
  <w:style w:type="paragraph" w:customStyle="1" w:styleId="977">
    <w:name w:val="xl95"/>
    <w:basedOn w:val="1"/>
    <w:qFormat/>
    <w:uiPriority w:val="0"/>
    <w:pPr>
      <w:widowControl/>
      <w:spacing w:before="100" w:beforeAutospacing="1" w:after="100" w:afterAutospacing="1"/>
      <w:jc w:val="right"/>
    </w:pPr>
    <w:rPr>
      <w:rFonts w:ascii="Arial Unicode MS" w:hAnsi="Arial Unicode MS"/>
      <w:kern w:val="0"/>
      <w:sz w:val="12"/>
      <w:szCs w:val="12"/>
    </w:rPr>
  </w:style>
  <w:style w:type="paragraph" w:customStyle="1" w:styleId="978">
    <w:name w:val="xl100"/>
    <w:basedOn w:val="1"/>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979">
    <w:name w:val="Char Char Char Char Char Char Char Char Char Char Char Char Char"/>
    <w:basedOn w:val="1"/>
    <w:qFormat/>
    <w:uiPriority w:val="0"/>
    <w:pPr>
      <w:widowControl/>
      <w:spacing w:after="160" w:line="240" w:lineRule="exact"/>
      <w:jc w:val="left"/>
    </w:pPr>
  </w:style>
  <w:style w:type="paragraph" w:customStyle="1" w:styleId="980">
    <w:name w:val="font1"/>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981">
    <w:name w:val="CM88"/>
    <w:basedOn w:val="732"/>
    <w:next w:val="732"/>
    <w:qFormat/>
    <w:uiPriority w:val="0"/>
    <w:pPr>
      <w:spacing w:after="175"/>
    </w:pPr>
    <w:rPr>
      <w:rFonts w:ascii="黑体" w:eastAsia="黑体"/>
      <w:color w:val="auto"/>
    </w:rPr>
  </w:style>
  <w:style w:type="paragraph" w:customStyle="1" w:styleId="982">
    <w:name w:val="font14"/>
    <w:basedOn w:val="1"/>
    <w:qFormat/>
    <w:uiPriority w:val="0"/>
    <w:pPr>
      <w:widowControl/>
      <w:spacing w:before="100" w:beforeAutospacing="1" w:after="100" w:afterAutospacing="1"/>
      <w:jc w:val="left"/>
    </w:pPr>
    <w:rPr>
      <w:rFonts w:ascii="宋体" w:hAnsi="宋体"/>
      <w:b/>
      <w:bCs/>
      <w:i/>
      <w:iCs/>
      <w:kern w:val="0"/>
      <w:sz w:val="22"/>
      <w:szCs w:val="22"/>
    </w:rPr>
  </w:style>
  <w:style w:type="paragraph" w:customStyle="1" w:styleId="983">
    <w:name w:val="xl67"/>
    <w:basedOn w:val="1"/>
    <w:qFormat/>
    <w:uiPriority w:val="0"/>
    <w:pPr>
      <w:widowControl/>
      <w:spacing w:before="100" w:beforeAutospacing="1" w:after="100" w:afterAutospacing="1"/>
      <w:jc w:val="center"/>
    </w:pPr>
    <w:rPr>
      <w:rFonts w:ascii="宋体" w:hAnsi="宋体"/>
      <w:b/>
      <w:bCs/>
      <w:kern w:val="0"/>
      <w:sz w:val="22"/>
      <w:szCs w:val="22"/>
    </w:rPr>
  </w:style>
  <w:style w:type="paragraph" w:customStyle="1" w:styleId="984">
    <w:name w:val="xl89"/>
    <w:basedOn w:val="1"/>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985">
    <w:name w:val="Char Char 字元 字元 字元 Char Char Char Char"/>
    <w:basedOn w:val="1"/>
    <w:qFormat/>
    <w:uiPriority w:val="0"/>
    <w:pPr>
      <w:adjustRightInd w:val="0"/>
      <w:spacing w:line="360" w:lineRule="auto"/>
    </w:pPr>
  </w:style>
  <w:style w:type="paragraph" w:customStyle="1" w:styleId="986">
    <w:name w:val="Char Char8 Char"/>
    <w:basedOn w:val="7"/>
    <w:semiHidden/>
    <w:qFormat/>
    <w:uiPriority w:val="0"/>
    <w:pPr>
      <w:tabs>
        <w:tab w:val="left" w:pos="360"/>
        <w:tab w:val="left" w:pos="900"/>
      </w:tabs>
      <w:spacing w:before="0" w:after="120" w:line="360" w:lineRule="auto"/>
      <w:ind w:left="542" w:leftChars="-12" w:firstLine="200" w:firstLineChars="200"/>
    </w:pPr>
    <w:rPr>
      <w:rFonts w:ascii="宋体" w:hAnsi="宋体" w:cs="宋体"/>
      <w:b w:val="0"/>
      <w:bCs w:val="0"/>
      <w:sz w:val="24"/>
      <w:szCs w:val="24"/>
    </w:rPr>
  </w:style>
  <w:style w:type="paragraph" w:customStyle="1" w:styleId="987">
    <w:name w:val="xl29"/>
    <w:basedOn w:val="1"/>
    <w:qFormat/>
    <w:uiPriority w:val="0"/>
    <w:pPr>
      <w:widowControl/>
      <w:spacing w:before="100" w:beforeAutospacing="1" w:after="100" w:afterAutospacing="1"/>
      <w:jc w:val="left"/>
      <w:textAlignment w:val="bottom"/>
    </w:pPr>
    <w:rPr>
      <w:rFonts w:ascii="Arial" w:hAnsi="Arial" w:cs="Arial"/>
      <w:b/>
      <w:bCs/>
      <w:kern w:val="0"/>
      <w:sz w:val="22"/>
      <w:szCs w:val="22"/>
    </w:rPr>
  </w:style>
  <w:style w:type="paragraph" w:customStyle="1" w:styleId="988">
    <w:name w:val="封面"/>
    <w:basedOn w:val="1"/>
    <w:qFormat/>
    <w:uiPriority w:val="0"/>
    <w:pPr>
      <w:adjustRightInd w:val="0"/>
      <w:spacing w:before="60" w:line="360" w:lineRule="auto"/>
      <w:ind w:firstLine="482"/>
      <w:jc w:val="center"/>
      <w:textAlignment w:val="baseline"/>
    </w:pPr>
    <w:rPr>
      <w:rFonts w:ascii="Arial" w:hAnsi="Arial" w:eastAsia="仿宋_GB2312"/>
      <w:b/>
      <w:kern w:val="0"/>
      <w:sz w:val="30"/>
      <w:szCs w:val="20"/>
    </w:rPr>
  </w:style>
  <w:style w:type="paragraph" w:customStyle="1" w:styleId="989">
    <w:name w:val="Char21"/>
    <w:basedOn w:val="1"/>
    <w:qFormat/>
    <w:uiPriority w:val="0"/>
    <w:pPr>
      <w:spacing w:line="360" w:lineRule="auto"/>
      <w:ind w:firstLine="200" w:firstLineChars="200"/>
    </w:pPr>
    <w:rPr>
      <w:rFonts w:ascii="宋体" w:hAnsi="宋体" w:cs="宋体"/>
      <w:sz w:val="24"/>
    </w:rPr>
  </w:style>
  <w:style w:type="paragraph" w:customStyle="1" w:styleId="990">
    <w:name w:val="简单回函地址"/>
    <w:basedOn w:val="1"/>
    <w:qFormat/>
    <w:uiPriority w:val="0"/>
  </w:style>
  <w:style w:type="paragraph" w:customStyle="1" w:styleId="991">
    <w:name w:val="页眉左"/>
    <w:basedOn w:val="54"/>
    <w:qFormat/>
    <w:uiPriority w:val="0"/>
    <w:pPr>
      <w:pBdr>
        <w:bottom w:val="none" w:color="auto" w:sz="0" w:space="0"/>
      </w:pBdr>
      <w:adjustRightInd w:val="0"/>
      <w:snapToGrid/>
      <w:spacing w:before="60" w:after="60" w:line="240" w:lineRule="atLeast"/>
      <w:jc w:val="left"/>
      <w:textAlignment w:val="baseline"/>
    </w:pPr>
    <w:rPr>
      <w:sz w:val="22"/>
      <w:lang w:val="en-GB"/>
    </w:rPr>
  </w:style>
  <w:style w:type="paragraph" w:customStyle="1" w:styleId="992">
    <w:name w:val="样式 四号"/>
    <w:basedOn w:val="1"/>
    <w:qFormat/>
    <w:uiPriority w:val="0"/>
    <w:pPr>
      <w:spacing w:line="360" w:lineRule="auto"/>
      <w:ind w:firstLine="480" w:firstLineChars="200"/>
    </w:pPr>
    <w:rPr>
      <w:rFonts w:ascii="宋体" w:hAnsi="宋体"/>
      <w:snapToGrid w:val="0"/>
      <w:kern w:val="0"/>
      <w:sz w:val="24"/>
    </w:rPr>
  </w:style>
  <w:style w:type="paragraph" w:customStyle="1" w:styleId="993">
    <w:name w:val="Char12"/>
    <w:basedOn w:val="1"/>
    <w:qFormat/>
    <w:uiPriority w:val="0"/>
  </w:style>
  <w:style w:type="paragraph" w:customStyle="1" w:styleId="994">
    <w:name w:val="样式 标题 3 + 段前: 0.5 行 段后: 0.2 行"/>
    <w:basedOn w:val="7"/>
    <w:qFormat/>
    <w:uiPriority w:val="0"/>
    <w:pPr>
      <w:spacing w:before="0" w:beforeLines="30" w:after="0" w:line="600" w:lineRule="exact"/>
      <w:ind w:firstLine="480" w:firstLineChars="200"/>
    </w:pPr>
    <w:rPr>
      <w:rFonts w:eastAsia="黑体" w:cs="宋体"/>
      <w:b w:val="0"/>
      <w:sz w:val="26"/>
      <w:szCs w:val="20"/>
    </w:rPr>
  </w:style>
  <w:style w:type="paragraph" w:customStyle="1" w:styleId="995">
    <w:name w:val="目录"/>
    <w:basedOn w:val="6"/>
    <w:next w:val="1"/>
    <w:qFormat/>
    <w:uiPriority w:val="0"/>
    <w:pPr>
      <w:keepLines w:val="0"/>
      <w:widowControl/>
      <w:tabs>
        <w:tab w:val="left" w:pos="0"/>
        <w:tab w:val="left" w:pos="8280"/>
      </w:tabs>
      <w:spacing w:before="480" w:after="60" w:line="480" w:lineRule="exact"/>
      <w:ind w:right="50" w:rightChars="50"/>
      <w:jc w:val="left"/>
    </w:pPr>
    <w:rPr>
      <w:b w:val="0"/>
      <w:iCs/>
      <w:kern w:val="44"/>
      <w:szCs w:val="28"/>
      <w:lang w:eastAsia="en-US" w:bidi="en-US"/>
    </w:rPr>
  </w:style>
  <w:style w:type="paragraph" w:customStyle="1" w:styleId="996">
    <w:name w:val="默认段落字体 Para Char Char Char Char Char Char Char"/>
    <w:basedOn w:val="1"/>
    <w:qFormat/>
    <w:uiPriority w:val="0"/>
    <w:pPr>
      <w:adjustRightInd w:val="0"/>
      <w:spacing w:line="360" w:lineRule="auto"/>
      <w:textAlignment w:val="baseline"/>
    </w:pPr>
    <w:rPr>
      <w:kern w:val="0"/>
      <w:sz w:val="24"/>
      <w:szCs w:val="20"/>
    </w:rPr>
  </w:style>
  <w:style w:type="paragraph" w:customStyle="1" w:styleId="997">
    <w:name w:val="封面 宋体"/>
    <w:basedOn w:val="998"/>
    <w:qFormat/>
    <w:uiPriority w:val="0"/>
    <w:rPr>
      <w:rFonts w:ascii="宋体-方正超大字符集" w:hAnsi="宋体-方正超大字符集" w:eastAsia="宋体-方正超大字符集"/>
      <w:b w:val="0"/>
      <w:bCs/>
      <w:sz w:val="32"/>
    </w:rPr>
  </w:style>
  <w:style w:type="paragraph" w:customStyle="1" w:styleId="998">
    <w:name w:val="封面 黑体"/>
    <w:basedOn w:val="1"/>
    <w:qFormat/>
    <w:uiPriority w:val="0"/>
    <w:pPr>
      <w:spacing w:before="240" w:after="240" w:line="480" w:lineRule="exact"/>
      <w:jc w:val="center"/>
    </w:pPr>
    <w:rPr>
      <w:b/>
      <w:sz w:val="30"/>
    </w:rPr>
  </w:style>
  <w:style w:type="paragraph" w:customStyle="1" w:styleId="999">
    <w:name w:val="表格段落1"/>
    <w:basedOn w:val="1"/>
    <w:qFormat/>
    <w:uiPriority w:val="0"/>
    <w:pPr>
      <w:adjustRightInd w:val="0"/>
      <w:snapToGrid w:val="0"/>
      <w:spacing w:line="320" w:lineRule="exact"/>
      <w:jc w:val="center"/>
    </w:pPr>
  </w:style>
  <w:style w:type="paragraph" w:customStyle="1" w:styleId="1000">
    <w:name w:val="小五表文"/>
    <w:qFormat/>
    <w:uiPriority w:val="0"/>
    <w:pPr>
      <w:jc w:val="center"/>
    </w:pPr>
    <w:rPr>
      <w:rFonts w:ascii="Times New Roman" w:hAnsi="Times New Roman" w:eastAsia="仿宋_GB2312" w:cs="Times New Roman"/>
      <w:sz w:val="18"/>
      <w:lang w:val="en-US" w:eastAsia="zh-CN" w:bidi="ar-SA"/>
    </w:rPr>
  </w:style>
  <w:style w:type="paragraph" w:customStyle="1" w:styleId="1001">
    <w:name w:val="xl83"/>
    <w:basedOn w:val="1"/>
    <w:qFormat/>
    <w:uiPriority w:val="0"/>
    <w:pPr>
      <w:widowControl/>
      <w:pBdr>
        <w:top w:val="single" w:color="auto" w:sz="12" w:space="0"/>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02">
    <w:name w:val="style23"/>
    <w:basedOn w:val="1"/>
    <w:qFormat/>
    <w:uiPriority w:val="0"/>
    <w:pPr>
      <w:widowControl/>
      <w:spacing w:before="100" w:beforeAutospacing="1" w:after="100" w:afterAutospacing="1"/>
      <w:jc w:val="left"/>
    </w:pPr>
    <w:rPr>
      <w:rFonts w:ascii="宋体" w:hAnsi="宋体"/>
      <w:b/>
      <w:bCs/>
      <w:color w:val="990000"/>
      <w:kern w:val="0"/>
    </w:rPr>
  </w:style>
  <w:style w:type="paragraph" w:customStyle="1" w:styleId="1003">
    <w:name w:val="说明书"/>
    <w:basedOn w:val="1"/>
    <w:qFormat/>
    <w:uiPriority w:val="0"/>
    <w:pPr>
      <w:widowControl/>
      <w:adjustRightInd w:val="0"/>
      <w:spacing w:line="500" w:lineRule="exact"/>
      <w:ind w:firstLine="624"/>
      <w:contextualSpacing/>
      <w:jc w:val="left"/>
      <w:textAlignment w:val="baseline"/>
    </w:pPr>
    <w:rPr>
      <w:rFonts w:ascii="Arial" w:hAnsi="Arial" w:cs="宋体"/>
      <w:kern w:val="0"/>
      <w:sz w:val="28"/>
      <w:szCs w:val="20"/>
    </w:rPr>
  </w:style>
  <w:style w:type="paragraph" w:customStyle="1" w:styleId="1004">
    <w:name w:val="xl194"/>
    <w:basedOn w:val="1"/>
    <w:qFormat/>
    <w:uiPriority w:val="0"/>
    <w:pPr>
      <w:widowControl/>
      <w:spacing w:before="100" w:beforeAutospacing="1" w:after="100" w:afterAutospacing="1"/>
      <w:jc w:val="center"/>
    </w:pPr>
    <w:rPr>
      <w:kern w:val="0"/>
      <w:sz w:val="16"/>
      <w:szCs w:val="16"/>
    </w:rPr>
  </w:style>
  <w:style w:type="paragraph" w:customStyle="1" w:styleId="1005">
    <w:name w:val="Char Char Char Char Char Char1 Char Char Char Char Char Char Char"/>
    <w:basedOn w:val="1"/>
    <w:qFormat/>
    <w:uiPriority w:val="0"/>
  </w:style>
  <w:style w:type="paragraph" w:customStyle="1" w:styleId="1006">
    <w:name w:val="样式111"/>
    <w:basedOn w:val="691"/>
    <w:qFormat/>
    <w:uiPriority w:val="0"/>
    <w:rPr>
      <w:sz w:val="21"/>
    </w:rPr>
  </w:style>
  <w:style w:type="paragraph" w:customStyle="1" w:styleId="1007">
    <w:name w:val="xl138"/>
    <w:basedOn w:val="1"/>
    <w:qFormat/>
    <w:uiPriority w:val="0"/>
    <w:pPr>
      <w:widowControl/>
      <w:pBdr>
        <w:left w:val="single" w:color="auto" w:sz="4" w:space="0"/>
        <w:bottom w:val="single" w:color="auto" w:sz="8" w:space="0"/>
      </w:pBdr>
      <w:spacing w:before="100" w:beforeAutospacing="1" w:after="100" w:afterAutospacing="1"/>
      <w:jc w:val="center"/>
      <w:textAlignment w:val="center"/>
    </w:pPr>
    <w:rPr>
      <w:kern w:val="0"/>
      <w:sz w:val="12"/>
      <w:szCs w:val="12"/>
    </w:rPr>
  </w:style>
  <w:style w:type="paragraph" w:customStyle="1" w:styleId="1008">
    <w:name w:val="样式11"/>
    <w:basedOn w:val="486"/>
    <w:qFormat/>
    <w:uiPriority w:val="0"/>
    <w:pPr>
      <w:adjustRightInd w:val="0"/>
      <w:spacing w:line="240" w:lineRule="auto"/>
      <w:textAlignment w:val="baseline"/>
    </w:pPr>
    <w:rPr>
      <w:rFonts w:ascii="仿宋_GB2312" w:eastAsia="仿宋_GB2312"/>
      <w:color w:val="000000"/>
      <w:sz w:val="24"/>
      <w:szCs w:val="24"/>
    </w:rPr>
  </w:style>
  <w:style w:type="paragraph" w:customStyle="1" w:styleId="1009">
    <w:name w:val="dash6b63-6587"/>
    <w:basedOn w:val="1"/>
    <w:qFormat/>
    <w:uiPriority w:val="0"/>
    <w:pPr>
      <w:widowControl/>
      <w:spacing w:before="100" w:beforeAutospacing="1" w:after="100" w:afterAutospacing="1"/>
      <w:jc w:val="left"/>
    </w:pPr>
    <w:rPr>
      <w:rFonts w:ascii="宋体" w:hAnsi="宋体" w:cs="宋体"/>
      <w:kern w:val="0"/>
      <w:sz w:val="24"/>
    </w:rPr>
  </w:style>
  <w:style w:type="paragraph" w:customStyle="1" w:styleId="1010">
    <w:name w:val="font9"/>
    <w:basedOn w:val="1"/>
    <w:qFormat/>
    <w:uiPriority w:val="0"/>
    <w:pPr>
      <w:widowControl/>
      <w:spacing w:before="100" w:beforeAutospacing="1" w:after="100" w:afterAutospacing="1"/>
      <w:jc w:val="left"/>
    </w:pPr>
    <w:rPr>
      <w:rFonts w:ascii="Arial" w:hAnsi="Arial" w:cs="Arial"/>
      <w:b/>
      <w:bCs/>
      <w:kern w:val="0"/>
      <w:sz w:val="28"/>
      <w:szCs w:val="28"/>
    </w:rPr>
  </w:style>
  <w:style w:type="paragraph" w:customStyle="1" w:styleId="1011">
    <w:name w:val="Char Char Char Char Char Char Char Char Char Char Char Char Char Char Char Char1"/>
    <w:basedOn w:val="1"/>
    <w:qFormat/>
    <w:uiPriority w:val="0"/>
  </w:style>
  <w:style w:type="paragraph" w:customStyle="1" w:styleId="1012">
    <w:name w:val="xl41"/>
    <w:basedOn w:val="1"/>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13">
    <w:name w:val="xl137"/>
    <w:basedOn w:val="1"/>
    <w:qFormat/>
    <w:uiPriority w:val="0"/>
    <w:pPr>
      <w:widowControl/>
      <w:pBdr>
        <w:bottom w:val="single" w:color="auto" w:sz="8" w:space="0"/>
      </w:pBdr>
      <w:spacing w:before="100" w:beforeAutospacing="1" w:after="100" w:afterAutospacing="1"/>
      <w:jc w:val="left"/>
    </w:pPr>
    <w:rPr>
      <w:rFonts w:ascii="Arial Unicode MS" w:hAnsi="Arial Unicode MS"/>
      <w:kern w:val="0"/>
      <w:sz w:val="12"/>
      <w:szCs w:val="12"/>
    </w:rPr>
  </w:style>
  <w:style w:type="paragraph" w:customStyle="1" w:styleId="1014">
    <w:name w:val="title1"/>
    <w:basedOn w:val="1"/>
    <w:qFormat/>
    <w:uiPriority w:val="0"/>
    <w:pPr>
      <w:widowControl/>
      <w:spacing w:before="100" w:beforeAutospacing="1" w:after="100" w:afterAutospacing="1"/>
      <w:jc w:val="left"/>
    </w:pPr>
    <w:rPr>
      <w:rFonts w:ascii="宋体" w:hAnsi="宋体" w:cs="宋体"/>
      <w:kern w:val="0"/>
      <w:sz w:val="24"/>
    </w:rPr>
  </w:style>
  <w:style w:type="paragraph" w:customStyle="1" w:styleId="1015">
    <w:name w:val="表中居中文字"/>
    <w:basedOn w:val="1"/>
    <w:qFormat/>
    <w:uiPriority w:val="0"/>
    <w:pPr>
      <w:numPr>
        <w:ilvl w:val="3"/>
        <w:numId w:val="11"/>
      </w:numPr>
      <w:tabs>
        <w:tab w:val="clear" w:pos="2249"/>
      </w:tabs>
      <w:ind w:left="0" w:firstLine="0"/>
    </w:pPr>
    <w:rPr>
      <w:rFonts w:ascii="宋体" w:hAnsi="宋体" w:cs="Arial"/>
      <w:bCs/>
      <w:color w:val="FF0000"/>
      <w:sz w:val="24"/>
      <w:szCs w:val="18"/>
    </w:rPr>
  </w:style>
  <w:style w:type="paragraph" w:customStyle="1" w:styleId="1016">
    <w:name w:val="高段文"/>
    <w:basedOn w:val="1"/>
    <w:qFormat/>
    <w:uiPriority w:val="0"/>
    <w:pPr>
      <w:spacing w:line="300" w:lineRule="auto"/>
      <w:ind w:firstLine="200" w:firstLineChars="200"/>
    </w:pPr>
    <w:rPr>
      <w:rFonts w:ascii="Arial" w:hAnsi="Arial" w:eastAsia="楷体_GB2312"/>
      <w:sz w:val="28"/>
      <w:szCs w:val="28"/>
    </w:rPr>
  </w:style>
  <w:style w:type="paragraph" w:customStyle="1" w:styleId="1017">
    <w:name w:val="6"/>
    <w:basedOn w:val="1"/>
    <w:next w:val="73"/>
    <w:qFormat/>
    <w:uiPriority w:val="0"/>
    <w:pPr>
      <w:spacing w:after="120" w:line="480" w:lineRule="auto"/>
    </w:pPr>
  </w:style>
  <w:style w:type="paragraph" w:customStyle="1" w:styleId="1018">
    <w:name w:val="封面 名称"/>
    <w:basedOn w:val="998"/>
    <w:next w:val="998"/>
    <w:qFormat/>
    <w:uiPriority w:val="0"/>
    <w:pPr>
      <w:spacing w:line="640" w:lineRule="exact"/>
    </w:pPr>
    <w:rPr>
      <w:rFonts w:eastAsia="宋体-方正超大字符集"/>
      <w:spacing w:val="40"/>
      <w:sz w:val="44"/>
      <w:szCs w:val="44"/>
    </w:rPr>
  </w:style>
  <w:style w:type="paragraph" w:customStyle="1" w:styleId="1019">
    <w:name w:val="EIA正文"/>
    <w:basedOn w:val="1"/>
    <w:qFormat/>
    <w:uiPriority w:val="0"/>
    <w:pPr>
      <w:ind w:firstLine="200" w:firstLineChars="200"/>
    </w:pPr>
    <w:rPr>
      <w:color w:val="000000"/>
      <w:sz w:val="24"/>
      <w:szCs w:val="20"/>
    </w:rPr>
  </w:style>
  <w:style w:type="paragraph" w:customStyle="1" w:styleId="1020">
    <w:name w:val="MTDisplayEquation"/>
    <w:basedOn w:val="1"/>
    <w:next w:val="1"/>
    <w:qFormat/>
    <w:uiPriority w:val="0"/>
    <w:pPr>
      <w:tabs>
        <w:tab w:val="center" w:pos="4540"/>
        <w:tab w:val="right" w:pos="9080"/>
      </w:tabs>
      <w:snapToGrid w:val="0"/>
      <w:spacing w:line="360" w:lineRule="auto"/>
    </w:pPr>
    <w:rPr>
      <w:i/>
    </w:rPr>
  </w:style>
  <w:style w:type="paragraph" w:customStyle="1" w:styleId="1021">
    <w:name w:val="Plain Text1"/>
    <w:basedOn w:val="1"/>
    <w:qFormat/>
    <w:uiPriority w:val="0"/>
    <w:pPr>
      <w:widowControl/>
      <w:autoSpaceDE w:val="0"/>
      <w:autoSpaceDN w:val="0"/>
      <w:adjustRightInd w:val="0"/>
      <w:contextualSpacing/>
      <w:jc w:val="left"/>
    </w:pPr>
    <w:rPr>
      <w:rFonts w:cs="宋体"/>
      <w:kern w:val="0"/>
      <w:szCs w:val="20"/>
    </w:rPr>
  </w:style>
  <w:style w:type="paragraph" w:customStyle="1" w:styleId="1022">
    <w:name w:val="样式3"/>
    <w:basedOn w:val="1"/>
    <w:qFormat/>
    <w:uiPriority w:val="0"/>
    <w:pPr>
      <w:widowControl/>
      <w:jc w:val="left"/>
    </w:pPr>
    <w:rPr>
      <w:spacing w:val="-4"/>
      <w:sz w:val="24"/>
    </w:rPr>
  </w:style>
  <w:style w:type="paragraph" w:customStyle="1" w:styleId="1023">
    <w:name w:val="xl188"/>
    <w:basedOn w:val="1"/>
    <w:qFormat/>
    <w:uiPriority w:val="0"/>
    <w:pPr>
      <w:widowControl/>
      <w:spacing w:before="100" w:beforeAutospacing="1" w:after="100" w:afterAutospacing="1"/>
      <w:jc w:val="left"/>
      <w:textAlignment w:val="center"/>
    </w:pPr>
    <w:rPr>
      <w:kern w:val="0"/>
      <w:sz w:val="12"/>
      <w:szCs w:val="12"/>
    </w:rPr>
  </w:style>
  <w:style w:type="paragraph" w:customStyle="1" w:styleId="1024">
    <w:name w:val="xl183"/>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25">
    <w:name w:val="xl197"/>
    <w:basedOn w:val="1"/>
    <w:qFormat/>
    <w:uiPriority w:val="0"/>
    <w:pPr>
      <w:widowControl/>
      <w:pBdr>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kern w:val="0"/>
    </w:rPr>
  </w:style>
  <w:style w:type="paragraph" w:customStyle="1" w:styleId="1026">
    <w:name w:val="样式 四号 首行缩进:  2 字符"/>
    <w:basedOn w:val="1"/>
    <w:qFormat/>
    <w:uiPriority w:val="0"/>
    <w:pPr>
      <w:spacing w:line="480" w:lineRule="atLeast"/>
      <w:ind w:firstLine="200" w:firstLineChars="200"/>
    </w:pPr>
    <w:rPr>
      <w:sz w:val="24"/>
    </w:rPr>
  </w:style>
  <w:style w:type="paragraph" w:customStyle="1" w:styleId="1027">
    <w:name w:val="Char3"/>
    <w:basedOn w:val="1"/>
    <w:qFormat/>
    <w:uiPriority w:val="0"/>
    <w:pPr>
      <w:spacing w:before="60" w:line="360" w:lineRule="auto"/>
      <w:ind w:firstLine="200" w:firstLineChars="200"/>
    </w:pPr>
    <w:rPr>
      <w:rFonts w:eastAsia="黑体"/>
      <w:sz w:val="30"/>
    </w:rPr>
  </w:style>
  <w:style w:type="paragraph" w:customStyle="1" w:styleId="1028">
    <w:name w:val="unnamed1"/>
    <w:basedOn w:val="1"/>
    <w:qFormat/>
    <w:uiPriority w:val="0"/>
    <w:pPr>
      <w:widowControl/>
      <w:spacing w:before="100" w:beforeAutospacing="1" w:after="100" w:afterAutospacing="1" w:line="345" w:lineRule="atLeast"/>
      <w:jc w:val="left"/>
    </w:pPr>
    <w:rPr>
      <w:rFonts w:ascii="ˎ̥" w:hAnsi="ˎ̥" w:cs="宋体"/>
      <w:color w:val="000000"/>
      <w:kern w:val="0"/>
      <w:sz w:val="18"/>
      <w:szCs w:val="18"/>
    </w:rPr>
  </w:style>
  <w:style w:type="paragraph" w:customStyle="1" w:styleId="1029">
    <w:name w:val="xl97"/>
    <w:basedOn w:val="1"/>
    <w:qFormat/>
    <w:uiPriority w:val="0"/>
    <w:pPr>
      <w:widowControl/>
      <w:pBdr>
        <w:top w:val="single" w:color="auto" w:sz="12"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30">
    <w:name w:val="00000000000000"/>
    <w:basedOn w:val="1"/>
    <w:qFormat/>
    <w:uiPriority w:val="0"/>
    <w:pPr>
      <w:adjustRightInd w:val="0"/>
      <w:snapToGrid w:val="0"/>
      <w:spacing w:line="360" w:lineRule="auto"/>
      <w:ind w:firstLine="480" w:firstLineChars="200"/>
    </w:pPr>
    <w:rPr>
      <w:rFonts w:ascii="宋体" w:hAnsi="宋体"/>
      <w:bCs/>
      <w:kern w:val="18"/>
      <w:sz w:val="24"/>
    </w:rPr>
  </w:style>
  <w:style w:type="paragraph" w:customStyle="1" w:styleId="1031">
    <w:name w:val="五号 居中"/>
    <w:basedOn w:val="1"/>
    <w:qFormat/>
    <w:uiPriority w:val="0"/>
    <w:pPr>
      <w:snapToGrid w:val="0"/>
      <w:spacing w:line="500" w:lineRule="exact"/>
      <w:jc w:val="center"/>
    </w:pPr>
    <w:rPr>
      <w:rFonts w:cs="宋体"/>
      <w:kern w:val="0"/>
      <w:szCs w:val="20"/>
    </w:rPr>
  </w:style>
  <w:style w:type="paragraph" w:customStyle="1" w:styleId="1032">
    <w:name w:val="xl114"/>
    <w:basedOn w:val="1"/>
    <w:qFormat/>
    <w:uiPriority w:val="0"/>
    <w:pPr>
      <w:widowControl/>
      <w:pBdr>
        <w:lef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33">
    <w:name w:val="xl93"/>
    <w:basedOn w:val="1"/>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34">
    <w:name w:val="样式 标题 21.1标题 21.1标题2标题 2 Char1节_Heading 2标2 + 段前: 0.5 行..."/>
    <w:basedOn w:val="6"/>
    <w:qFormat/>
    <w:uiPriority w:val="0"/>
    <w:pPr>
      <w:keepNext w:val="0"/>
      <w:adjustRightInd w:val="0"/>
      <w:snapToGrid w:val="0"/>
      <w:spacing w:before="120" w:beforeLines="50" w:after="120" w:afterLines="50" w:line="240" w:lineRule="auto"/>
      <w:ind w:left="576" w:hanging="576"/>
      <w:contextualSpacing/>
      <w:jc w:val="left"/>
    </w:pPr>
    <w:rPr>
      <w:rFonts w:ascii="宋体" w:hAnsi="宋体" w:eastAsia="宋体" w:cs="宋体"/>
      <w:bCs w:val="0"/>
      <w:color w:val="000000"/>
      <w:sz w:val="24"/>
      <w:szCs w:val="20"/>
    </w:rPr>
  </w:style>
  <w:style w:type="paragraph" w:customStyle="1" w:styleId="1035">
    <w:name w:val="样式 样式 首行缩进:  2 字符1 + 首行缩进:  2 字符"/>
    <w:basedOn w:val="1"/>
    <w:qFormat/>
    <w:uiPriority w:val="0"/>
    <w:pPr>
      <w:adjustRightInd w:val="0"/>
      <w:spacing w:line="360" w:lineRule="auto"/>
      <w:ind w:firstLine="519" w:firstLineChars="200"/>
    </w:pPr>
    <w:rPr>
      <w:rFonts w:cs="宋体"/>
      <w:snapToGrid w:val="0"/>
      <w:kern w:val="0"/>
      <w:sz w:val="28"/>
      <w:szCs w:val="28"/>
    </w:rPr>
  </w:style>
  <w:style w:type="paragraph" w:customStyle="1" w:styleId="1036">
    <w:name w:val="Char Char1 Char"/>
    <w:basedOn w:val="1"/>
    <w:qFormat/>
    <w:uiPriority w:val="0"/>
    <w:pPr>
      <w:spacing w:line="360" w:lineRule="auto"/>
      <w:ind w:firstLine="200" w:firstLineChars="200"/>
    </w:pPr>
  </w:style>
  <w:style w:type="paragraph" w:customStyle="1" w:styleId="1037">
    <w:name w:val="xl65"/>
    <w:basedOn w:val="1"/>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38">
    <w:name w:val="xl147"/>
    <w:basedOn w:val="1"/>
    <w:qFormat/>
    <w:uiPriority w:val="0"/>
    <w:pPr>
      <w:widowControl/>
      <w:spacing w:before="100" w:beforeAutospacing="1" w:after="100" w:afterAutospacing="1"/>
      <w:jc w:val="center"/>
    </w:pPr>
    <w:rPr>
      <w:rFonts w:ascii="Arial Unicode MS" w:hAnsi="Arial Unicode MS"/>
      <w:kern w:val="0"/>
    </w:rPr>
  </w:style>
  <w:style w:type="paragraph" w:customStyle="1" w:styleId="1039">
    <w:name w:val="图框"/>
    <w:basedOn w:val="1"/>
    <w:qFormat/>
    <w:uiPriority w:val="0"/>
    <w:pPr>
      <w:jc w:val="center"/>
    </w:pPr>
    <w:rPr>
      <w:szCs w:val="15"/>
    </w:rPr>
  </w:style>
  <w:style w:type="paragraph" w:customStyle="1" w:styleId="1040">
    <w:name w:val="xl63"/>
    <w:basedOn w:val="1"/>
    <w:qFormat/>
    <w:uiPriority w:val="0"/>
    <w:pPr>
      <w:widowControl/>
      <w:spacing w:before="100" w:after="100"/>
      <w:jc w:val="center"/>
      <w:textAlignment w:val="center"/>
    </w:pPr>
    <w:rPr>
      <w:rFonts w:hint="eastAsia" w:ascii="黑体" w:hAnsi="宋体" w:eastAsia="黑体"/>
      <w:kern w:val="0"/>
      <w:sz w:val="24"/>
      <w:szCs w:val="20"/>
    </w:rPr>
  </w:style>
  <w:style w:type="paragraph" w:customStyle="1" w:styleId="1041">
    <w:name w:val="样式1"/>
    <w:basedOn w:val="9"/>
    <w:qFormat/>
    <w:uiPriority w:val="0"/>
    <w:pPr>
      <w:keepNext w:val="0"/>
      <w:keepLines w:val="0"/>
      <w:tabs>
        <w:tab w:val="clear" w:pos="1008"/>
      </w:tabs>
      <w:spacing w:before="0" w:after="0" w:line="360" w:lineRule="exact"/>
      <w:ind w:left="0" w:firstLine="0"/>
      <w:jc w:val="center"/>
      <w:outlineLvl w:val="9"/>
    </w:pPr>
    <w:rPr>
      <w:rFonts w:ascii="宋体" w:hAnsi="宋体"/>
      <w:b w:val="0"/>
      <w:sz w:val="18"/>
      <w:szCs w:val="21"/>
    </w:rPr>
  </w:style>
  <w:style w:type="paragraph" w:styleId="1042">
    <w:name w:val="List Paragraph"/>
    <w:basedOn w:val="1"/>
    <w:qFormat/>
    <w:uiPriority w:val="34"/>
    <w:pPr>
      <w:ind w:firstLine="420" w:firstLineChars="200"/>
    </w:pPr>
    <w:rPr>
      <w:szCs w:val="20"/>
    </w:rPr>
  </w:style>
  <w:style w:type="paragraph" w:customStyle="1" w:styleId="1043">
    <w:name w:val="xl101"/>
    <w:basedOn w:val="1"/>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44">
    <w:name w:val="纯文本 + Times New Roman"/>
    <w:basedOn w:val="11"/>
    <w:qFormat/>
    <w:uiPriority w:val="0"/>
    <w:pPr>
      <w:pBdr>
        <w:bottom w:val="single" w:color="auto" w:sz="6" w:space="1"/>
      </w:pBdr>
      <w:jc w:val="center"/>
    </w:pPr>
    <w:rPr>
      <w:rFonts w:ascii="Times New Roman" w:hAnsi="Times New Roman" w:cs="Times New Roman"/>
    </w:rPr>
  </w:style>
  <w:style w:type="paragraph" w:customStyle="1" w:styleId="1045">
    <w:name w:val="font12"/>
    <w:basedOn w:val="1"/>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046">
    <w:name w:val="xl40"/>
    <w:basedOn w:val="1"/>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047">
    <w:name w:val="xl150"/>
    <w:basedOn w:val="1"/>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48">
    <w:name w:val="main"/>
    <w:basedOn w:val="1"/>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1049">
    <w:name w:val="工艺1"/>
    <w:basedOn w:val="1"/>
    <w:qFormat/>
    <w:uiPriority w:val="0"/>
    <w:pPr>
      <w:adjustRightInd w:val="0"/>
      <w:snapToGrid w:val="0"/>
      <w:spacing w:line="360" w:lineRule="auto"/>
    </w:pPr>
    <w:rPr>
      <w:rFonts w:hint="eastAsia" w:ascii="宋体"/>
      <w:b/>
      <w:sz w:val="28"/>
      <w:szCs w:val="20"/>
    </w:rPr>
  </w:style>
  <w:style w:type="paragraph" w:customStyle="1" w:styleId="1050">
    <w:name w:val="默认段落字体 Para Char Char Char Char Char Char Char Char Char Char Char Char Char"/>
    <w:basedOn w:val="1"/>
    <w:qFormat/>
    <w:uiPriority w:val="0"/>
  </w:style>
  <w:style w:type="paragraph" w:customStyle="1" w:styleId="1051">
    <w:name w:val="图注"/>
    <w:basedOn w:val="1"/>
    <w:next w:val="1"/>
    <w:qFormat/>
    <w:uiPriority w:val="0"/>
    <w:pPr>
      <w:spacing w:before="120" w:line="320" w:lineRule="atLeast"/>
      <w:ind w:left="7" w:leftChars="-27" w:hanging="72" w:hangingChars="30"/>
      <w:jc w:val="center"/>
    </w:pPr>
    <w:rPr>
      <w:rFonts w:ascii="宋体" w:hAnsi="宋体"/>
      <w:bCs/>
      <w:color w:val="000000"/>
      <w:kern w:val="0"/>
      <w:sz w:val="24"/>
    </w:rPr>
  </w:style>
  <w:style w:type="paragraph" w:customStyle="1" w:styleId="1052">
    <w:name w:val="表格文字-居中"/>
    <w:basedOn w:val="1"/>
    <w:next w:val="1"/>
    <w:qFormat/>
    <w:uiPriority w:val="0"/>
    <w:pPr>
      <w:jc w:val="center"/>
    </w:pPr>
    <w:rPr>
      <w:rFonts w:ascii="宋体"/>
      <w:sz w:val="24"/>
    </w:rPr>
  </w:style>
  <w:style w:type="paragraph" w:customStyle="1" w:styleId="1053">
    <w:name w:val="报告标题2"/>
    <w:basedOn w:val="6"/>
    <w:qFormat/>
    <w:uiPriority w:val="0"/>
    <w:pPr>
      <w:tabs>
        <w:tab w:val="left" w:pos="840"/>
      </w:tabs>
      <w:spacing w:line="360" w:lineRule="auto"/>
      <w:ind w:left="840"/>
    </w:pPr>
    <w:rPr>
      <w:rFonts w:ascii="Times New Roman" w:hAnsi="Times New Roman" w:eastAsia="宋体"/>
      <w:kern w:val="0"/>
    </w:rPr>
  </w:style>
  <w:style w:type="paragraph" w:customStyle="1" w:styleId="1054">
    <w:name w:val="xl72"/>
    <w:basedOn w:val="1"/>
    <w:qFormat/>
    <w:uiPriority w:val="0"/>
    <w:pPr>
      <w:widowControl/>
      <w:spacing w:before="100" w:beforeAutospacing="1" w:after="100" w:afterAutospacing="1"/>
      <w:jc w:val="left"/>
    </w:pPr>
    <w:rPr>
      <w:rFonts w:ascii="宋体" w:hAnsi="宋体"/>
      <w:b/>
      <w:bCs/>
      <w:kern w:val="0"/>
      <w:sz w:val="24"/>
    </w:rPr>
  </w:style>
  <w:style w:type="paragraph" w:customStyle="1" w:styleId="1055">
    <w:name w:val="表格内容 + 左对齐"/>
    <w:basedOn w:val="324"/>
    <w:qFormat/>
    <w:uiPriority w:val="0"/>
    <w:rPr>
      <w:rFonts w:cs="宋体"/>
      <w:szCs w:val="20"/>
    </w:rPr>
  </w:style>
  <w:style w:type="paragraph" w:customStyle="1" w:styleId="1056">
    <w:name w:val="样式 四号 首行缩进:  2 字符 段前: 5 磅 段后: 5 磅 行距: 单倍行距"/>
    <w:basedOn w:val="1"/>
    <w:qFormat/>
    <w:uiPriority w:val="0"/>
    <w:pPr>
      <w:spacing w:before="100" w:beforeAutospacing="1" w:after="100" w:afterAutospacing="1"/>
      <w:ind w:firstLine="200" w:firstLineChars="200"/>
    </w:pPr>
    <w:rPr>
      <w:rFonts w:cs="宋体"/>
      <w:sz w:val="28"/>
      <w:szCs w:val="20"/>
    </w:rPr>
  </w:style>
  <w:style w:type="paragraph" w:customStyle="1" w:styleId="1057">
    <w:name w:val="xl37"/>
    <w:basedOn w:val="1"/>
    <w:qFormat/>
    <w:uiPriority w:val="0"/>
    <w:pPr>
      <w:widowControl/>
      <w:spacing w:before="100" w:beforeAutospacing="1" w:after="100" w:afterAutospacing="1"/>
      <w:jc w:val="left"/>
    </w:pPr>
    <w:rPr>
      <w:rFonts w:ascii="Arial" w:hAnsi="Arial" w:cs="Arial"/>
      <w:kern w:val="0"/>
      <w:sz w:val="24"/>
    </w:rPr>
  </w:style>
  <w:style w:type="paragraph" w:customStyle="1" w:styleId="1058">
    <w:name w:val="xl70"/>
    <w:basedOn w:val="1"/>
    <w:qFormat/>
    <w:uiPriority w:val="0"/>
    <w:pPr>
      <w:widowControl/>
      <w:spacing w:before="100" w:beforeAutospacing="1" w:after="100" w:afterAutospacing="1"/>
      <w:jc w:val="left"/>
    </w:pPr>
    <w:rPr>
      <w:rFonts w:ascii="宋体" w:hAnsi="宋体"/>
      <w:b/>
      <w:bCs/>
      <w:kern w:val="0"/>
      <w:sz w:val="22"/>
      <w:szCs w:val="22"/>
    </w:rPr>
  </w:style>
  <w:style w:type="paragraph" w:customStyle="1" w:styleId="1059">
    <w:name w:val="样式36"/>
    <w:basedOn w:val="1060"/>
    <w:qFormat/>
    <w:uiPriority w:val="0"/>
    <w:pPr>
      <w:tabs>
        <w:tab w:val="left" w:pos="540"/>
        <w:tab w:val="left" w:pos="5250"/>
      </w:tabs>
      <w:ind w:firstLine="554" w:firstLineChars="198"/>
    </w:pPr>
    <w:rPr>
      <w:bCs w:val="0"/>
      <w:szCs w:val="28"/>
    </w:rPr>
  </w:style>
  <w:style w:type="paragraph" w:customStyle="1" w:styleId="1060">
    <w:name w:val="样式29"/>
    <w:basedOn w:val="1"/>
    <w:qFormat/>
    <w:uiPriority w:val="0"/>
    <w:pPr>
      <w:tabs>
        <w:tab w:val="left" w:pos="540"/>
      </w:tabs>
      <w:ind w:firstLine="560" w:firstLineChars="200"/>
    </w:pPr>
    <w:rPr>
      <w:rFonts w:ascii="宋体" w:hAnsi="宋体"/>
      <w:bCs/>
      <w:color w:val="000000"/>
      <w:sz w:val="28"/>
    </w:rPr>
  </w:style>
  <w:style w:type="paragraph" w:customStyle="1" w:styleId="1061">
    <w:name w:val="宏福4"/>
    <w:basedOn w:val="1"/>
    <w:qFormat/>
    <w:uiPriority w:val="0"/>
    <w:pPr>
      <w:adjustRightInd w:val="0"/>
      <w:spacing w:line="400" w:lineRule="atLeast"/>
      <w:ind w:firstLine="567"/>
      <w:jc w:val="left"/>
      <w:textAlignment w:val="baseline"/>
    </w:pPr>
    <w:rPr>
      <w:sz w:val="28"/>
      <w:szCs w:val="28"/>
    </w:rPr>
  </w:style>
  <w:style w:type="paragraph" w:customStyle="1" w:styleId="1062">
    <w:name w:val="样式 调研标题2 + 非加粗"/>
    <w:basedOn w:val="1"/>
    <w:qFormat/>
    <w:uiPriority w:val="0"/>
    <w:pPr>
      <w:keepNext/>
      <w:keepLines/>
      <w:snapToGrid w:val="0"/>
      <w:spacing w:before="240" w:after="120" w:line="360" w:lineRule="exact"/>
      <w:outlineLvl w:val="1"/>
    </w:pPr>
    <w:rPr>
      <w:rFonts w:ascii="Arial" w:hAnsi="Arial" w:cs="宋体"/>
      <w:b/>
      <w:bCs/>
      <w:color w:val="000000"/>
      <w:sz w:val="28"/>
      <w:szCs w:val="32"/>
    </w:rPr>
  </w:style>
  <w:style w:type="paragraph" w:customStyle="1" w:styleId="1063">
    <w:name w:val="style2"/>
    <w:basedOn w:val="1"/>
    <w:qFormat/>
    <w:uiPriority w:val="0"/>
    <w:pPr>
      <w:widowControl/>
      <w:spacing w:before="100" w:beforeAutospacing="1" w:after="100" w:afterAutospacing="1"/>
      <w:jc w:val="left"/>
    </w:pPr>
    <w:rPr>
      <w:rFonts w:ascii="宋体" w:hAnsi="宋体"/>
      <w:kern w:val="0"/>
      <w:sz w:val="24"/>
    </w:rPr>
  </w:style>
  <w:style w:type="paragraph" w:customStyle="1" w:styleId="1064">
    <w:name w:val="1.1.1.1"/>
    <w:basedOn w:val="1"/>
    <w:qFormat/>
    <w:uiPriority w:val="0"/>
    <w:pPr>
      <w:spacing w:line="600" w:lineRule="exact"/>
      <w:outlineLvl w:val="0"/>
    </w:pPr>
    <w:rPr>
      <w:rFonts w:ascii="黑体" w:eastAsia="黑体"/>
      <w:sz w:val="24"/>
    </w:rPr>
  </w:style>
  <w:style w:type="paragraph" w:customStyle="1" w:styleId="1065">
    <w:name w:val="xl155"/>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066">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1067">
    <w:name w:val="font15"/>
    <w:basedOn w:val="1"/>
    <w:qFormat/>
    <w:uiPriority w:val="0"/>
    <w:pPr>
      <w:widowControl/>
      <w:spacing w:before="100" w:beforeAutospacing="1" w:after="100" w:afterAutospacing="1"/>
      <w:jc w:val="left"/>
    </w:pPr>
    <w:rPr>
      <w:rFonts w:ascii="Tahoma" w:hAnsi="Tahoma" w:cs="Tahoma"/>
      <w:b/>
      <w:bCs/>
      <w:color w:val="000000"/>
      <w:kern w:val="0"/>
      <w:sz w:val="16"/>
      <w:szCs w:val="16"/>
    </w:rPr>
  </w:style>
  <w:style w:type="paragraph" w:customStyle="1" w:styleId="1068">
    <w:name w:val="Char6"/>
    <w:basedOn w:val="1"/>
    <w:qFormat/>
    <w:uiPriority w:val="0"/>
  </w:style>
  <w:style w:type="paragraph" w:customStyle="1" w:styleId="1069">
    <w:name w:val=".66l.66l"/>
    <w:basedOn w:val="1"/>
    <w:semiHidden/>
    <w:qFormat/>
    <w:uiPriority w:val="0"/>
    <w:pPr>
      <w:autoSpaceDE w:val="0"/>
      <w:autoSpaceDN w:val="0"/>
      <w:adjustRightInd w:val="0"/>
      <w:spacing w:line="312" w:lineRule="atLeast"/>
      <w:ind w:firstLine="570"/>
      <w:textAlignment w:val="baseline"/>
    </w:pPr>
    <w:rPr>
      <w:rFonts w:ascii="宋体"/>
      <w:kern w:val="0"/>
      <w:sz w:val="28"/>
      <w:szCs w:val="20"/>
    </w:rPr>
  </w:style>
  <w:style w:type="paragraph" w:customStyle="1" w:styleId="1070">
    <w:name w:val="环表头"/>
    <w:basedOn w:val="1"/>
    <w:qFormat/>
    <w:uiPriority w:val="0"/>
    <w:pPr>
      <w:widowControl/>
      <w:tabs>
        <w:tab w:val="left" w:pos="0"/>
      </w:tabs>
      <w:adjustRightInd w:val="0"/>
      <w:spacing w:beforeLines="50" w:afterLines="50" w:line="400" w:lineRule="exact"/>
      <w:ind w:right="-266"/>
      <w:jc w:val="center"/>
      <w:textAlignment w:val="baseline"/>
    </w:pPr>
    <w:rPr>
      <w:rFonts w:ascii="宋体" w:hAnsi="宋体"/>
      <w:b/>
      <w:kern w:val="0"/>
      <w:sz w:val="24"/>
    </w:rPr>
  </w:style>
  <w:style w:type="paragraph" w:customStyle="1" w:styleId="1071">
    <w:name w:val="Char Char Char Char Char Char Char Char Char Char Char Char Char2"/>
    <w:basedOn w:val="1"/>
    <w:qFormat/>
    <w:uiPriority w:val="0"/>
    <w:pPr>
      <w:spacing w:line="360" w:lineRule="auto"/>
      <w:ind w:firstLine="200" w:firstLineChars="200"/>
    </w:pPr>
    <w:rPr>
      <w:rFonts w:ascii="宋体" w:hAnsi="宋体" w:cs="宋体"/>
      <w:sz w:val="24"/>
    </w:rPr>
  </w:style>
  <w:style w:type="paragraph" w:customStyle="1" w:styleId="1072">
    <w:name w:val="xl84"/>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3">
    <w:name w:val="样式 标题 1 + 首行缩进:  2.5 字符"/>
    <w:basedOn w:val="5"/>
    <w:qFormat/>
    <w:uiPriority w:val="0"/>
    <w:pPr>
      <w:keepNext w:val="0"/>
      <w:tabs>
        <w:tab w:val="left" w:pos="390"/>
      </w:tabs>
      <w:overflowPunct/>
      <w:snapToGrid/>
      <w:spacing w:before="100" w:after="100" w:line="240" w:lineRule="auto"/>
      <w:ind w:left="390" w:hanging="390" w:firstLineChars="200"/>
    </w:pPr>
    <w:rPr>
      <w:rFonts w:ascii="Calibri" w:hAnsi="Calibri" w:eastAsia="楷体_GB2312"/>
      <w:color w:val="auto"/>
      <w:sz w:val="28"/>
      <w:szCs w:val="28"/>
    </w:rPr>
  </w:style>
  <w:style w:type="paragraph" w:customStyle="1" w:styleId="1074">
    <w:name w:val="xl64"/>
    <w:basedOn w:val="1"/>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75">
    <w:name w:val="xl94"/>
    <w:basedOn w:val="1"/>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6">
    <w:name w:val="unnamed2"/>
    <w:basedOn w:val="1"/>
    <w:qFormat/>
    <w:uiPriority w:val="0"/>
    <w:pPr>
      <w:widowControl/>
      <w:spacing w:before="100" w:beforeAutospacing="1" w:after="100" w:afterAutospacing="1"/>
      <w:jc w:val="left"/>
    </w:pPr>
    <w:rPr>
      <w:rFonts w:ascii="宋体" w:hAnsi="宋体"/>
      <w:kern w:val="0"/>
      <w:sz w:val="24"/>
    </w:rPr>
  </w:style>
  <w:style w:type="paragraph" w:customStyle="1" w:styleId="1077">
    <w:name w:val="封面正文"/>
    <w:qFormat/>
    <w:uiPriority w:val="0"/>
    <w:pPr>
      <w:jc w:val="both"/>
    </w:pPr>
    <w:rPr>
      <w:rFonts w:ascii="Times New Roman" w:hAnsi="Times New Roman" w:eastAsia="宋体" w:cs="Times New Roman"/>
      <w:lang w:val="en-US" w:eastAsia="zh-CN" w:bidi="ar-SA"/>
    </w:rPr>
  </w:style>
  <w:style w:type="paragraph" w:customStyle="1" w:styleId="1078">
    <w:name w:val="样式 样式 样式 标题 3东明_小节H3条标题1.1.1二级节名h33rd level3l3CTHeading 3 - ... ..."/>
    <w:basedOn w:val="774"/>
    <w:qFormat/>
    <w:uiPriority w:val="0"/>
    <w:pPr>
      <w:spacing w:after="0"/>
    </w:pPr>
  </w:style>
  <w:style w:type="paragraph" w:customStyle="1" w:styleId="1079">
    <w:name w:val="样式 标题 4 + 黑色 左侧:  -0.01 厘米 首行缩进:  0.01 厘米"/>
    <w:basedOn w:val="8"/>
    <w:qFormat/>
    <w:uiPriority w:val="0"/>
    <w:pPr>
      <w:tabs>
        <w:tab w:val="left" w:pos="1080"/>
        <w:tab w:val="left" w:pos="1680"/>
      </w:tabs>
      <w:spacing w:before="0" w:beforeLines="50" w:after="0" w:line="312" w:lineRule="auto"/>
      <w:ind w:left="864" w:hanging="864" w:firstLineChars="250"/>
      <w:jc w:val="left"/>
    </w:pPr>
    <w:rPr>
      <w:rFonts w:ascii="仿宋_GB2312" w:hAnsi="Arial" w:eastAsia="仿宋_GB2312" w:cs="宋体"/>
      <w:b w:val="0"/>
      <w:bCs w:val="0"/>
      <w:color w:val="000000"/>
      <w:szCs w:val="20"/>
    </w:rPr>
  </w:style>
  <w:style w:type="paragraph" w:customStyle="1" w:styleId="1080">
    <w:name w:val="徐正文"/>
    <w:basedOn w:val="1"/>
    <w:qFormat/>
    <w:uiPriority w:val="0"/>
    <w:pPr>
      <w:adjustRightInd w:val="0"/>
      <w:snapToGrid w:val="0"/>
      <w:spacing w:line="500" w:lineRule="atLeast"/>
      <w:ind w:firstLine="200" w:firstLineChars="200"/>
    </w:pPr>
    <w:rPr>
      <w:rFonts w:ascii="宋体" w:hAnsi="宋体"/>
      <w:bCs/>
      <w:sz w:val="24"/>
    </w:rPr>
  </w:style>
  <w:style w:type="paragraph" w:customStyle="1" w:styleId="1081">
    <w:name w:val="样式110"/>
    <w:basedOn w:val="1082"/>
    <w:qFormat/>
    <w:uiPriority w:val="0"/>
    <w:pPr>
      <w:adjustRightInd w:val="0"/>
    </w:pPr>
  </w:style>
  <w:style w:type="paragraph" w:customStyle="1" w:styleId="1082">
    <w:name w:val="图框文字"/>
    <w:basedOn w:val="1"/>
    <w:qFormat/>
    <w:uiPriority w:val="0"/>
    <w:pPr>
      <w:jc w:val="center"/>
      <w:textAlignment w:val="center"/>
    </w:pPr>
  </w:style>
  <w:style w:type="paragraph" w:customStyle="1" w:styleId="1083">
    <w:name w:val="xl86"/>
    <w:basedOn w:val="1"/>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84">
    <w:name w:val="xl189"/>
    <w:basedOn w:val="1"/>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1085">
    <w:name w:val="xl74"/>
    <w:basedOn w:val="1"/>
    <w:qFormat/>
    <w:uiPriority w:val="0"/>
    <w:pPr>
      <w:widowControl/>
      <w:spacing w:before="100" w:beforeAutospacing="1" w:after="100" w:afterAutospacing="1"/>
      <w:jc w:val="left"/>
    </w:pPr>
    <w:rPr>
      <w:rFonts w:ascii="宋体" w:hAnsi="宋体"/>
      <w:kern w:val="0"/>
      <w:sz w:val="24"/>
    </w:rPr>
  </w:style>
  <w:style w:type="paragraph" w:customStyle="1" w:styleId="1086">
    <w:name w:val="font8"/>
    <w:basedOn w:val="1"/>
    <w:qFormat/>
    <w:uiPriority w:val="0"/>
    <w:pPr>
      <w:widowControl/>
      <w:spacing w:before="100" w:beforeAutospacing="1" w:after="100" w:afterAutospacing="1"/>
      <w:jc w:val="left"/>
    </w:pPr>
    <w:rPr>
      <w:rFonts w:ascii="Arial" w:hAnsi="Arial" w:cs="Arial"/>
      <w:b/>
      <w:bCs/>
      <w:kern w:val="0"/>
      <w:sz w:val="24"/>
    </w:rPr>
  </w:style>
  <w:style w:type="paragraph" w:customStyle="1" w:styleId="1087">
    <w:name w:val="Char1 Char Char Char Char Char Char"/>
    <w:basedOn w:val="1"/>
    <w:qFormat/>
    <w:uiPriority w:val="0"/>
    <w:pPr>
      <w:widowControl/>
      <w:contextualSpacing/>
      <w:jc w:val="left"/>
    </w:pPr>
    <w:rPr>
      <w:rFonts w:cs="宋体"/>
      <w:kern w:val="0"/>
    </w:rPr>
  </w:style>
  <w:style w:type="paragraph" w:customStyle="1" w:styleId="1088">
    <w:name w:val="xl185"/>
    <w:basedOn w:val="1"/>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89">
    <w:name w:val="表格文字-左对齐"/>
    <w:basedOn w:val="1"/>
    <w:next w:val="1"/>
    <w:qFormat/>
    <w:uiPriority w:val="0"/>
    <w:rPr>
      <w:rFonts w:ascii="宋体"/>
      <w:sz w:val="24"/>
    </w:rPr>
  </w:style>
  <w:style w:type="paragraph" w:customStyle="1" w:styleId="1090">
    <w:name w:val="目录1"/>
    <w:basedOn w:val="58"/>
    <w:qFormat/>
    <w:uiPriority w:val="0"/>
    <w:pPr>
      <w:keepNext/>
      <w:widowControl/>
      <w:tabs>
        <w:tab w:val="right" w:leader="dot" w:pos="8160"/>
        <w:tab w:val="right" w:leader="dot" w:pos="8280"/>
        <w:tab w:val="right" w:leader="dot" w:pos="8820"/>
      </w:tabs>
      <w:snapToGrid/>
      <w:spacing w:beforeLines="50" w:afterLines="50" w:line="480" w:lineRule="exact"/>
    </w:pPr>
    <w:rPr>
      <w:rFonts w:ascii="宋体" w:hAnsi="宋体"/>
      <w:b w:val="0"/>
      <w:bCs w:val="0"/>
      <w:kern w:val="0"/>
      <w:sz w:val="30"/>
      <w:szCs w:val="24"/>
      <w:lang w:val="zh-CN" w:bidi="en-US"/>
    </w:rPr>
  </w:style>
  <w:style w:type="paragraph" w:customStyle="1" w:styleId="1091">
    <w:name w:val="默认段落字体 Para Char"/>
    <w:basedOn w:val="1"/>
    <w:next w:val="1"/>
    <w:qFormat/>
    <w:uiPriority w:val="0"/>
    <w:pPr>
      <w:spacing w:line="360" w:lineRule="auto"/>
      <w:ind w:firstLine="200" w:firstLineChars="200"/>
    </w:pPr>
    <w:rPr>
      <w:rFonts w:ascii="宋体" w:hAnsi="宋体" w:cs="宋体"/>
      <w:sz w:val="24"/>
    </w:rPr>
  </w:style>
  <w:style w:type="paragraph" w:customStyle="1" w:styleId="1092">
    <w:name w:val="菏泽-标题 3"/>
    <w:basedOn w:val="1"/>
    <w:next w:val="1"/>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093">
    <w:name w:val="xl171"/>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1094">
    <w:name w:val="heading"/>
    <w:basedOn w:val="1"/>
    <w:next w:val="1"/>
    <w:qFormat/>
    <w:uiPriority w:val="0"/>
    <w:pPr>
      <w:keepNext/>
      <w:keepLines/>
      <w:tabs>
        <w:tab w:val="left" w:pos="576"/>
      </w:tabs>
      <w:spacing w:line="360" w:lineRule="auto"/>
      <w:ind w:left="576"/>
      <w:outlineLvl w:val="1"/>
    </w:pPr>
    <w:rPr>
      <w:rFonts w:ascii="宋体" w:hAnsi="Arial Black" w:cs="宋体"/>
      <w:sz w:val="24"/>
    </w:rPr>
  </w:style>
  <w:style w:type="paragraph" w:customStyle="1" w:styleId="1095">
    <w:name w:val="页脚2"/>
    <w:basedOn w:val="52"/>
    <w:qFormat/>
    <w:uiPriority w:val="0"/>
    <w:pPr>
      <w:pBdr>
        <w:top w:val="single" w:color="auto" w:sz="4" w:space="1"/>
      </w:pBdr>
      <w:wordWrap w:val="0"/>
      <w:snapToGrid/>
      <w:ind w:right="190"/>
      <w:jc w:val="right"/>
    </w:pPr>
    <w:rPr>
      <w:rFonts w:ascii="宋体" w:hAnsi="宋体"/>
      <w:kern w:val="2"/>
      <w:szCs w:val="18"/>
    </w:rPr>
  </w:style>
  <w:style w:type="paragraph" w:customStyle="1" w:styleId="1096">
    <w:name w:val="甲乙酮2"/>
    <w:basedOn w:val="393"/>
    <w:next w:val="1"/>
    <w:qFormat/>
    <w:uiPriority w:val="0"/>
  </w:style>
  <w:style w:type="paragraph" w:customStyle="1" w:styleId="1097">
    <w:name w:val="xl18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098">
    <w:name w:val="表格式"/>
    <w:basedOn w:val="65"/>
    <w:qFormat/>
    <w:uiPriority w:val="0"/>
    <w:pPr>
      <w:snapToGrid/>
      <w:spacing w:line="340" w:lineRule="exact"/>
      <w:jc w:val="center"/>
    </w:pPr>
    <w:rPr>
      <w:rFonts w:ascii="Courier New" w:hAnsi="Courier New"/>
    </w:rPr>
  </w:style>
  <w:style w:type="paragraph" w:customStyle="1" w:styleId="1099">
    <w:name w:val="xl68"/>
    <w:basedOn w:val="1"/>
    <w:qFormat/>
    <w:uiPriority w:val="0"/>
    <w:pPr>
      <w:widowControl/>
      <w:spacing w:before="100" w:beforeAutospacing="1" w:after="100" w:afterAutospacing="1"/>
      <w:jc w:val="left"/>
    </w:pPr>
    <w:rPr>
      <w:rFonts w:ascii="宋体" w:hAnsi="宋体"/>
      <w:b/>
      <w:bCs/>
      <w:kern w:val="0"/>
      <w:sz w:val="22"/>
      <w:szCs w:val="22"/>
    </w:rPr>
  </w:style>
  <w:style w:type="paragraph" w:customStyle="1" w:styleId="1100">
    <w:name w:val="xl119"/>
    <w:basedOn w:val="1"/>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101">
    <w:name w:val="Char1 Char Char Char Char Char Char Char Char Char"/>
    <w:basedOn w:val="1"/>
    <w:qFormat/>
    <w:uiPriority w:val="0"/>
    <w:rPr>
      <w:sz w:val="24"/>
    </w:rPr>
  </w:style>
  <w:style w:type="paragraph" w:customStyle="1" w:styleId="1102">
    <w:name w:val="xl136"/>
    <w:basedOn w:val="1"/>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103">
    <w:name w:val="Char Char Char Char Char Char1 Char Char Char Char"/>
    <w:basedOn w:val="1"/>
    <w:qFormat/>
    <w:uiPriority w:val="0"/>
    <w:rPr>
      <w:sz w:val="24"/>
    </w:rPr>
  </w:style>
  <w:style w:type="paragraph" w:customStyle="1" w:styleId="1104">
    <w:name w:val="xl39"/>
    <w:basedOn w:val="1"/>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05">
    <w:name w:val="节标题"/>
    <w:basedOn w:val="1"/>
    <w:next w:val="1"/>
    <w:qFormat/>
    <w:uiPriority w:val="0"/>
    <w:pPr>
      <w:widowControl/>
      <w:spacing w:line="578" w:lineRule="atLeast"/>
      <w:jc w:val="center"/>
      <w:textAlignment w:val="baseline"/>
    </w:pPr>
    <w:rPr>
      <w:color w:val="000000"/>
      <w:kern w:val="0"/>
      <w:sz w:val="28"/>
      <w:szCs w:val="20"/>
      <w:u w:color="000000"/>
    </w:rPr>
  </w:style>
  <w:style w:type="paragraph" w:customStyle="1" w:styleId="1106">
    <w:name w:val="表格内容2"/>
    <w:basedOn w:val="324"/>
    <w:qFormat/>
    <w:uiPriority w:val="0"/>
    <w:pPr>
      <w:overflowPunct w:val="0"/>
      <w:autoSpaceDE/>
      <w:autoSpaceDN/>
      <w:snapToGrid w:val="0"/>
      <w:textAlignment w:val="baseline"/>
    </w:pPr>
    <w:rPr>
      <w:rFonts w:cs="Arial"/>
      <w:color w:val="000000"/>
      <w:szCs w:val="24"/>
    </w:rPr>
  </w:style>
  <w:style w:type="paragraph" w:customStyle="1" w:styleId="1107">
    <w:name w:val="bh1"/>
    <w:basedOn w:val="1"/>
    <w:qFormat/>
    <w:uiPriority w:val="0"/>
    <w:pPr>
      <w:widowControl/>
      <w:jc w:val="left"/>
    </w:pPr>
    <w:rPr>
      <w:rFonts w:ascii="宋体" w:hAnsi="宋体" w:cs="宋体"/>
      <w:kern w:val="0"/>
      <w:sz w:val="24"/>
    </w:rPr>
  </w:style>
  <w:style w:type="paragraph" w:customStyle="1" w:styleId="1108">
    <w:name w:val="xl127"/>
    <w:basedOn w:val="1"/>
    <w:qFormat/>
    <w:uiPriority w:val="0"/>
    <w:pPr>
      <w:widowControl/>
      <w:pBdr>
        <w:top w:val="single" w:color="auto" w:sz="8"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09">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1110">
    <w:name w:val="xl121"/>
    <w:basedOn w:val="1"/>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1111">
    <w:name w:val="样式 上标"/>
    <w:basedOn w:val="685"/>
    <w:next w:val="685"/>
    <w:qFormat/>
    <w:uiPriority w:val="0"/>
    <w:pPr>
      <w:spacing w:before="0" w:after="0" w:line="320" w:lineRule="exact"/>
      <w:ind w:firstLine="200"/>
    </w:pPr>
    <w:rPr>
      <w:caps/>
      <w:szCs w:val="36"/>
    </w:rPr>
  </w:style>
  <w:style w:type="paragraph" w:customStyle="1" w:styleId="1112">
    <w:name w:val="表内5S"/>
    <w:basedOn w:val="1"/>
    <w:qFormat/>
    <w:uiPriority w:val="0"/>
    <w:pPr>
      <w:spacing w:line="300" w:lineRule="atLeast"/>
      <w:jc w:val="center"/>
    </w:pPr>
    <w:rPr>
      <w:rFonts w:eastAsia="方正宋三简体"/>
      <w:szCs w:val="20"/>
    </w:rPr>
  </w:style>
  <w:style w:type="paragraph" w:customStyle="1" w:styleId="1113">
    <w:name w:val="xl178"/>
    <w:basedOn w:val="1"/>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1114">
    <w:name w:val="表格内容格式"/>
    <w:basedOn w:val="1"/>
    <w:qFormat/>
    <w:uiPriority w:val="0"/>
    <w:pPr>
      <w:adjustRightInd w:val="0"/>
      <w:spacing w:line="240" w:lineRule="atLeast"/>
      <w:jc w:val="center"/>
      <w:textAlignment w:val="baseline"/>
    </w:pPr>
    <w:rPr>
      <w:snapToGrid w:val="0"/>
      <w:color w:val="000000"/>
      <w:kern w:val="0"/>
      <w:szCs w:val="20"/>
    </w:rPr>
  </w:style>
  <w:style w:type="paragraph" w:customStyle="1" w:styleId="1115">
    <w:name w:val="xl18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116">
    <w:name w:val="标题四"/>
    <w:basedOn w:val="7"/>
    <w:qFormat/>
    <w:uiPriority w:val="0"/>
    <w:pPr>
      <w:tabs>
        <w:tab w:val="left" w:pos="0"/>
        <w:tab w:val="left" w:pos="1260"/>
      </w:tabs>
      <w:spacing w:before="0" w:after="0" w:line="240" w:lineRule="auto"/>
      <w:ind w:left="1260" w:hanging="420"/>
      <w:contextualSpacing/>
    </w:pPr>
    <w:rPr>
      <w:rFonts w:ascii="黑体" w:eastAsia="黑体"/>
      <w:sz w:val="28"/>
      <w:szCs w:val="28"/>
    </w:rPr>
  </w:style>
  <w:style w:type="paragraph" w:customStyle="1" w:styleId="1117">
    <w:name w:val="正文居中"/>
    <w:basedOn w:val="58"/>
    <w:qFormat/>
    <w:uiPriority w:val="0"/>
    <w:pPr>
      <w:tabs>
        <w:tab w:val="left" w:pos="244"/>
        <w:tab w:val="left" w:pos="720"/>
      </w:tabs>
      <w:adjustRightInd w:val="0"/>
      <w:snapToGrid/>
      <w:jc w:val="center"/>
    </w:pPr>
    <w:rPr>
      <w:rFonts w:ascii="宋体" w:hAnsi="Arial"/>
      <w:b w:val="0"/>
      <w:bCs w:val="0"/>
      <w:caps w:val="0"/>
      <w:sz w:val="28"/>
      <w:szCs w:val="28"/>
    </w:rPr>
  </w:style>
  <w:style w:type="paragraph" w:customStyle="1" w:styleId="1118">
    <w:name w:val="正文文字"/>
    <w:basedOn w:val="3"/>
    <w:qFormat/>
    <w:uiPriority w:val="0"/>
    <w:pPr>
      <w:widowControl/>
      <w:spacing w:after="0" w:line="360" w:lineRule="auto"/>
      <w:ind w:left="0" w:leftChars="0" w:firstLine="200" w:firstLineChars="200"/>
      <w:jc w:val="left"/>
    </w:pPr>
    <w:rPr>
      <w:rFonts w:ascii="Calibri" w:hAnsi="Calibri" w:eastAsia="仿宋_GB2312"/>
      <w:color w:val="000000"/>
      <w:szCs w:val="24"/>
      <w:lang w:eastAsia="en-US" w:bidi="en-US"/>
    </w:rPr>
  </w:style>
  <w:style w:type="paragraph" w:customStyle="1" w:styleId="1119">
    <w:name w:val="Char1"/>
    <w:basedOn w:val="1"/>
    <w:qFormat/>
    <w:uiPriority w:val="0"/>
    <w:pPr>
      <w:spacing w:line="240" w:lineRule="exact"/>
      <w:ind w:firstLine="200" w:firstLineChars="200"/>
    </w:pPr>
    <w:rPr>
      <w:sz w:val="28"/>
      <w:szCs w:val="28"/>
    </w:rPr>
  </w:style>
  <w:style w:type="paragraph" w:customStyle="1" w:styleId="1120">
    <w:name w:val="正文 首行缩进:  2 字符 Char Char"/>
    <w:basedOn w:val="1"/>
    <w:qFormat/>
    <w:uiPriority w:val="0"/>
    <w:pPr>
      <w:spacing w:before="240" w:after="240" w:line="480" w:lineRule="exact"/>
      <w:ind w:firstLine="560" w:firstLineChars="200"/>
    </w:pPr>
    <w:rPr>
      <w:sz w:val="28"/>
      <w:szCs w:val="20"/>
    </w:rPr>
  </w:style>
  <w:style w:type="paragraph" w:customStyle="1" w:styleId="1121">
    <w:name w:val="Char Char Char Char Char Char Char Char Char Char Char Char Char1"/>
    <w:basedOn w:val="1"/>
    <w:qFormat/>
    <w:uiPriority w:val="0"/>
    <w:pPr>
      <w:jc w:val="center"/>
    </w:pPr>
    <w:rPr>
      <w:rFonts w:ascii="宋体"/>
    </w:rPr>
  </w:style>
  <w:style w:type="paragraph" w:customStyle="1" w:styleId="1122">
    <w:name w:val="样式27"/>
    <w:basedOn w:val="5"/>
    <w:qFormat/>
    <w:uiPriority w:val="0"/>
    <w:pPr>
      <w:keepNext w:val="0"/>
      <w:tabs>
        <w:tab w:val="left" w:pos="390"/>
      </w:tabs>
      <w:overflowPunct/>
      <w:snapToGrid/>
      <w:spacing w:before="340" w:beforeLines="100" w:after="330" w:afterLines="100" w:line="360" w:lineRule="auto"/>
      <w:ind w:left="390" w:firstLine="0"/>
      <w:jc w:val="center"/>
      <w:outlineLvl w:val="9"/>
    </w:pPr>
    <w:rPr>
      <w:rFonts w:ascii="黑体" w:hAnsi="Calibri" w:cs="Arial Unicode MS"/>
      <w:b w:val="0"/>
      <w:bCs w:val="0"/>
      <w:color w:val="auto"/>
      <w:kern w:val="2"/>
      <w:sz w:val="32"/>
      <w:szCs w:val="32"/>
    </w:rPr>
  </w:style>
  <w:style w:type="paragraph" w:customStyle="1" w:styleId="1123">
    <w:name w:val="ST20_32"/>
    <w:basedOn w:val="52"/>
    <w:qFormat/>
    <w:uiPriority w:val="0"/>
    <w:pPr>
      <w:contextualSpacing/>
    </w:pPr>
    <w:rPr>
      <w:kern w:val="2"/>
      <w:sz w:val="21"/>
      <w:szCs w:val="21"/>
    </w:rPr>
  </w:style>
  <w:style w:type="paragraph" w:customStyle="1" w:styleId="1124">
    <w:name w:val="xl34"/>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kern w:val="0"/>
      <w:sz w:val="20"/>
      <w:szCs w:val="20"/>
    </w:rPr>
  </w:style>
  <w:style w:type="paragraph" w:customStyle="1" w:styleId="1125">
    <w:name w:val="Char Char3 Char Char"/>
    <w:basedOn w:val="1"/>
    <w:qFormat/>
    <w:uiPriority w:val="0"/>
    <w:pPr>
      <w:spacing w:line="360" w:lineRule="auto"/>
      <w:ind w:firstLine="200" w:firstLineChars="200"/>
    </w:pPr>
    <w:rPr>
      <w:rFonts w:ascii="宋体" w:hAnsi="宋体" w:cs="宋体"/>
      <w:sz w:val="24"/>
    </w:rPr>
  </w:style>
  <w:style w:type="paragraph" w:customStyle="1" w:styleId="1126">
    <w:name w:val="Char Char Char Char2"/>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127">
    <w:name w:val="列出段落11"/>
    <w:basedOn w:val="1"/>
    <w:qFormat/>
    <w:uiPriority w:val="0"/>
    <w:pPr>
      <w:spacing w:line="360" w:lineRule="auto"/>
      <w:ind w:firstLine="420" w:firstLineChars="200"/>
    </w:pPr>
    <w:rPr>
      <w:sz w:val="24"/>
    </w:rPr>
  </w:style>
  <w:style w:type="paragraph" w:customStyle="1" w:styleId="1128">
    <w:name w:val="样式44"/>
    <w:basedOn w:val="1"/>
    <w:qFormat/>
    <w:uiPriority w:val="0"/>
    <w:pPr>
      <w:spacing w:line="500" w:lineRule="exact"/>
      <w:ind w:firstLine="594" w:firstLineChars="212"/>
    </w:pPr>
    <w:rPr>
      <w:rFonts w:ascii="宋体" w:hAnsi="宋体"/>
      <w:sz w:val="28"/>
      <w:szCs w:val="20"/>
    </w:rPr>
  </w:style>
  <w:style w:type="paragraph" w:customStyle="1" w:styleId="1129">
    <w:name w:val="正文4"/>
    <w:qFormat/>
    <w:uiPriority w:val="0"/>
    <w:pPr>
      <w:jc w:val="both"/>
    </w:pPr>
    <w:rPr>
      <w:rFonts w:ascii="Times New Roman" w:hAnsi="Times New Roman" w:eastAsia="宋体" w:cs="Times New Roman"/>
      <w:kern w:val="2"/>
      <w:sz w:val="21"/>
      <w:szCs w:val="21"/>
      <w:lang w:val="en-US" w:eastAsia="zh-CN" w:bidi="ar-SA"/>
    </w:rPr>
  </w:style>
  <w:style w:type="paragraph" w:customStyle="1" w:styleId="1130">
    <w:name w:val="样式 列表 + 左侧:  0 厘米 悬挂缩进: 2 字符"/>
    <w:basedOn w:val="65"/>
    <w:qFormat/>
    <w:uiPriority w:val="0"/>
    <w:pPr>
      <w:tabs>
        <w:tab w:val="center" w:pos="4153"/>
        <w:tab w:val="right" w:pos="8306"/>
      </w:tabs>
      <w:spacing w:line="240" w:lineRule="auto"/>
      <w:jc w:val="center"/>
    </w:pPr>
    <w:rPr>
      <w:rFonts w:eastAsia="方正仿宋_GBK" w:cs="宋体"/>
      <w:szCs w:val="21"/>
    </w:rPr>
  </w:style>
  <w:style w:type="paragraph" w:customStyle="1" w:styleId="1131">
    <w:name w:val="Char Char Char Char Char Char1 Char Char Char Char Char Char Char1"/>
    <w:basedOn w:val="1"/>
    <w:qFormat/>
    <w:uiPriority w:val="0"/>
  </w:style>
  <w:style w:type="paragraph" w:customStyle="1" w:styleId="1132">
    <w:name w:val="文字"/>
    <w:basedOn w:val="1"/>
    <w:next w:val="1"/>
    <w:qFormat/>
    <w:uiPriority w:val="0"/>
    <w:pPr>
      <w:autoSpaceDE w:val="0"/>
      <w:autoSpaceDN w:val="0"/>
      <w:adjustRightInd w:val="0"/>
      <w:contextualSpacing/>
      <w:jc w:val="left"/>
    </w:pPr>
    <w:rPr>
      <w:rFonts w:ascii="Fang Song" w:eastAsia="Fang Song"/>
      <w:kern w:val="0"/>
    </w:rPr>
  </w:style>
  <w:style w:type="paragraph" w:customStyle="1" w:styleId="1133">
    <w:name w:val="正文无空格"/>
    <w:basedOn w:val="1"/>
    <w:qFormat/>
    <w:uiPriority w:val="0"/>
    <w:pPr>
      <w:spacing w:line="360" w:lineRule="auto"/>
      <w:jc w:val="left"/>
    </w:pPr>
    <w:rPr>
      <w:rFonts w:ascii="宋体" w:hAnsi="宋体"/>
      <w:sz w:val="28"/>
      <w:szCs w:val="28"/>
    </w:rPr>
  </w:style>
  <w:style w:type="paragraph" w:customStyle="1" w:styleId="1134">
    <w:name w:val="框图"/>
    <w:basedOn w:val="1"/>
    <w:qFormat/>
    <w:uiPriority w:val="0"/>
    <w:pPr>
      <w:adjustRightInd w:val="0"/>
      <w:snapToGrid w:val="0"/>
      <w:jc w:val="center"/>
    </w:pPr>
    <w:rPr>
      <w:rFonts w:hAnsi="宋体"/>
      <w:b/>
    </w:rPr>
  </w:style>
  <w:style w:type="paragraph" w:customStyle="1" w:styleId="1135">
    <w:name w:val="表格文字2"/>
    <w:basedOn w:val="1"/>
    <w:semiHidden/>
    <w:qFormat/>
    <w:uiPriority w:val="0"/>
    <w:pPr>
      <w:tabs>
        <w:tab w:val="left" w:pos="277"/>
        <w:tab w:val="left" w:pos="600"/>
        <w:tab w:val="left" w:pos="780"/>
        <w:tab w:val="left" w:pos="2517"/>
      </w:tabs>
      <w:adjustRightInd w:val="0"/>
      <w:spacing w:before="60"/>
      <w:jc w:val="center"/>
      <w:textAlignment w:val="baseline"/>
    </w:pPr>
    <w:rPr>
      <w:rFonts w:eastAsia="楷体_GB2312"/>
      <w:kern w:val="0"/>
      <w:sz w:val="24"/>
      <w:szCs w:val="20"/>
    </w:rPr>
  </w:style>
  <w:style w:type="paragraph" w:customStyle="1" w:styleId="1136">
    <w:name w:val="CM31"/>
    <w:basedOn w:val="1"/>
    <w:next w:val="1"/>
    <w:qFormat/>
    <w:uiPriority w:val="0"/>
    <w:pPr>
      <w:autoSpaceDE w:val="0"/>
      <w:autoSpaceDN w:val="0"/>
      <w:adjustRightInd w:val="0"/>
      <w:spacing w:line="468" w:lineRule="atLeast"/>
      <w:jc w:val="left"/>
    </w:pPr>
    <w:rPr>
      <w:rFonts w:ascii="黑体" w:eastAsia="黑体"/>
      <w:kern w:val="0"/>
      <w:sz w:val="24"/>
    </w:rPr>
  </w:style>
  <w:style w:type="paragraph" w:customStyle="1" w:styleId="1137">
    <w:name w:val="表样式1"/>
    <w:basedOn w:val="1"/>
    <w:qFormat/>
    <w:uiPriority w:val="0"/>
    <w:pPr>
      <w:spacing w:line="320" w:lineRule="exact"/>
      <w:ind w:firstLine="200" w:firstLineChars="200"/>
    </w:pPr>
    <w:rPr>
      <w:rFonts w:ascii="宋体" w:hAnsi="宋体"/>
      <w:color w:val="000000"/>
      <w:sz w:val="24"/>
      <w:szCs w:val="18"/>
    </w:rPr>
  </w:style>
  <w:style w:type="paragraph" w:customStyle="1" w:styleId="1138">
    <w:name w:val="表题"/>
    <w:basedOn w:val="10"/>
    <w:semiHidden/>
    <w:qFormat/>
    <w:uiPriority w:val="0"/>
    <w:pPr>
      <w:spacing w:line="100" w:lineRule="atLeast"/>
      <w:ind w:firstLine="0"/>
      <w:jc w:val="center"/>
    </w:pPr>
    <w:rPr>
      <w:sz w:val="24"/>
    </w:rPr>
  </w:style>
  <w:style w:type="paragraph" w:customStyle="1" w:styleId="1139">
    <w:name w:val="样式23"/>
    <w:basedOn w:val="1"/>
    <w:qFormat/>
    <w:uiPriority w:val="0"/>
    <w:pPr>
      <w:spacing w:beforeLines="50" w:afterLines="100"/>
      <w:ind w:right="141" w:rightChars="67" w:firstLine="480" w:firstLineChars="200"/>
    </w:pPr>
    <w:rPr>
      <w:rFonts w:ascii="黑体" w:eastAsia="黑体"/>
      <w:sz w:val="24"/>
      <w:szCs w:val="20"/>
    </w:rPr>
  </w:style>
  <w:style w:type="paragraph" w:customStyle="1" w:styleId="1140">
    <w:name w:val="title2"/>
    <w:basedOn w:val="1"/>
    <w:qFormat/>
    <w:uiPriority w:val="0"/>
    <w:pPr>
      <w:widowControl/>
      <w:spacing w:before="100" w:beforeAutospacing="1" w:after="100" w:afterAutospacing="1"/>
      <w:jc w:val="left"/>
    </w:pPr>
    <w:rPr>
      <w:rFonts w:ascii="宋体" w:hAnsi="宋体" w:cs="宋体"/>
      <w:kern w:val="0"/>
      <w:sz w:val="24"/>
    </w:rPr>
  </w:style>
  <w:style w:type="paragraph" w:customStyle="1" w:styleId="1141">
    <w:name w:val="xl110"/>
    <w:basedOn w:val="1"/>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rPr>
  </w:style>
  <w:style w:type="paragraph" w:customStyle="1" w:styleId="1142">
    <w:name w:val="xl195"/>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143">
    <w:name w:val="表格文字中对齐"/>
    <w:basedOn w:val="1"/>
    <w:qFormat/>
    <w:uiPriority w:val="0"/>
    <w:pPr>
      <w:spacing w:line="320" w:lineRule="exact"/>
      <w:jc w:val="center"/>
    </w:pPr>
    <w:rPr>
      <w:rFonts w:ascii="宋体" w:hAnsi="宋体"/>
      <w:color w:val="000000"/>
      <w:kern w:val="0"/>
    </w:rPr>
  </w:style>
  <w:style w:type="paragraph" w:customStyle="1" w:styleId="1144">
    <w:name w:val="引用文章"/>
    <w:basedOn w:val="1"/>
    <w:qFormat/>
    <w:uiPriority w:val="0"/>
    <w:pPr>
      <w:spacing w:line="360" w:lineRule="auto"/>
      <w:ind w:firstLine="420" w:firstLineChars="200"/>
    </w:pPr>
    <w:rPr>
      <w:rFonts w:eastAsia="楷体_GB2312" w:cs="宋体"/>
      <w:sz w:val="24"/>
      <w:szCs w:val="20"/>
    </w:rPr>
  </w:style>
  <w:style w:type="paragraph" w:customStyle="1" w:styleId="1145">
    <w:name w:val="p17"/>
    <w:basedOn w:val="1"/>
    <w:qFormat/>
    <w:uiPriority w:val="0"/>
    <w:pPr>
      <w:widowControl/>
      <w:snapToGrid w:val="0"/>
      <w:spacing w:line="480" w:lineRule="atLeast"/>
      <w:ind w:firstLine="482"/>
    </w:pPr>
    <w:rPr>
      <w:kern w:val="0"/>
      <w:sz w:val="24"/>
    </w:rPr>
  </w:style>
  <w:style w:type="paragraph" w:customStyle="1" w:styleId="1146">
    <w:name w:val="Char2 Char Char Char1"/>
    <w:basedOn w:val="1"/>
    <w:qFormat/>
    <w:uiPriority w:val="0"/>
    <w:pPr>
      <w:spacing w:line="360" w:lineRule="auto"/>
      <w:ind w:firstLine="200" w:firstLineChars="200"/>
    </w:pPr>
    <w:rPr>
      <w:rFonts w:ascii="宋体" w:hAnsi="宋体" w:cs="宋体"/>
      <w:sz w:val="24"/>
    </w:rPr>
  </w:style>
  <w:style w:type="paragraph" w:customStyle="1" w:styleId="1147">
    <w:name w:val="报告标题1"/>
    <w:basedOn w:val="5"/>
    <w:qFormat/>
    <w:uiPriority w:val="0"/>
    <w:pPr>
      <w:keepLines/>
      <w:tabs>
        <w:tab w:val="left" w:pos="390"/>
      </w:tabs>
      <w:overflowPunct/>
      <w:snapToGrid/>
      <w:spacing w:before="200" w:after="200" w:line="360" w:lineRule="auto"/>
      <w:ind w:left="390" w:firstLine="0"/>
    </w:pPr>
    <w:rPr>
      <w:rFonts w:ascii="Calibri" w:hAnsi="Calibri" w:eastAsia="宋体"/>
      <w:color w:val="auto"/>
      <w:sz w:val="44"/>
      <w:szCs w:val="44"/>
    </w:rPr>
  </w:style>
  <w:style w:type="paragraph" w:customStyle="1" w:styleId="1148">
    <w:name w:val="表格项目"/>
    <w:basedOn w:val="904"/>
    <w:next w:val="904"/>
    <w:semiHidden/>
    <w:qFormat/>
    <w:uiPriority w:val="0"/>
    <w:pPr>
      <w:spacing w:before="100" w:beforeAutospacing="1" w:after="100" w:afterAutospacing="1" w:line="240" w:lineRule="auto"/>
    </w:pPr>
    <w:rPr>
      <w:b/>
      <w:bCs/>
      <w:caps/>
      <w:szCs w:val="21"/>
    </w:rPr>
  </w:style>
  <w:style w:type="paragraph" w:customStyle="1" w:styleId="1149">
    <w:name w:val="1.1"/>
    <w:basedOn w:val="1"/>
    <w:qFormat/>
    <w:uiPriority w:val="0"/>
    <w:pPr>
      <w:spacing w:line="600" w:lineRule="exact"/>
      <w:outlineLvl w:val="0"/>
    </w:pPr>
    <w:rPr>
      <w:rFonts w:eastAsia="黑体"/>
      <w:sz w:val="32"/>
    </w:rPr>
  </w:style>
  <w:style w:type="paragraph" w:customStyle="1" w:styleId="1150">
    <w:name w:val="表格标题栏文字"/>
    <w:basedOn w:val="1"/>
    <w:next w:val="1"/>
    <w:qFormat/>
    <w:uiPriority w:val="0"/>
    <w:pPr>
      <w:jc w:val="center"/>
    </w:pPr>
    <w:rPr>
      <w:rFonts w:ascii="黑体" w:eastAsia="黑体"/>
      <w:caps/>
      <w:sz w:val="24"/>
    </w:rPr>
  </w:style>
  <w:style w:type="paragraph" w:customStyle="1" w:styleId="1151">
    <w:name w:val="Char1 Char Char Char1"/>
    <w:basedOn w:val="1"/>
    <w:qFormat/>
    <w:uiPriority w:val="0"/>
    <w:pPr>
      <w:spacing w:line="360" w:lineRule="auto"/>
      <w:ind w:firstLine="200" w:firstLineChars="200"/>
    </w:pPr>
    <w:rPr>
      <w:rFonts w:ascii="宋体" w:hAnsi="宋体" w:cs="宋体"/>
      <w:sz w:val="24"/>
    </w:rPr>
  </w:style>
  <w:style w:type="paragraph" w:customStyle="1" w:styleId="1152">
    <w:name w:val="正文-1"/>
    <w:basedOn w:val="1"/>
    <w:qFormat/>
    <w:uiPriority w:val="0"/>
    <w:pPr>
      <w:adjustRightInd w:val="0"/>
      <w:spacing w:line="440" w:lineRule="exact"/>
      <w:ind w:firstLine="200" w:firstLineChars="200"/>
    </w:pPr>
    <w:rPr>
      <w:sz w:val="24"/>
      <w:szCs w:val="20"/>
    </w:rPr>
  </w:style>
  <w:style w:type="paragraph" w:customStyle="1" w:styleId="1153">
    <w:name w:val="Char Char Char Char Char Char Char Char Char Char Char Char Char Char Char Char Char Char Char Char Char Char Char Char"/>
    <w:basedOn w:val="1"/>
    <w:qFormat/>
    <w:uiPriority w:val="0"/>
    <w:pPr>
      <w:widowControl/>
      <w:contextualSpacing/>
      <w:jc w:val="left"/>
    </w:pPr>
    <w:rPr>
      <w:rFonts w:cs="宋体"/>
      <w:kern w:val="0"/>
    </w:rPr>
  </w:style>
  <w:style w:type="paragraph" w:customStyle="1" w:styleId="1154">
    <w:name w:val="xl177"/>
    <w:basedOn w:val="1"/>
    <w:qFormat/>
    <w:uiPriority w:val="0"/>
    <w:pPr>
      <w:widowControl/>
      <w:pBdr>
        <w:lef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155">
    <w:name w:val="k4"/>
    <w:basedOn w:val="34"/>
    <w:qFormat/>
    <w:uiPriority w:val="0"/>
    <w:pPr>
      <w:widowControl w:val="0"/>
      <w:numPr>
        <w:ilvl w:val="0"/>
        <w:numId w:val="12"/>
      </w:numPr>
      <w:tabs>
        <w:tab w:val="left" w:pos="360"/>
        <w:tab w:val="clear" w:pos="504"/>
      </w:tabs>
      <w:snapToGrid/>
      <w:spacing w:before="0" w:after="0" w:line="360" w:lineRule="auto"/>
      <w:ind w:left="0" w:right="0" w:firstLine="480"/>
    </w:pPr>
    <w:rPr>
      <w:rFonts w:ascii="宋体" w:hAnsi="Courier New"/>
      <w:b/>
      <w:kern w:val="2"/>
      <w:sz w:val="28"/>
    </w:rPr>
  </w:style>
  <w:style w:type="paragraph" w:customStyle="1" w:styleId="1156">
    <w:name w:val="cdb"/>
    <w:basedOn w:val="1"/>
    <w:qFormat/>
    <w:uiPriority w:val="0"/>
    <w:pPr>
      <w:spacing w:before="120"/>
      <w:ind w:left="851" w:firstLine="482"/>
    </w:pPr>
    <w:rPr>
      <w:szCs w:val="20"/>
    </w:rPr>
  </w:style>
  <w:style w:type="paragraph" w:customStyle="1" w:styleId="1157">
    <w:name w:val="东明_a"/>
    <w:basedOn w:val="1"/>
    <w:qFormat/>
    <w:uiPriority w:val="0"/>
    <w:pPr>
      <w:spacing w:before="240" w:after="240" w:line="480" w:lineRule="exact"/>
      <w:ind w:left="560"/>
    </w:pPr>
    <w:rPr>
      <w:b/>
      <w:bCs/>
      <w:sz w:val="28"/>
      <w:szCs w:val="20"/>
    </w:rPr>
  </w:style>
  <w:style w:type="paragraph" w:customStyle="1" w:styleId="1158">
    <w:name w:val="样式 标题 1章标题 11标题 1H1一、 + 行距: 1.5 倍行距5"/>
    <w:basedOn w:val="5"/>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159">
    <w:name w:val="图 标题"/>
    <w:basedOn w:val="286"/>
    <w:qFormat/>
    <w:uiPriority w:val="0"/>
    <w:pPr>
      <w:spacing w:line="240" w:lineRule="auto"/>
      <w:ind w:firstLine="0" w:firstLineChars="0"/>
      <w:jc w:val="center"/>
    </w:pPr>
    <w:rPr>
      <w:b/>
      <w:color w:val="FF0000"/>
    </w:rPr>
  </w:style>
  <w:style w:type="paragraph" w:customStyle="1" w:styleId="1160">
    <w:name w:val="表中文字1"/>
    <w:qFormat/>
    <w:uiPriority w:val="0"/>
    <w:pPr>
      <w:widowControl w:val="0"/>
      <w:adjustRightInd w:val="0"/>
      <w:snapToGrid w:val="0"/>
      <w:spacing w:line="280" w:lineRule="exact"/>
      <w:jc w:val="center"/>
    </w:pPr>
    <w:rPr>
      <w:rFonts w:ascii="仿宋_GB2312" w:hAnsi="Times New Roman" w:eastAsia="仿宋_GB2312" w:cs="Times New Roman"/>
      <w:kern w:val="2"/>
      <w:sz w:val="24"/>
      <w:szCs w:val="24"/>
      <w:lang w:val="en-US" w:eastAsia="zh-CN" w:bidi="ar-SA"/>
    </w:rPr>
  </w:style>
  <w:style w:type="paragraph" w:customStyle="1" w:styleId="1161">
    <w:name w:val="流程"/>
    <w:basedOn w:val="1"/>
    <w:qFormat/>
    <w:uiPriority w:val="0"/>
    <w:pPr>
      <w:topLinePunct/>
      <w:adjustRightInd w:val="0"/>
      <w:snapToGrid w:val="0"/>
      <w:jc w:val="center"/>
    </w:pPr>
    <w:rPr>
      <w:rFonts w:cs="宋体"/>
      <w:bCs/>
      <w:color w:val="000000"/>
      <w:szCs w:val="20"/>
    </w:rPr>
  </w:style>
  <w:style w:type="paragraph" w:customStyle="1" w:styleId="1162">
    <w:name w:val="样式12"/>
    <w:basedOn w:val="1082"/>
    <w:qFormat/>
    <w:uiPriority w:val="0"/>
    <w:pPr>
      <w:adjustRightInd w:val="0"/>
    </w:pPr>
    <w:rPr>
      <w:rFonts w:ascii="仿宋_GB2312" w:hAnsi="宋体" w:eastAsia="仿宋_GB2312"/>
      <w:b/>
      <w:color w:val="FF0000"/>
      <w:szCs w:val="30"/>
    </w:rPr>
  </w:style>
  <w:style w:type="paragraph" w:customStyle="1" w:styleId="1163">
    <w:name w:val="样式32"/>
    <w:basedOn w:val="1"/>
    <w:qFormat/>
    <w:uiPriority w:val="0"/>
    <w:pPr>
      <w:spacing w:line="360" w:lineRule="auto"/>
      <w:ind w:firstLine="480" w:firstLineChars="200"/>
    </w:pPr>
    <w:rPr>
      <w:rFonts w:ascii="宋体" w:hAnsi="宋体"/>
      <w:spacing w:val="-20"/>
      <w:sz w:val="28"/>
      <w:szCs w:val="28"/>
    </w:rPr>
  </w:style>
  <w:style w:type="paragraph" w:customStyle="1" w:styleId="1164">
    <w:name w:val="样式 正文（首行缩进两字） + 宋体 小四 加粗 行距: 固定值 24 磅"/>
    <w:basedOn w:val="10"/>
    <w:qFormat/>
    <w:uiPriority w:val="0"/>
    <w:pPr>
      <w:tabs>
        <w:tab w:val="left" w:pos="5940"/>
      </w:tabs>
      <w:adjustRightInd w:val="0"/>
      <w:spacing w:line="480" w:lineRule="exact"/>
      <w:ind w:firstLine="0" w:firstLineChars="0"/>
      <w:jc w:val="center"/>
      <w:textAlignment w:val="baseline"/>
    </w:pPr>
    <w:rPr>
      <w:sz w:val="24"/>
    </w:rPr>
  </w:style>
  <w:style w:type="paragraph" w:customStyle="1" w:styleId="1165">
    <w:name w:val="碳酸钙标题3"/>
    <w:basedOn w:val="7"/>
    <w:qFormat/>
    <w:uiPriority w:val="0"/>
    <w:pPr>
      <w:tabs>
        <w:tab w:val="left" w:pos="1260"/>
        <w:tab w:val="left" w:pos="2126"/>
      </w:tabs>
      <w:spacing w:line="360" w:lineRule="auto"/>
      <w:ind w:left="1701" w:firstLine="435"/>
    </w:pPr>
    <w:rPr>
      <w:color w:val="000000"/>
      <w:kern w:val="0"/>
      <w:sz w:val="24"/>
    </w:rPr>
  </w:style>
  <w:style w:type="paragraph" w:customStyle="1" w:styleId="1166">
    <w:name w:val="样式 标题 2节 + 段前: 1 行 段后: 0.5 行1"/>
    <w:basedOn w:val="1"/>
    <w:qFormat/>
    <w:uiPriority w:val="0"/>
    <w:pPr>
      <w:numPr>
        <w:ilvl w:val="1"/>
        <w:numId w:val="13"/>
      </w:numPr>
    </w:pPr>
  </w:style>
  <w:style w:type="paragraph" w:customStyle="1" w:styleId="1167">
    <w:name w:val="Char Char1 Char Char Char Char Char Char Char Char Char Char Char Char Char Char Char Char Char Char Char Char1 Char1"/>
    <w:basedOn w:val="1"/>
    <w:qFormat/>
    <w:uiPriority w:val="0"/>
    <w:pPr>
      <w:spacing w:line="360" w:lineRule="auto"/>
      <w:ind w:firstLine="200" w:firstLineChars="200"/>
    </w:pPr>
    <w:rPr>
      <w:szCs w:val="20"/>
    </w:rPr>
  </w:style>
  <w:style w:type="paragraph" w:customStyle="1" w:styleId="1168">
    <w:name w:val="xl55"/>
    <w:basedOn w:val="1"/>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169">
    <w:name w:val="一级标题 大王 20100426"/>
    <w:basedOn w:val="1"/>
    <w:qFormat/>
    <w:uiPriority w:val="0"/>
    <w:pPr>
      <w:numPr>
        <w:ilvl w:val="1"/>
        <w:numId w:val="4"/>
      </w:numPr>
      <w:tabs>
        <w:tab w:val="left" w:pos="284"/>
      </w:tabs>
      <w:spacing w:beforeLines="20" w:afterLines="50"/>
      <w:ind w:left="425" w:hanging="425"/>
      <w:outlineLvl w:val="0"/>
    </w:pPr>
    <w:rPr>
      <w:rFonts w:eastAsia="黑体"/>
      <w:b/>
      <w:sz w:val="30"/>
      <w:szCs w:val="30"/>
    </w:rPr>
  </w:style>
  <w:style w:type="paragraph" w:customStyle="1" w:styleId="1170">
    <w:name w:val="xl18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71">
    <w:name w:val="表内正文"/>
    <w:basedOn w:val="1"/>
    <w:qFormat/>
    <w:uiPriority w:val="0"/>
    <w:rPr>
      <w:sz w:val="24"/>
    </w:rPr>
  </w:style>
  <w:style w:type="paragraph" w:customStyle="1" w:styleId="1172">
    <w:name w:val="图名文字"/>
    <w:qFormat/>
    <w:uiPriority w:val="0"/>
    <w:pPr>
      <w:adjustRightInd w:val="0"/>
      <w:spacing w:after="60"/>
      <w:jc w:val="center"/>
    </w:pPr>
    <w:rPr>
      <w:rFonts w:ascii="Times New Roman" w:hAnsi="Times New Roman" w:eastAsia="黑体" w:cs="Times New Roman"/>
      <w:sz w:val="21"/>
      <w:lang w:val="en-US" w:eastAsia="zh-CN" w:bidi="ar-SA"/>
    </w:rPr>
  </w:style>
  <w:style w:type="paragraph" w:customStyle="1" w:styleId="1173">
    <w:name w:val="标准正文"/>
    <w:basedOn w:val="1"/>
    <w:qFormat/>
    <w:uiPriority w:val="0"/>
    <w:pPr>
      <w:spacing w:line="500" w:lineRule="exact"/>
      <w:ind w:firstLine="200" w:firstLineChars="200"/>
      <w:jc w:val="left"/>
    </w:pPr>
    <w:rPr>
      <w:rFonts w:ascii="Calibri" w:hAnsi="Calibri"/>
      <w:kern w:val="0"/>
      <w:sz w:val="24"/>
      <w:szCs w:val="20"/>
    </w:rPr>
  </w:style>
  <w:style w:type="paragraph" w:customStyle="1" w:styleId="1174">
    <w:name w:val="样式 样式 首行缩进:  0.77 厘米 行距: 固定值 20 磅 + 居中 首行缩进:  0 厘米 行距: 单倍行距"/>
    <w:basedOn w:val="1"/>
    <w:qFormat/>
    <w:uiPriority w:val="0"/>
    <w:pPr>
      <w:spacing w:line="240" w:lineRule="atLeast"/>
      <w:jc w:val="center"/>
    </w:pPr>
    <w:rPr>
      <w:color w:val="000000"/>
    </w:rPr>
  </w:style>
  <w:style w:type="paragraph" w:customStyle="1" w:styleId="1175">
    <w:name w:val="font7"/>
    <w:basedOn w:val="1"/>
    <w:qFormat/>
    <w:uiPriority w:val="0"/>
    <w:pPr>
      <w:widowControl/>
      <w:spacing w:before="100" w:beforeAutospacing="1" w:after="100" w:afterAutospacing="1"/>
      <w:jc w:val="left"/>
    </w:pPr>
    <w:rPr>
      <w:rFonts w:ascii="宋体" w:hAnsi="宋体"/>
      <w:b/>
      <w:bCs/>
      <w:kern w:val="0"/>
      <w:sz w:val="22"/>
      <w:szCs w:val="22"/>
    </w:rPr>
  </w:style>
  <w:style w:type="paragraph" w:customStyle="1" w:styleId="1176">
    <w:name w:val="xl61"/>
    <w:basedOn w:val="1"/>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177">
    <w:name w:val="表内5号居中"/>
    <w:qFormat/>
    <w:uiPriority w:val="0"/>
    <w:pPr>
      <w:widowControl w:val="0"/>
      <w:adjustRightInd w:val="0"/>
      <w:snapToGrid w:val="0"/>
      <w:jc w:val="center"/>
      <w:textAlignment w:val="baseline"/>
    </w:pPr>
    <w:rPr>
      <w:rFonts w:ascii="Times New Roman" w:hAnsi="Times New Roman" w:eastAsia="宋体" w:cs="Times New Roman"/>
      <w:b/>
      <w:bCs/>
      <w:sz w:val="24"/>
      <w:lang w:val="en-US" w:eastAsia="zh-CN" w:bidi="ar-SA"/>
    </w:rPr>
  </w:style>
  <w:style w:type="paragraph" w:customStyle="1" w:styleId="1178">
    <w:name w:val="工业统一表格文字"/>
    <w:basedOn w:val="1"/>
    <w:qFormat/>
    <w:uiPriority w:val="0"/>
    <w:pPr>
      <w:adjustRightInd w:val="0"/>
      <w:snapToGrid w:val="0"/>
      <w:spacing w:beforeLines="20" w:afterLines="20"/>
      <w:ind w:left="-20" w:leftChars="-20" w:right="-20" w:rightChars="-20"/>
      <w:jc w:val="center"/>
    </w:pPr>
    <w:rPr>
      <w:rFonts w:ascii="宋体"/>
      <w:szCs w:val="20"/>
    </w:rPr>
  </w:style>
  <w:style w:type="paragraph" w:customStyle="1" w:styleId="1179">
    <w:name w:val="注解"/>
    <w:qFormat/>
    <w:uiPriority w:val="0"/>
    <w:pPr>
      <w:widowControl w:val="0"/>
      <w:jc w:val="center"/>
    </w:pPr>
    <w:rPr>
      <w:rFonts w:ascii="宋体" w:hAnsi="Arial Black" w:eastAsia="宋体" w:cs="Times New Roman"/>
      <w:kern w:val="2"/>
      <w:sz w:val="18"/>
      <w:lang w:val="en-US" w:eastAsia="zh-CN" w:bidi="ar-SA"/>
    </w:rPr>
  </w:style>
  <w:style w:type="paragraph" w:customStyle="1" w:styleId="1180">
    <w:name w:val="表格内容1"/>
    <w:basedOn w:val="324"/>
    <w:qFormat/>
    <w:uiPriority w:val="0"/>
    <w:pPr>
      <w:autoSpaceDE/>
      <w:autoSpaceDN/>
      <w:adjustRightInd/>
    </w:pPr>
    <w:rPr>
      <w:rFonts w:cs="宋体"/>
      <w:kern w:val="2"/>
      <w:szCs w:val="20"/>
    </w:rPr>
  </w:style>
  <w:style w:type="paragraph" w:customStyle="1" w:styleId="1181">
    <w:name w:val="表1"/>
    <w:basedOn w:val="1"/>
    <w:qFormat/>
    <w:uiPriority w:val="0"/>
    <w:pPr>
      <w:jc w:val="center"/>
    </w:pPr>
    <w:rPr>
      <w:rFonts w:ascii="宋体" w:hAnsi="宋体"/>
      <w:color w:val="000000"/>
    </w:rPr>
  </w:style>
  <w:style w:type="paragraph" w:customStyle="1" w:styleId="1182">
    <w:name w:val="Char Char1 Char Char Char Char Char Char Char Char Char Char Char Char Char Char Char Char Char Char Char Char1 Char"/>
    <w:basedOn w:val="1"/>
    <w:qFormat/>
    <w:uiPriority w:val="0"/>
    <w:pPr>
      <w:adjustRightInd w:val="0"/>
      <w:snapToGrid w:val="0"/>
      <w:spacing w:line="360" w:lineRule="auto"/>
      <w:ind w:firstLine="200" w:firstLineChars="200"/>
    </w:pPr>
    <w:rPr>
      <w:rFonts w:ascii="仿宋_GB2312" w:eastAsia="仿宋_GB2312"/>
      <w:sz w:val="28"/>
    </w:rPr>
  </w:style>
  <w:style w:type="paragraph" w:customStyle="1" w:styleId="1183">
    <w:name w:val="默认段落字体 Para Char Char Char Char Char Char Char Char Char1 Char Char Char Char Char Char Char Char Char Char"/>
    <w:basedOn w:val="1"/>
    <w:qFormat/>
    <w:uiPriority w:val="0"/>
    <w:pPr>
      <w:shd w:val="clear" w:color="auto" w:fill="000080"/>
    </w:pPr>
    <w:rPr>
      <w:rFonts w:ascii="Tahoma" w:hAnsi="Tahoma"/>
      <w:kern w:val="0"/>
      <w:sz w:val="20"/>
    </w:rPr>
  </w:style>
  <w:style w:type="paragraph" w:customStyle="1" w:styleId="1184">
    <w:name w:val="样式 行距: 1.5 倍行距 首行缩进:  2.25 字符"/>
    <w:basedOn w:val="1"/>
    <w:qFormat/>
    <w:uiPriority w:val="0"/>
    <w:pPr>
      <w:spacing w:afterLines="100" w:line="360" w:lineRule="auto"/>
    </w:pPr>
    <w:rPr>
      <w:rFonts w:ascii="宋体" w:hAnsi="宋体" w:cs="宋体"/>
      <w:sz w:val="24"/>
      <w:szCs w:val="20"/>
    </w:rPr>
  </w:style>
  <w:style w:type="paragraph" w:customStyle="1" w:styleId="1185">
    <w:name w:val="Char Char Char Char Char Char Char Char Char1"/>
    <w:basedOn w:val="1"/>
    <w:qFormat/>
    <w:uiPriority w:val="0"/>
    <w:pPr>
      <w:widowControl/>
      <w:spacing w:after="160" w:line="240" w:lineRule="exact"/>
      <w:jc w:val="left"/>
    </w:pPr>
    <w:rPr>
      <w:rFonts w:ascii="Calibri" w:hAnsi="Calibri"/>
      <w:szCs w:val="22"/>
    </w:rPr>
  </w:style>
  <w:style w:type="paragraph" w:customStyle="1" w:styleId="1186">
    <w:name w:val="xl125"/>
    <w:basedOn w:val="1"/>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187">
    <w:name w:val="正文表格5号"/>
    <w:basedOn w:val="1"/>
    <w:qFormat/>
    <w:uiPriority w:val="0"/>
    <w:pPr>
      <w:adjustRightInd w:val="0"/>
      <w:spacing w:line="460" w:lineRule="exact"/>
      <w:textAlignment w:val="baseline"/>
    </w:pPr>
    <w:rPr>
      <w:rFonts w:ascii="宋体"/>
      <w:kern w:val="0"/>
      <w:szCs w:val="20"/>
    </w:rPr>
  </w:style>
  <w:style w:type="paragraph" w:customStyle="1" w:styleId="1188">
    <w:name w:val="Char Char Char Char Char Char Char Char Char Char3"/>
    <w:basedOn w:val="1"/>
    <w:qFormat/>
    <w:uiPriority w:val="0"/>
  </w:style>
  <w:style w:type="paragraph" w:customStyle="1" w:styleId="1189">
    <w:name w:val="Char2 Char Char Char"/>
    <w:basedOn w:val="1"/>
    <w:semiHidden/>
    <w:qFormat/>
    <w:uiPriority w:val="0"/>
    <w:pPr>
      <w:spacing w:line="360" w:lineRule="auto"/>
      <w:ind w:firstLine="200" w:firstLineChars="200"/>
    </w:pPr>
    <w:rPr>
      <w:rFonts w:ascii="宋体" w:hAnsi="宋体" w:cs="宋体"/>
      <w:sz w:val="24"/>
    </w:rPr>
  </w:style>
  <w:style w:type="paragraph" w:customStyle="1" w:styleId="1190">
    <w:name w:val="字元"/>
    <w:basedOn w:val="1"/>
    <w:qFormat/>
    <w:uiPriority w:val="0"/>
    <w:pPr>
      <w:widowControl/>
      <w:jc w:val="left"/>
    </w:pPr>
    <w:rPr>
      <w:rFonts w:eastAsia="仿宋_GB2312"/>
      <w:kern w:val="0"/>
      <w:sz w:val="24"/>
      <w:szCs w:val="20"/>
    </w:rPr>
  </w:style>
  <w:style w:type="paragraph" w:customStyle="1" w:styleId="1191">
    <w:name w:val="默认段落字体 Para Char Char Char1 Char Char Char Char Char Char Char Char Char Char"/>
    <w:basedOn w:val="1"/>
    <w:qFormat/>
    <w:uiPriority w:val="0"/>
    <w:rPr>
      <w:sz w:val="24"/>
    </w:rPr>
  </w:style>
  <w:style w:type="paragraph" w:customStyle="1" w:styleId="1192">
    <w:name w:val="样式 样式 题注 + (西文) 宋体 + 段后: 1 行"/>
    <w:basedOn w:val="1"/>
    <w:qFormat/>
    <w:uiPriority w:val="0"/>
    <w:pPr>
      <w:keepNext/>
      <w:spacing w:line="360" w:lineRule="auto"/>
      <w:ind w:firstLine="200" w:firstLineChars="200"/>
      <w:jc w:val="left"/>
    </w:pPr>
    <w:rPr>
      <w:rFonts w:ascii="宋体" w:hAnsi="宋体" w:cs="宋体"/>
      <w:color w:val="000000"/>
      <w:sz w:val="28"/>
      <w:szCs w:val="20"/>
    </w:rPr>
  </w:style>
  <w:style w:type="paragraph" w:customStyle="1" w:styleId="1193">
    <w:name w:val="表头0"/>
    <w:qFormat/>
    <w:uiPriority w:val="0"/>
    <w:pPr>
      <w:adjustRightInd w:val="0"/>
      <w:snapToGrid w:val="0"/>
      <w:spacing w:beforeLines="10" w:line="360" w:lineRule="auto"/>
      <w:jc w:val="center"/>
    </w:pPr>
    <w:rPr>
      <w:rFonts w:ascii="Times New Roman" w:hAnsi="Times New Roman" w:eastAsia="宋体" w:cs="Times New Roman"/>
      <w:b/>
      <w:sz w:val="21"/>
      <w:lang w:val="en-US" w:eastAsia="zh-CN" w:bidi="ar-SA"/>
    </w:rPr>
  </w:style>
  <w:style w:type="paragraph" w:customStyle="1" w:styleId="1194">
    <w:name w:val="表字"/>
    <w:basedOn w:val="1"/>
    <w:qFormat/>
    <w:uiPriority w:val="0"/>
    <w:pPr>
      <w:jc w:val="center"/>
    </w:pPr>
    <w:rPr>
      <w:rFonts w:ascii="宋体"/>
      <w:szCs w:val="20"/>
    </w:rPr>
  </w:style>
  <w:style w:type="paragraph" w:customStyle="1" w:styleId="1195">
    <w:name w:val="xl135"/>
    <w:basedOn w:val="1"/>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196">
    <w:name w:val="xl60"/>
    <w:basedOn w:val="1"/>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97">
    <w:name w:val="样式 样式 样式 默认段落字体 Para Char Char Char Char + 字距调整二号 + +"/>
    <w:basedOn w:val="1"/>
    <w:qFormat/>
    <w:uiPriority w:val="0"/>
    <w:pPr>
      <w:spacing w:beforeLines="50" w:afterLines="50" w:line="360" w:lineRule="auto"/>
      <w:jc w:val="center"/>
    </w:pPr>
    <w:rPr>
      <w:rFonts w:eastAsia="黑体"/>
      <w:kern w:val="44"/>
      <w:sz w:val="32"/>
    </w:rPr>
  </w:style>
  <w:style w:type="paragraph" w:customStyle="1" w:styleId="1198">
    <w:name w:val="Char Char Char2 Char"/>
    <w:basedOn w:val="1"/>
    <w:qFormat/>
    <w:uiPriority w:val="0"/>
    <w:pPr>
      <w:spacing w:line="360" w:lineRule="auto"/>
      <w:ind w:firstLine="200" w:firstLineChars="200"/>
    </w:pPr>
    <w:rPr>
      <w:rFonts w:ascii="宋体" w:hAnsi="宋体" w:cs="宋体"/>
      <w:sz w:val="24"/>
    </w:rPr>
  </w:style>
  <w:style w:type="paragraph" w:customStyle="1" w:styleId="1199">
    <w:name w:val="Char Char2 Char Char"/>
    <w:basedOn w:val="1"/>
    <w:qFormat/>
    <w:uiPriority w:val="0"/>
  </w:style>
  <w:style w:type="paragraph" w:customStyle="1" w:styleId="1200">
    <w:name w:val="默认段落字体 Para Char Char Char1 Char Char Char Char"/>
    <w:basedOn w:val="1"/>
    <w:qFormat/>
    <w:uiPriority w:val="0"/>
    <w:pPr>
      <w:tabs>
        <w:tab w:val="left" w:pos="360"/>
      </w:tabs>
    </w:pPr>
    <w:rPr>
      <w:szCs w:val="20"/>
    </w:rPr>
  </w:style>
  <w:style w:type="paragraph" w:customStyle="1" w:styleId="1201">
    <w:name w:val="Char Char3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1202">
    <w:name w:val="- 页码 -"/>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1203">
    <w:name w:val="xl87"/>
    <w:basedOn w:val="1"/>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204">
    <w:name w:val="样式 标题 2 + 行距: 1.5 倍行距2"/>
    <w:basedOn w:val="6"/>
    <w:semiHidden/>
    <w:qFormat/>
    <w:uiPriority w:val="0"/>
    <w:pPr>
      <w:snapToGrid w:val="0"/>
      <w:spacing w:before="120" w:beforeLines="100" w:after="120" w:afterLines="100" w:line="240" w:lineRule="auto"/>
      <w:ind w:left="1134" w:hanging="992"/>
      <w:jc w:val="left"/>
    </w:pPr>
    <w:rPr>
      <w:rFonts w:ascii="Times New Roman" w:hAnsi="Times New Roman" w:cs="宋体"/>
      <w:sz w:val="28"/>
      <w:szCs w:val="28"/>
    </w:rPr>
  </w:style>
  <w:style w:type="paragraph" w:customStyle="1" w:styleId="1205">
    <w:name w:val="xl19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06">
    <w:name w:val="东明_正文 Char"/>
    <w:basedOn w:val="1"/>
    <w:qFormat/>
    <w:uiPriority w:val="0"/>
    <w:pPr>
      <w:spacing w:before="240" w:after="240" w:line="480" w:lineRule="exact"/>
      <w:ind w:firstLine="560" w:firstLineChars="200"/>
    </w:pPr>
    <w:rPr>
      <w:sz w:val="28"/>
      <w:szCs w:val="20"/>
    </w:rPr>
  </w:style>
  <w:style w:type="paragraph" w:customStyle="1" w:styleId="1207">
    <w:name w:val="样式15"/>
    <w:basedOn w:val="1"/>
    <w:qFormat/>
    <w:uiPriority w:val="0"/>
    <w:pPr>
      <w:numPr>
        <w:ilvl w:val="0"/>
        <w:numId w:val="14"/>
      </w:numPr>
      <w:tabs>
        <w:tab w:val="left" w:pos="432"/>
      </w:tabs>
    </w:pPr>
    <w:rPr>
      <w:sz w:val="24"/>
    </w:rPr>
  </w:style>
  <w:style w:type="paragraph" w:customStyle="1" w:styleId="1208">
    <w:name w:val="样式 标题 1章标题 11标题 1H1一、 + 行距: 单倍行距"/>
    <w:basedOn w:val="5"/>
    <w:semiHidden/>
    <w:qFormat/>
    <w:uiPriority w:val="0"/>
    <w:pPr>
      <w:keepLines/>
      <w:overflowPunct/>
      <w:spacing w:before="340" w:after="330" w:line="240" w:lineRule="auto"/>
      <w:ind w:left="3845" w:hanging="3845"/>
      <w:jc w:val="center"/>
    </w:pPr>
    <w:rPr>
      <w:rFonts w:cs="宋体"/>
      <w:color w:val="auto"/>
      <w:sz w:val="44"/>
      <w:szCs w:val="20"/>
    </w:rPr>
  </w:style>
  <w:style w:type="paragraph" w:customStyle="1" w:styleId="1209">
    <w:name w:val="xl113"/>
    <w:basedOn w:val="1"/>
    <w:qFormat/>
    <w:uiPriority w:val="0"/>
    <w:pPr>
      <w:widowControl/>
      <w:pBdr>
        <w:top w:val="single" w:color="auto" w:sz="8" w:space="0"/>
        <w:bottom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210">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211">
    <w:name w:val="xl152"/>
    <w:basedOn w:val="1"/>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212">
    <w:name w:val="Char Char Char Char Char Char Char Char Char Char1 Char Char Char"/>
    <w:basedOn w:val="1"/>
    <w:qFormat/>
    <w:uiPriority w:val="0"/>
    <w:pPr>
      <w:widowControl/>
      <w:contextualSpacing/>
      <w:jc w:val="left"/>
    </w:pPr>
    <w:rPr>
      <w:rFonts w:cs="宋体"/>
      <w:kern w:val="0"/>
    </w:rPr>
  </w:style>
  <w:style w:type="paragraph" w:customStyle="1" w:styleId="1213">
    <w:name w:val="表头样式1"/>
    <w:basedOn w:val="1"/>
    <w:qFormat/>
    <w:uiPriority w:val="0"/>
    <w:pPr>
      <w:widowControl/>
      <w:tabs>
        <w:tab w:val="left" w:pos="2310"/>
      </w:tabs>
      <w:autoSpaceDE w:val="0"/>
      <w:autoSpaceDN w:val="0"/>
      <w:adjustRightInd w:val="0"/>
      <w:spacing w:line="480" w:lineRule="exact"/>
      <w:contextualSpacing/>
      <w:jc w:val="center"/>
    </w:pPr>
    <w:rPr>
      <w:rFonts w:cs="宋体"/>
      <w:b/>
      <w:bCs/>
      <w:kern w:val="0"/>
    </w:rPr>
  </w:style>
  <w:style w:type="paragraph" w:customStyle="1" w:styleId="1214">
    <w:name w:val="xl75"/>
    <w:basedOn w:val="1"/>
    <w:qFormat/>
    <w:uiPriority w:val="0"/>
    <w:pPr>
      <w:widowControl/>
      <w:spacing w:before="100" w:beforeAutospacing="1" w:after="100" w:afterAutospacing="1"/>
      <w:jc w:val="left"/>
    </w:pPr>
    <w:rPr>
      <w:kern w:val="0"/>
      <w:sz w:val="12"/>
      <w:szCs w:val="12"/>
    </w:rPr>
  </w:style>
  <w:style w:type="paragraph" w:customStyle="1" w:styleId="1215">
    <w:name w:val="CM18"/>
    <w:basedOn w:val="1"/>
    <w:next w:val="1"/>
    <w:qFormat/>
    <w:uiPriority w:val="0"/>
    <w:pPr>
      <w:autoSpaceDE w:val="0"/>
      <w:autoSpaceDN w:val="0"/>
      <w:adjustRightInd w:val="0"/>
      <w:spacing w:line="468" w:lineRule="atLeast"/>
      <w:contextualSpacing/>
      <w:jc w:val="left"/>
    </w:pPr>
    <w:rPr>
      <w:rFonts w:ascii="黑体" w:eastAsia="黑体"/>
      <w:kern w:val="0"/>
    </w:rPr>
  </w:style>
  <w:style w:type="paragraph" w:customStyle="1" w:styleId="1216">
    <w:name w:val="xl109"/>
    <w:basedOn w:val="1"/>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17">
    <w:name w:val="菏泽-标题4"/>
    <w:basedOn w:val="1"/>
    <w:qFormat/>
    <w:uiPriority w:val="0"/>
    <w:pPr>
      <w:spacing w:line="440" w:lineRule="exact"/>
      <w:ind w:firstLine="420" w:firstLineChars="200"/>
    </w:pPr>
    <w:rPr>
      <w:rFonts w:ascii="华文细黑" w:hAnsi="华文细黑" w:eastAsia="华文细黑"/>
      <w:b/>
      <w:szCs w:val="20"/>
    </w:rPr>
  </w:style>
  <w:style w:type="paragraph" w:customStyle="1" w:styleId="1218">
    <w:name w:val="xl99"/>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19">
    <w:name w:val="IDC A-Head (2nd Line)"/>
    <w:basedOn w:val="1"/>
    <w:next w:val="1"/>
    <w:qFormat/>
    <w:uiPriority w:val="0"/>
    <w:pPr>
      <w:widowControl/>
      <w:jc w:val="center"/>
    </w:pPr>
    <w:rPr>
      <w:caps/>
      <w:kern w:val="0"/>
      <w:sz w:val="24"/>
      <w:szCs w:val="20"/>
    </w:rPr>
  </w:style>
  <w:style w:type="paragraph" w:customStyle="1" w:styleId="1220">
    <w:name w:val="样式 正文文本 + 首行缩进:  2 字符 段前: 0.5 行"/>
    <w:basedOn w:val="1"/>
    <w:qFormat/>
    <w:uiPriority w:val="0"/>
    <w:pPr>
      <w:widowControl/>
      <w:spacing w:line="360" w:lineRule="auto"/>
      <w:ind w:firstLine="480" w:firstLineChars="200"/>
    </w:pPr>
    <w:rPr>
      <w:rFonts w:ascii="宋体" w:hAnsi="宋体" w:cs="宋体"/>
      <w:color w:val="000000"/>
      <w:sz w:val="24"/>
    </w:rPr>
  </w:style>
  <w:style w:type="paragraph" w:customStyle="1" w:styleId="1221">
    <w:name w:val="CM22"/>
    <w:basedOn w:val="732"/>
    <w:next w:val="732"/>
    <w:qFormat/>
    <w:uiPriority w:val="0"/>
    <w:pPr>
      <w:spacing w:after="145"/>
    </w:pPr>
    <w:rPr>
      <w:color w:val="auto"/>
    </w:rPr>
  </w:style>
  <w:style w:type="paragraph" w:customStyle="1" w:styleId="1222">
    <w:name w:val="xl148"/>
    <w:basedOn w:val="1"/>
    <w:qFormat/>
    <w:uiPriority w:val="0"/>
    <w:pPr>
      <w:widowControl/>
      <w:pBdr>
        <w:bottom w:val="single" w:color="auto" w:sz="8" w:space="0"/>
      </w:pBdr>
      <w:spacing w:before="100" w:beforeAutospacing="1" w:after="100" w:afterAutospacing="1"/>
      <w:jc w:val="left"/>
    </w:pPr>
    <w:rPr>
      <w:rFonts w:ascii="Arial Unicode MS" w:hAnsi="Arial Unicode MS"/>
      <w:kern w:val="0"/>
    </w:rPr>
  </w:style>
  <w:style w:type="paragraph" w:customStyle="1" w:styleId="1223">
    <w:name w:val="正文表"/>
    <w:basedOn w:val="1"/>
    <w:qFormat/>
    <w:uiPriority w:val="0"/>
    <w:pPr>
      <w:tabs>
        <w:tab w:val="left" w:pos="2451"/>
        <w:tab w:val="left" w:pos="4614"/>
        <w:tab w:val="left" w:pos="6777"/>
        <w:tab w:val="left" w:pos="8940"/>
      </w:tabs>
      <w:autoSpaceDE w:val="0"/>
      <w:autoSpaceDN w:val="0"/>
      <w:adjustRightInd w:val="0"/>
      <w:contextualSpacing/>
      <w:jc w:val="center"/>
      <w:textAlignment w:val="bottom"/>
    </w:pPr>
    <w:rPr>
      <w:color w:val="000000"/>
      <w:kern w:val="0"/>
      <w:sz w:val="28"/>
      <w:szCs w:val="20"/>
    </w:rPr>
  </w:style>
  <w:style w:type="paragraph" w:customStyle="1" w:styleId="1224">
    <w:name w:val="p15"/>
    <w:basedOn w:val="1"/>
    <w:qFormat/>
    <w:uiPriority w:val="0"/>
    <w:pPr>
      <w:widowControl/>
      <w:jc w:val="left"/>
    </w:pPr>
    <w:rPr>
      <w:rFonts w:ascii="宋体" w:hAnsi="宋体" w:cs="宋体"/>
      <w:kern w:val="0"/>
      <w:sz w:val="24"/>
    </w:rPr>
  </w:style>
  <w:style w:type="paragraph" w:customStyle="1" w:styleId="1225">
    <w:name w:val="样式9"/>
    <w:basedOn w:val="5"/>
    <w:qFormat/>
    <w:uiPriority w:val="0"/>
    <w:pPr>
      <w:keepLines/>
      <w:tabs>
        <w:tab w:val="left" w:pos="390"/>
      </w:tabs>
      <w:overflowPunct/>
      <w:snapToGrid/>
      <w:spacing w:before="340" w:beforeLines="200" w:after="330" w:afterLines="200" w:line="520" w:lineRule="exact"/>
      <w:ind w:left="390" w:firstLine="0"/>
    </w:pPr>
    <w:rPr>
      <w:rFonts w:ascii="Calibri" w:hAnsi="Calibri" w:eastAsia="宋体"/>
      <w:color w:val="auto"/>
      <w:sz w:val="44"/>
      <w:szCs w:val="44"/>
    </w:rPr>
  </w:style>
  <w:style w:type="paragraph" w:customStyle="1" w:styleId="1226">
    <w:name w:val="环评正文"/>
    <w:basedOn w:val="5"/>
    <w:qFormat/>
    <w:uiPriority w:val="0"/>
    <w:pPr>
      <w:keepNext w:val="0"/>
      <w:overflowPunct/>
      <w:snapToGrid/>
      <w:spacing w:before="60" w:after="60" w:line="400" w:lineRule="exact"/>
      <w:ind w:left="0" w:firstLine="480" w:firstLineChars="200"/>
      <w:outlineLvl w:val="9"/>
    </w:pPr>
    <w:rPr>
      <w:rFonts w:eastAsia="仿宋_GB2312"/>
      <w:b w:val="0"/>
      <w:color w:val="auto"/>
      <w:sz w:val="24"/>
      <w:szCs w:val="28"/>
    </w:rPr>
  </w:style>
  <w:style w:type="paragraph" w:customStyle="1" w:styleId="1227">
    <w:name w:val="xl129"/>
    <w:basedOn w:val="1"/>
    <w:qFormat/>
    <w:uiPriority w:val="0"/>
    <w:pPr>
      <w:widowControl/>
      <w:pBdr>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28">
    <w:name w:val="text4"/>
    <w:basedOn w:val="1"/>
    <w:qFormat/>
    <w:uiPriority w:val="0"/>
    <w:pPr>
      <w:widowControl/>
      <w:spacing w:after="150" w:line="336" w:lineRule="auto"/>
      <w:ind w:firstLine="400"/>
      <w:jc w:val="left"/>
    </w:pPr>
    <w:rPr>
      <w:rFonts w:ascii="Arial Unicode MS" w:hAnsi="Arial Unicode MS"/>
      <w:color w:val="333300"/>
      <w:kern w:val="0"/>
      <w:sz w:val="20"/>
      <w:szCs w:val="20"/>
    </w:rPr>
  </w:style>
  <w:style w:type="paragraph" w:customStyle="1" w:styleId="1229">
    <w:name w:val="xl164"/>
    <w:basedOn w:val="1"/>
    <w:qFormat/>
    <w:uiPriority w:val="0"/>
    <w:pPr>
      <w:widowControl/>
      <w:pBdr>
        <w:left w:val="single" w:color="auto" w:sz="12" w:space="0"/>
        <w:bottom w:val="single" w:color="auto" w:sz="12" w:space="0"/>
      </w:pBdr>
      <w:spacing w:before="100" w:beforeAutospacing="1" w:after="100" w:afterAutospacing="1"/>
      <w:jc w:val="center"/>
    </w:pPr>
    <w:rPr>
      <w:rFonts w:ascii="Arial Unicode MS" w:hAnsi="Arial Unicode MS"/>
      <w:kern w:val="0"/>
    </w:rPr>
  </w:style>
  <w:style w:type="paragraph" w:customStyle="1" w:styleId="1230">
    <w:name w:val="Char Char Char Char Char Char Char Char Char Char2"/>
    <w:basedOn w:val="1"/>
    <w:qFormat/>
    <w:uiPriority w:val="0"/>
    <w:pPr>
      <w:widowControl/>
      <w:contextualSpacing/>
      <w:jc w:val="left"/>
    </w:pPr>
    <w:rPr>
      <w:rFonts w:cs="宋体"/>
      <w:kern w:val="0"/>
    </w:rPr>
  </w:style>
  <w:style w:type="paragraph" w:customStyle="1" w:styleId="1231">
    <w:name w:val="样式 标题 4东明_小节2Char Char Char Char Char Char Char Char Char Char..."/>
    <w:basedOn w:val="8"/>
    <w:semiHidden/>
    <w:qFormat/>
    <w:uiPriority w:val="0"/>
    <w:pPr>
      <w:snapToGrid w:val="0"/>
      <w:spacing w:before="0" w:after="0" w:line="600" w:lineRule="exact"/>
      <w:ind w:left="2884" w:hanging="1984"/>
    </w:pPr>
    <w:rPr>
      <w:rFonts w:ascii="Times New Roman" w:hAnsi="Times New Roman" w:eastAsia="黑体" w:cs="宋体"/>
      <w:b w:val="0"/>
      <w:sz w:val="24"/>
      <w:szCs w:val="20"/>
    </w:rPr>
  </w:style>
  <w:style w:type="paragraph" w:customStyle="1" w:styleId="1232">
    <w:name w:val="表标题7.2"/>
    <w:basedOn w:val="1"/>
    <w:qFormat/>
    <w:uiPriority w:val="0"/>
    <w:pPr>
      <w:numPr>
        <w:ilvl w:val="0"/>
        <w:numId w:val="15"/>
      </w:numPr>
      <w:tabs>
        <w:tab w:val="left" w:pos="3765"/>
        <w:tab w:val="center" w:pos="4060"/>
        <w:tab w:val="right" w:pos="8261"/>
        <w:tab w:val="clear" w:pos="726"/>
      </w:tabs>
      <w:suppressAutoHyphens/>
      <w:adjustRightInd w:val="0"/>
      <w:spacing w:beforeLines="100" w:line="0" w:lineRule="atLeast"/>
      <w:ind w:left="3041"/>
      <w:jc w:val="center"/>
    </w:pPr>
    <w:rPr>
      <w:rFonts w:ascii="黑体" w:eastAsia="黑体" w:cs="宋体"/>
      <w:b/>
      <w:bCs/>
      <w:spacing w:val="6"/>
      <w:kern w:val="0"/>
      <w:sz w:val="24"/>
    </w:rPr>
  </w:style>
  <w:style w:type="paragraph" w:customStyle="1" w:styleId="1233">
    <w:name w:val="xl107"/>
    <w:basedOn w:val="1"/>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34">
    <w:name w:val="样式 标题 4 + (符号) 宋体 段前: 6 磅"/>
    <w:basedOn w:val="8"/>
    <w:qFormat/>
    <w:uiPriority w:val="0"/>
    <w:pPr>
      <w:snapToGrid w:val="0"/>
      <w:spacing w:before="0" w:after="0" w:line="540" w:lineRule="exact"/>
      <w:ind w:left="2884" w:hanging="1984"/>
      <w:jc w:val="left"/>
    </w:pPr>
    <w:rPr>
      <w:rFonts w:ascii="Times New Roman" w:hAnsi="宋体" w:cs="宋体"/>
      <w:sz w:val="24"/>
      <w:szCs w:val="20"/>
    </w:rPr>
  </w:style>
  <w:style w:type="paragraph" w:customStyle="1" w:styleId="1235">
    <w:name w:val="Char11"/>
    <w:basedOn w:val="1"/>
    <w:qFormat/>
    <w:uiPriority w:val="0"/>
    <w:pPr>
      <w:snapToGrid w:val="0"/>
      <w:spacing w:line="500" w:lineRule="exact"/>
      <w:contextualSpacing/>
    </w:pPr>
    <w:rPr>
      <w:rFonts w:eastAsia="仿宋_GB2312"/>
    </w:rPr>
  </w:style>
  <w:style w:type="paragraph" w:customStyle="1" w:styleId="1236">
    <w:name w:val="表体"/>
    <w:basedOn w:val="160"/>
    <w:semiHidden/>
    <w:qFormat/>
    <w:uiPriority w:val="0"/>
    <w:pPr>
      <w:overflowPunct w:val="0"/>
      <w:autoSpaceDE w:val="0"/>
      <w:autoSpaceDN w:val="0"/>
      <w:snapToGrid/>
      <w:spacing w:line="300" w:lineRule="atLeast"/>
      <w:jc w:val="left"/>
    </w:pPr>
    <w:rPr>
      <w:rFonts w:eastAsia="宋体"/>
      <w:color w:val="000000"/>
      <w:spacing w:val="0"/>
      <w:kern w:val="24"/>
      <w:sz w:val="18"/>
    </w:rPr>
  </w:style>
  <w:style w:type="paragraph" w:customStyle="1" w:styleId="1237">
    <w:name w:val="wj12"/>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238">
    <w:name w:val="xl156"/>
    <w:basedOn w:val="1"/>
    <w:qFormat/>
    <w:uiPriority w:val="0"/>
    <w:pPr>
      <w:widowControl/>
      <w:pBdr>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239">
    <w:name w:val="样式 标题 51)项标5 +"/>
    <w:basedOn w:val="9"/>
    <w:qFormat/>
    <w:uiPriority w:val="0"/>
    <w:pPr>
      <w:keepNext w:val="0"/>
      <w:keepLines w:val="0"/>
      <w:tabs>
        <w:tab w:val="left" w:pos="987"/>
        <w:tab w:val="clear" w:pos="1008"/>
      </w:tabs>
      <w:spacing w:before="0" w:after="0" w:line="360" w:lineRule="auto"/>
      <w:ind w:left="987" w:hanging="420"/>
      <w:contextualSpacing/>
    </w:pPr>
    <w:rPr>
      <w:rFonts w:hAnsi="Arial"/>
      <w:b w:val="0"/>
      <w:bCs/>
      <w:color w:val="000000"/>
      <w:spacing w:val="3"/>
      <w:szCs w:val="28"/>
    </w:rPr>
  </w:style>
  <w:style w:type="paragraph" w:customStyle="1" w:styleId="1240">
    <w:name w:val="xl81"/>
    <w:basedOn w:val="1"/>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241">
    <w:name w:val="菏泽-正文 Char"/>
    <w:basedOn w:val="1"/>
    <w:qFormat/>
    <w:uiPriority w:val="0"/>
    <w:pPr>
      <w:spacing w:line="440" w:lineRule="exact"/>
      <w:ind w:firstLine="420" w:firstLineChars="200"/>
    </w:pPr>
    <w:rPr>
      <w:rFonts w:ascii="Arial" w:hAnsi="Arial" w:eastAsia="华文细黑"/>
    </w:rPr>
  </w:style>
  <w:style w:type="paragraph" w:customStyle="1" w:styleId="1242">
    <w:name w:val="小Ꮄ"/>
    <w:basedOn w:val="1"/>
    <w:qFormat/>
    <w:uiPriority w:val="0"/>
    <w:pPr>
      <w:spacing w:before="60" w:after="60" w:line="360" w:lineRule="auto"/>
    </w:pPr>
  </w:style>
  <w:style w:type="paragraph" w:customStyle="1" w:styleId="1243">
    <w:name w:val="xl130"/>
    <w:basedOn w:val="1"/>
    <w:qFormat/>
    <w:uiPriority w:val="0"/>
    <w:pPr>
      <w:widowControl/>
      <w:pBdr>
        <w:left w:val="single" w:color="auto" w:sz="4" w:space="0"/>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44">
    <w:name w:val="样式 样式 样式 标题 4 + 宋体 行距: 1.5 倍行距 + 段前: 0.5 行 + Times New Roman"/>
    <w:basedOn w:val="853"/>
    <w:qFormat/>
    <w:uiPriority w:val="0"/>
    <w:pPr>
      <w:snapToGrid w:val="0"/>
      <w:spacing w:beforeLines="50" w:after="120"/>
      <w:ind w:left="2884" w:hanging="2884"/>
      <w:jc w:val="left"/>
    </w:pPr>
    <w:rPr>
      <w:rFonts w:hAnsi="Times New Roman"/>
      <w:b w:val="0"/>
    </w:rPr>
  </w:style>
  <w:style w:type="paragraph" w:customStyle="1" w:styleId="1245">
    <w:name w:val="xl174"/>
    <w:basedOn w:val="1"/>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246">
    <w:name w:val="样式 样式 样式 首行缩进:  2 字符 + 首行缩进:  2 字符 + 居中 行距: 单倍行距"/>
    <w:basedOn w:val="1"/>
    <w:qFormat/>
    <w:uiPriority w:val="0"/>
    <w:pPr>
      <w:jc w:val="center"/>
    </w:pPr>
    <w:rPr>
      <w:rFonts w:eastAsia="仿宋_GB2312"/>
      <w:sz w:val="24"/>
      <w:szCs w:val="20"/>
    </w:rPr>
  </w:style>
  <w:style w:type="paragraph" w:customStyle="1" w:styleId="1247">
    <w:name w:val="xl45"/>
    <w:basedOn w:val="1"/>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248">
    <w:name w:val="表格 左侧"/>
    <w:basedOn w:val="200"/>
    <w:qFormat/>
    <w:uiPriority w:val="0"/>
    <w:pPr>
      <w:widowControl/>
      <w:adjustRightInd/>
      <w:snapToGrid/>
      <w:spacing w:beforeLines="0" w:afterLines="0" w:line="240" w:lineRule="auto"/>
      <w:jc w:val="left"/>
    </w:pPr>
    <w:rPr>
      <w:rFonts w:ascii="Times New Roman"/>
      <w:b/>
      <w:bCs/>
      <w:snapToGrid w:val="0"/>
      <w:kern w:val="18"/>
      <w:szCs w:val="21"/>
    </w:rPr>
  </w:style>
  <w:style w:type="paragraph" w:customStyle="1" w:styleId="1249">
    <w:name w:val="xl91"/>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50">
    <w:name w:val="xl139"/>
    <w:basedOn w:val="1"/>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251">
    <w:name w:val="font_mid"/>
    <w:basedOn w:val="1"/>
    <w:qFormat/>
    <w:uiPriority w:val="0"/>
    <w:pPr>
      <w:widowControl/>
      <w:spacing w:before="100" w:beforeAutospacing="1" w:after="100" w:afterAutospacing="1"/>
      <w:jc w:val="left"/>
    </w:pPr>
    <w:rPr>
      <w:rFonts w:ascii="宋体" w:hAnsi="宋体"/>
      <w:color w:val="000000"/>
      <w:kern w:val="0"/>
      <w:sz w:val="24"/>
    </w:rPr>
  </w:style>
  <w:style w:type="paragraph" w:customStyle="1" w:styleId="1252">
    <w:name w:val="表格的文字"/>
    <w:basedOn w:val="1"/>
    <w:qFormat/>
    <w:uiPriority w:val="0"/>
    <w:pPr>
      <w:spacing w:line="300" w:lineRule="exact"/>
      <w:jc w:val="center"/>
    </w:pPr>
    <w:rPr>
      <w:rFonts w:ascii="仿宋_GB2312" w:eastAsia="仿宋_GB2312"/>
      <w:bCs/>
      <w:szCs w:val="20"/>
    </w:rPr>
  </w:style>
  <w:style w:type="paragraph" w:customStyle="1" w:styleId="1253">
    <w:name w:val="新正文"/>
    <w:basedOn w:val="1"/>
    <w:qFormat/>
    <w:uiPriority w:val="0"/>
    <w:pPr>
      <w:spacing w:line="480" w:lineRule="exact"/>
      <w:ind w:firstLine="567"/>
    </w:pPr>
    <w:rPr>
      <w:rFonts w:ascii="仿宋_GB2312" w:eastAsia="仿宋_GB2312"/>
      <w:bCs/>
      <w:kern w:val="0"/>
      <w:sz w:val="28"/>
      <w:szCs w:val="20"/>
    </w:rPr>
  </w:style>
  <w:style w:type="paragraph" w:customStyle="1" w:styleId="1254">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1255">
    <w:name w:val="xl196"/>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256">
    <w:name w:val="zw"/>
    <w:basedOn w:val="1"/>
    <w:qFormat/>
    <w:uiPriority w:val="0"/>
    <w:pPr>
      <w:widowControl/>
      <w:spacing w:before="100" w:beforeAutospacing="1" w:after="100" w:afterAutospacing="1" w:line="400" w:lineRule="atLeast"/>
      <w:jc w:val="left"/>
    </w:pPr>
    <w:rPr>
      <w:rFonts w:hint="eastAsia" w:ascii="宋体" w:hAnsi="宋体"/>
      <w:kern w:val="0"/>
      <w:sz w:val="22"/>
      <w:szCs w:val="22"/>
    </w:rPr>
  </w:style>
  <w:style w:type="paragraph" w:customStyle="1" w:styleId="1257">
    <w:name w:val="3级标题"/>
    <w:basedOn w:val="1"/>
    <w:qFormat/>
    <w:uiPriority w:val="0"/>
    <w:pPr>
      <w:spacing w:before="300" w:line="460" w:lineRule="exact"/>
      <w:outlineLvl w:val="2"/>
    </w:pPr>
    <w:rPr>
      <w:b/>
      <w:sz w:val="24"/>
      <w:szCs w:val="20"/>
    </w:rPr>
  </w:style>
  <w:style w:type="paragraph" w:customStyle="1" w:styleId="1258">
    <w:name w:val="Char51"/>
    <w:basedOn w:val="1"/>
    <w:qFormat/>
    <w:uiPriority w:val="0"/>
  </w:style>
  <w:style w:type="paragraph" w:customStyle="1" w:styleId="1259">
    <w:name w:val="xl180"/>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60">
    <w:name w:val="样式 标题 2 + 段前: 0.1 行 段后: 0.1 行"/>
    <w:basedOn w:val="6"/>
    <w:qFormat/>
    <w:uiPriority w:val="0"/>
    <w:pPr>
      <w:spacing w:before="120" w:beforeLines="100" w:after="120" w:afterLines="100" w:line="240" w:lineRule="auto"/>
      <w:ind w:left="1134" w:hanging="992"/>
    </w:pPr>
    <w:rPr>
      <w:rFonts w:ascii="Times New Roman" w:hAnsi="Times New Roman" w:cs="宋体"/>
      <w:sz w:val="30"/>
      <w:szCs w:val="20"/>
    </w:rPr>
  </w:style>
  <w:style w:type="paragraph" w:customStyle="1" w:styleId="1261">
    <w:name w:val="copyright"/>
    <w:basedOn w:val="1"/>
    <w:qFormat/>
    <w:uiPriority w:val="0"/>
    <w:pPr>
      <w:widowControl/>
      <w:spacing w:before="100" w:beforeAutospacing="1" w:after="100" w:afterAutospacing="1"/>
      <w:ind w:firstLine="401"/>
      <w:jc w:val="left"/>
    </w:pPr>
    <w:rPr>
      <w:rFonts w:ascii="宋体" w:hAnsi="宋体" w:cs="宋体"/>
      <w:color w:val="000000"/>
      <w:kern w:val="0"/>
      <w:sz w:val="20"/>
      <w:szCs w:val="20"/>
    </w:rPr>
  </w:style>
  <w:style w:type="paragraph" w:customStyle="1" w:styleId="1262">
    <w:name w:val="样式 标题 4 + (西文) Times New Roman (中文) 宋体 小四"/>
    <w:basedOn w:val="8"/>
    <w:qFormat/>
    <w:uiPriority w:val="0"/>
    <w:pPr>
      <w:tabs>
        <w:tab w:val="left" w:pos="1247"/>
      </w:tabs>
      <w:spacing w:before="0" w:beforeLines="25" w:after="0" w:afterLines="25" w:line="360" w:lineRule="auto"/>
      <w:ind w:left="964" w:hanging="964"/>
    </w:pPr>
    <w:rPr>
      <w:rFonts w:ascii="宋体" w:hAnsi="宋体"/>
      <w:b w:val="0"/>
      <w:bCs w:val="0"/>
      <w:sz w:val="24"/>
      <w:szCs w:val="24"/>
    </w:rPr>
  </w:style>
  <w:style w:type="paragraph" w:customStyle="1" w:styleId="1263">
    <w:name w:val="Char Char Char"/>
    <w:basedOn w:val="1"/>
    <w:qFormat/>
    <w:uiPriority w:val="0"/>
    <w:rPr>
      <w:sz w:val="24"/>
    </w:rPr>
  </w:style>
  <w:style w:type="paragraph" w:customStyle="1" w:styleId="1264">
    <w:name w:val="东明_正文"/>
    <w:basedOn w:val="1"/>
    <w:qFormat/>
    <w:uiPriority w:val="0"/>
    <w:pPr>
      <w:spacing w:before="240" w:after="240" w:line="480" w:lineRule="exact"/>
      <w:ind w:firstLine="560" w:firstLineChars="200"/>
    </w:pPr>
    <w:rPr>
      <w:sz w:val="28"/>
      <w:szCs w:val="20"/>
    </w:rPr>
  </w:style>
  <w:style w:type="paragraph" w:customStyle="1" w:styleId="1265">
    <w:name w:val="表格文本 小五 居中"/>
    <w:basedOn w:val="1"/>
    <w:qFormat/>
    <w:uiPriority w:val="0"/>
    <w:pPr>
      <w:adjustRightInd w:val="0"/>
      <w:snapToGrid w:val="0"/>
      <w:jc w:val="center"/>
    </w:pPr>
    <w:rPr>
      <w:rFonts w:cs="宋体"/>
    </w:rPr>
  </w:style>
  <w:style w:type="paragraph" w:customStyle="1" w:styleId="1266">
    <w:name w:val="xl116"/>
    <w:basedOn w:val="1"/>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67">
    <w:name w:val="表格样式"/>
    <w:basedOn w:val="1"/>
    <w:qFormat/>
    <w:uiPriority w:val="0"/>
    <w:pPr>
      <w:widowControl/>
    </w:pPr>
    <w:rPr>
      <w:sz w:val="24"/>
    </w:rPr>
  </w:style>
  <w:style w:type="paragraph" w:customStyle="1" w:styleId="1268">
    <w:name w:val="表格文字中 Char Char"/>
    <w:basedOn w:val="1"/>
    <w:qFormat/>
    <w:uiPriority w:val="0"/>
    <w:pPr>
      <w:keepNext/>
      <w:widowControl/>
      <w:spacing w:line="160" w:lineRule="atLeast"/>
      <w:contextualSpacing/>
      <w:jc w:val="center"/>
    </w:pPr>
    <w:rPr>
      <w:rFonts w:cs="宋体"/>
      <w:color w:val="000000"/>
      <w:kern w:val="0"/>
      <w:szCs w:val="20"/>
    </w:rPr>
  </w:style>
  <w:style w:type="paragraph" w:customStyle="1" w:styleId="1269">
    <w:name w:val="表文"/>
    <w:basedOn w:val="1"/>
    <w:qFormat/>
    <w:uiPriority w:val="0"/>
    <w:pPr>
      <w:keepNext/>
      <w:adjustRightInd w:val="0"/>
      <w:spacing w:before="40" w:line="288" w:lineRule="auto"/>
      <w:jc w:val="center"/>
      <w:textAlignment w:val="baseline"/>
    </w:pPr>
    <w:rPr>
      <w:kern w:val="0"/>
      <w:sz w:val="24"/>
      <w:szCs w:val="20"/>
    </w:rPr>
  </w:style>
  <w:style w:type="paragraph" w:customStyle="1" w:styleId="1270">
    <w:name w:val="菏泽-标题 3 Char Char Char"/>
    <w:basedOn w:val="1"/>
    <w:next w:val="1"/>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271">
    <w:name w:val="样式 标题 1章标题 11标题 1H1一、 + 行距: 1.5 倍行距3"/>
    <w:basedOn w:val="5"/>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72">
    <w:name w:val="5 Char"/>
    <w:basedOn w:val="1"/>
    <w:qFormat/>
    <w:uiPriority w:val="0"/>
    <w:rPr>
      <w:sz w:val="24"/>
    </w:rPr>
  </w:style>
  <w:style w:type="paragraph" w:customStyle="1" w:styleId="1273">
    <w:name w:val="正文内容"/>
    <w:basedOn w:val="1"/>
    <w:qFormat/>
    <w:uiPriority w:val="0"/>
    <w:pPr>
      <w:adjustRightInd w:val="0"/>
      <w:snapToGrid w:val="0"/>
      <w:spacing w:line="360" w:lineRule="auto"/>
      <w:ind w:firstLine="510"/>
    </w:pPr>
    <w:rPr>
      <w:rFonts w:ascii="宋体" w:hAnsi="宋体"/>
      <w:snapToGrid w:val="0"/>
      <w:spacing w:val="4"/>
      <w:kern w:val="0"/>
      <w:sz w:val="24"/>
      <w:szCs w:val="20"/>
    </w:rPr>
  </w:style>
  <w:style w:type="paragraph" w:customStyle="1" w:styleId="1274">
    <w:name w:val="xl26"/>
    <w:basedOn w:val="1"/>
    <w:qFormat/>
    <w:uiPriority w:val="0"/>
    <w:pPr>
      <w:widowControl/>
      <w:pBdr>
        <w:bottom w:val="single" w:color="auto" w:sz="4" w:space="0"/>
        <w:right w:val="single" w:color="auto" w:sz="4" w:space="0"/>
      </w:pBdr>
      <w:spacing w:before="100" w:after="100"/>
      <w:jc w:val="center"/>
      <w:textAlignment w:val="top"/>
    </w:pPr>
    <w:rPr>
      <w:kern w:val="0"/>
      <w:szCs w:val="20"/>
    </w:rPr>
  </w:style>
  <w:style w:type="paragraph" w:customStyle="1" w:styleId="1275">
    <w:name w:val="样式 标题 2 + 行距: 1.5 倍行距1"/>
    <w:basedOn w:val="6"/>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1276">
    <w:name w:val="标题21"/>
    <w:basedOn w:val="1"/>
    <w:qFormat/>
    <w:uiPriority w:val="0"/>
    <w:pPr>
      <w:suppressLineNumbers/>
      <w:spacing w:line="360" w:lineRule="auto"/>
      <w:outlineLvl w:val="1"/>
    </w:pPr>
    <w:rPr>
      <w:rFonts w:eastAsia="黑体"/>
      <w:sz w:val="36"/>
      <w:szCs w:val="36"/>
    </w:rPr>
  </w:style>
  <w:style w:type="paragraph" w:customStyle="1" w:styleId="1277">
    <w:name w:val="普通 (Web)"/>
    <w:basedOn w:val="1"/>
    <w:qFormat/>
    <w:uiPriority w:val="0"/>
    <w:pPr>
      <w:widowControl/>
      <w:spacing w:before="100" w:beforeAutospacing="1" w:after="100" w:afterAutospacing="1"/>
      <w:jc w:val="left"/>
    </w:pPr>
    <w:rPr>
      <w:rFonts w:ascii="宋体" w:hAnsi="宋体"/>
      <w:kern w:val="0"/>
      <w:sz w:val="24"/>
    </w:rPr>
  </w:style>
  <w:style w:type="paragraph" w:customStyle="1" w:styleId="1278">
    <w:name w:val="样式 样式 样式 正文 首行缩进:  2 字符 SL CON + 首行缩进:  2 字符 + (符号) 宋体 + 字距调整小四"/>
    <w:basedOn w:val="1"/>
    <w:qFormat/>
    <w:uiPriority w:val="0"/>
    <w:pPr>
      <w:widowControl/>
      <w:numPr>
        <w:ilvl w:val="0"/>
        <w:numId w:val="4"/>
      </w:numPr>
      <w:tabs>
        <w:tab w:val="left" w:pos="377"/>
      </w:tabs>
      <w:spacing w:line="360" w:lineRule="auto"/>
      <w:ind w:left="0" w:firstLine="480" w:firstLineChars="200"/>
    </w:pPr>
    <w:rPr>
      <w:rFonts w:ascii="宋体" w:hAnsi="宋体" w:cs="宋体"/>
      <w:kern w:val="24"/>
      <w:sz w:val="24"/>
    </w:rPr>
  </w:style>
  <w:style w:type="paragraph" w:customStyle="1" w:styleId="1279">
    <w:name w:val="样式 题注 + (西文) Arial (中文) 黑体 小四 Char Char"/>
    <w:basedOn w:val="24"/>
    <w:qFormat/>
    <w:uiPriority w:val="0"/>
    <w:pPr>
      <w:keepNext/>
      <w:numPr>
        <w:ilvl w:val="0"/>
        <w:numId w:val="16"/>
      </w:numPr>
      <w:tabs>
        <w:tab w:val="left" w:pos="1620"/>
      </w:tabs>
      <w:adjustRightInd w:val="0"/>
      <w:spacing w:line="240" w:lineRule="auto"/>
      <w:ind w:left="1620" w:leftChars="600" w:hanging="360" w:hangingChars="200"/>
      <w:jc w:val="center"/>
    </w:pPr>
    <w:rPr>
      <w:sz w:val="24"/>
      <w:szCs w:val="28"/>
    </w:rPr>
  </w:style>
  <w:style w:type="paragraph" w:customStyle="1" w:styleId="1280">
    <w:name w:val="标题正4"/>
    <w:basedOn w:val="1"/>
    <w:qFormat/>
    <w:uiPriority w:val="0"/>
    <w:pPr>
      <w:jc w:val="center"/>
    </w:pPr>
    <w:rPr>
      <w:rFonts w:ascii="仿宋_GB2312" w:eastAsia="仿宋_GB2312"/>
      <w:color w:val="000000"/>
    </w:rPr>
  </w:style>
  <w:style w:type="paragraph" w:customStyle="1" w:styleId="1281">
    <w:name w:val="xl193"/>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1282">
    <w:name w:val="表序号"/>
    <w:basedOn w:val="9"/>
    <w:qFormat/>
    <w:uiPriority w:val="0"/>
    <w:pPr>
      <w:tabs>
        <w:tab w:val="left" w:pos="3093"/>
        <w:tab w:val="clear" w:pos="1008"/>
      </w:tabs>
      <w:spacing w:before="0" w:after="0" w:line="360" w:lineRule="auto"/>
      <w:ind w:left="3093" w:hanging="420"/>
      <w:jc w:val="center"/>
    </w:pPr>
    <w:rPr>
      <w:rFonts w:ascii="宋体" w:hAnsi="Arial"/>
      <w:kern w:val="0"/>
      <w:sz w:val="24"/>
    </w:rPr>
  </w:style>
  <w:style w:type="paragraph" w:customStyle="1" w:styleId="1283">
    <w:name w:val="ST20_1"/>
    <w:basedOn w:val="1"/>
    <w:qFormat/>
    <w:uiPriority w:val="0"/>
    <w:pPr>
      <w:autoSpaceDE w:val="0"/>
      <w:autoSpaceDN w:val="0"/>
      <w:adjustRightInd w:val="0"/>
      <w:spacing w:line="312" w:lineRule="atLeast"/>
      <w:jc w:val="center"/>
      <w:textAlignment w:val="baseline"/>
    </w:pPr>
    <w:rPr>
      <w:rFonts w:ascii="宋体" w:hAnsi="Tms Rmn"/>
      <w:kern w:val="0"/>
      <w:sz w:val="24"/>
      <w:szCs w:val="20"/>
    </w:rPr>
  </w:style>
  <w:style w:type="paragraph" w:customStyle="1" w:styleId="1284">
    <w:name w:val="xl32"/>
    <w:basedOn w:val="1"/>
    <w:qFormat/>
    <w:uiPriority w:val="0"/>
    <w:pPr>
      <w:widowControl/>
      <w:pBdr>
        <w:right w:val="single" w:color="auto" w:sz="4" w:space="0"/>
      </w:pBdr>
      <w:spacing w:before="100" w:beforeAutospacing="1" w:after="100" w:afterAutospacing="1"/>
      <w:jc w:val="center"/>
      <w:textAlignment w:val="bottom"/>
    </w:pPr>
    <w:rPr>
      <w:rFonts w:ascii="Arial" w:hAnsi="Arial" w:cs="Arial"/>
      <w:kern w:val="0"/>
      <w:sz w:val="28"/>
      <w:szCs w:val="28"/>
    </w:rPr>
  </w:style>
  <w:style w:type="paragraph" w:customStyle="1" w:styleId="1285">
    <w:name w:val="样式 小四 首行缩进:  1.01 厘米 行距: 1.5 倍行距"/>
    <w:basedOn w:val="1"/>
    <w:qFormat/>
    <w:uiPriority w:val="0"/>
    <w:pPr>
      <w:spacing w:line="360" w:lineRule="auto"/>
    </w:pPr>
    <w:rPr>
      <w:rFonts w:ascii="宋体" w:hAnsi="宋体" w:cs="宋体"/>
      <w:sz w:val="24"/>
    </w:rPr>
  </w:style>
  <w:style w:type="paragraph" w:customStyle="1" w:styleId="1286">
    <w:name w:val="表头及图标"/>
    <w:basedOn w:val="411"/>
    <w:qFormat/>
    <w:uiPriority w:val="0"/>
    <w:pPr>
      <w:ind w:firstLine="0" w:firstLineChars="0"/>
      <w:jc w:val="center"/>
    </w:pPr>
    <w:rPr>
      <w:b/>
      <w:bCs/>
      <w:sz w:val="21"/>
      <w:szCs w:val="20"/>
    </w:rPr>
  </w:style>
  <w:style w:type="paragraph" w:customStyle="1" w:styleId="1287">
    <w:name w:val="公式样式1"/>
    <w:basedOn w:val="1"/>
    <w:qFormat/>
    <w:uiPriority w:val="0"/>
    <w:pPr>
      <w:spacing w:line="360" w:lineRule="auto"/>
      <w:ind w:firstLine="235" w:firstLineChars="100"/>
    </w:pPr>
    <w:rPr>
      <w:rFonts w:ascii="宋体" w:hAnsi="Arial Black"/>
      <w:szCs w:val="20"/>
    </w:rPr>
  </w:style>
  <w:style w:type="paragraph" w:customStyle="1" w:styleId="1288">
    <w:name w:val="样式 正文文本 + 宋体 行距: 1.5 倍行距"/>
    <w:basedOn w:val="34"/>
    <w:qFormat/>
    <w:uiPriority w:val="0"/>
    <w:pPr>
      <w:widowControl w:val="0"/>
      <w:snapToGrid/>
      <w:spacing w:before="0" w:after="120" w:line="360" w:lineRule="auto"/>
      <w:ind w:right="0" w:firstLine="480" w:firstLineChars="200"/>
    </w:pPr>
    <w:rPr>
      <w:rFonts w:cs="宋体"/>
      <w:sz w:val="24"/>
    </w:rPr>
  </w:style>
  <w:style w:type="paragraph" w:customStyle="1" w:styleId="1289">
    <w:name w:val="样式 正文缩进正文（首行缩进两字）正文（首行缩进两字） Char Char Char Char Char Char Char..."/>
    <w:basedOn w:val="10"/>
    <w:qFormat/>
    <w:uiPriority w:val="0"/>
    <w:pPr>
      <w:spacing w:line="312" w:lineRule="auto"/>
      <w:ind w:firstLine="539" w:firstLineChars="0"/>
    </w:pPr>
    <w:rPr>
      <w:kern w:val="0"/>
      <w:sz w:val="28"/>
      <w:szCs w:val="20"/>
    </w:rPr>
  </w:style>
  <w:style w:type="paragraph" w:customStyle="1" w:styleId="1290">
    <w:name w:val="论文正文"/>
    <w:basedOn w:val="10"/>
    <w:qFormat/>
    <w:uiPriority w:val="0"/>
    <w:pPr>
      <w:ind w:firstLine="480"/>
    </w:pPr>
    <w:rPr>
      <w:rFonts w:ascii="宋体" w:hAnsi="宋体"/>
      <w:kern w:val="0"/>
      <w:sz w:val="28"/>
    </w:rPr>
  </w:style>
  <w:style w:type="paragraph" w:customStyle="1" w:styleId="1291">
    <w:name w:val="样式 样式 标题 2节 + (西文) Times New Roman (中文) 宋体 四号 段前: 0.5 行 段后: 0......"/>
    <w:basedOn w:val="1"/>
    <w:qFormat/>
    <w:uiPriority w:val="0"/>
    <w:pPr>
      <w:keepNext/>
      <w:keepLines/>
      <w:adjustRightInd w:val="0"/>
      <w:snapToGrid w:val="0"/>
      <w:spacing w:beforeLines="90" w:afterLines="90" w:line="300" w:lineRule="auto"/>
      <w:ind w:left="992" w:hanging="992"/>
      <w:outlineLvl w:val="1"/>
    </w:pPr>
    <w:rPr>
      <w:rFonts w:ascii="宋体" w:hAnsi="宋体"/>
      <w:bCs/>
      <w:sz w:val="30"/>
      <w:szCs w:val="30"/>
    </w:rPr>
  </w:style>
  <w:style w:type="paragraph" w:customStyle="1" w:styleId="1292">
    <w:name w:val="CM28"/>
    <w:basedOn w:val="1"/>
    <w:next w:val="1"/>
    <w:qFormat/>
    <w:uiPriority w:val="0"/>
    <w:pPr>
      <w:autoSpaceDE w:val="0"/>
      <w:autoSpaceDN w:val="0"/>
      <w:adjustRightInd w:val="0"/>
      <w:spacing w:line="468" w:lineRule="atLeast"/>
      <w:jc w:val="left"/>
    </w:pPr>
    <w:rPr>
      <w:rFonts w:ascii="宋体" w:cs="宋体"/>
      <w:kern w:val="0"/>
      <w:sz w:val="24"/>
    </w:rPr>
  </w:style>
  <w:style w:type="paragraph" w:customStyle="1" w:styleId="1293">
    <w:name w:val="样式 标题 1章标题 11标题 1H1一、 + 行距: 1.5 倍行距2"/>
    <w:basedOn w:val="5"/>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94">
    <w:name w:val="xl154"/>
    <w:basedOn w:val="1"/>
    <w:qFormat/>
    <w:uiPriority w:val="0"/>
    <w:pPr>
      <w:widowControl/>
      <w:pBdr>
        <w:left w:val="single" w:color="auto" w:sz="12" w:space="0"/>
        <w:bottom w:val="single" w:color="auto" w:sz="8" w:space="0"/>
      </w:pBdr>
      <w:spacing w:before="100" w:beforeAutospacing="1" w:after="100" w:afterAutospacing="1"/>
      <w:jc w:val="center"/>
    </w:pPr>
    <w:rPr>
      <w:rFonts w:ascii="Arial Unicode MS" w:hAnsi="Arial Unicode MS"/>
      <w:kern w:val="0"/>
      <w:sz w:val="12"/>
      <w:szCs w:val="12"/>
    </w:rPr>
  </w:style>
  <w:style w:type="paragraph" w:customStyle="1" w:styleId="1295">
    <w:name w:val="我的正文"/>
    <w:basedOn w:val="1"/>
    <w:qFormat/>
    <w:uiPriority w:val="0"/>
    <w:pPr>
      <w:spacing w:line="360" w:lineRule="auto"/>
      <w:ind w:firstLine="480" w:firstLineChars="200"/>
    </w:pPr>
    <w:rPr>
      <w:rFonts w:cs="宋体"/>
      <w:sz w:val="24"/>
    </w:rPr>
  </w:style>
  <w:style w:type="paragraph" w:customStyle="1" w:styleId="1296">
    <w:name w:val="xl90"/>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97">
    <w:name w:val="正文1.1"/>
    <w:basedOn w:val="1"/>
    <w:qFormat/>
    <w:uiPriority w:val="0"/>
    <w:pPr>
      <w:tabs>
        <w:tab w:val="left" w:pos="495"/>
      </w:tabs>
      <w:snapToGrid w:val="0"/>
      <w:spacing w:beforeLines="50" w:afterLines="50" w:line="360" w:lineRule="auto"/>
      <w:ind w:left="495" w:hanging="495"/>
      <w:outlineLvl w:val="2"/>
    </w:pPr>
    <w:rPr>
      <w:rFonts w:hAnsi="宋体"/>
      <w:b/>
      <w:sz w:val="30"/>
      <w:szCs w:val="30"/>
    </w:rPr>
  </w:style>
  <w:style w:type="paragraph" w:customStyle="1" w:styleId="1298">
    <w:name w:val="xl102"/>
    <w:basedOn w:val="1"/>
    <w:qFormat/>
    <w:uiPriority w:val="0"/>
    <w:pPr>
      <w:widowControl/>
      <w:pBdr>
        <w:left w:val="single" w:color="auto" w:sz="4" w:space="0"/>
        <w:bottom w:val="single" w:color="auto" w:sz="12" w:space="0"/>
        <w:right w:val="single" w:color="auto" w:sz="12" w:space="0"/>
      </w:pBdr>
      <w:spacing w:before="100" w:beforeAutospacing="1" w:after="100" w:afterAutospacing="1"/>
      <w:jc w:val="center"/>
      <w:textAlignment w:val="center"/>
    </w:pPr>
    <w:rPr>
      <w:kern w:val="0"/>
      <w:sz w:val="12"/>
      <w:szCs w:val="12"/>
    </w:rPr>
  </w:style>
  <w:style w:type="paragraph" w:customStyle="1" w:styleId="1299">
    <w:name w:val="xl23"/>
    <w:basedOn w:val="1"/>
    <w:qFormat/>
    <w:uiPriority w:val="0"/>
    <w:pPr>
      <w:widowControl/>
      <w:pBdr>
        <w:bottom w:val="single" w:color="auto" w:sz="4" w:space="0"/>
        <w:right w:val="single" w:color="auto" w:sz="4" w:space="0"/>
      </w:pBdr>
      <w:spacing w:before="100" w:beforeAutospacing="1" w:after="100" w:afterAutospacing="1"/>
      <w:jc w:val="center"/>
    </w:pPr>
    <w:rPr>
      <w:rFonts w:hint="eastAsia" w:ascii="仿宋_GB2312" w:hAnsi="宋体" w:eastAsia="仿宋_GB2312"/>
      <w:kern w:val="0"/>
      <w:sz w:val="24"/>
    </w:rPr>
  </w:style>
  <w:style w:type="paragraph" w:customStyle="1" w:styleId="1300">
    <w:name w:val="font16"/>
    <w:basedOn w:val="1"/>
    <w:qFormat/>
    <w:uiPriority w:val="0"/>
    <w:pPr>
      <w:widowControl/>
      <w:spacing w:before="100" w:beforeAutospacing="1" w:after="100" w:afterAutospacing="1"/>
      <w:jc w:val="left"/>
    </w:pPr>
    <w:rPr>
      <w:rFonts w:ascii="Tahoma" w:hAnsi="Tahoma" w:cs="Tahoma"/>
      <w:color w:val="000000"/>
      <w:kern w:val="0"/>
      <w:sz w:val="16"/>
      <w:szCs w:val="16"/>
    </w:rPr>
  </w:style>
  <w:style w:type="paragraph" w:customStyle="1" w:styleId="1301">
    <w:name w:val="xl198"/>
    <w:basedOn w:val="1"/>
    <w:qFormat/>
    <w:uiPriority w:val="0"/>
    <w:pPr>
      <w:widowControl/>
      <w:pBdr>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302">
    <w:name w:val="xl124"/>
    <w:basedOn w:val="1"/>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303">
    <w:name w:val="标准公文"/>
    <w:qFormat/>
    <w:uiPriority w:val="0"/>
    <w:pPr>
      <w:widowControl w:val="0"/>
      <w:spacing w:line="520" w:lineRule="exact"/>
      <w:ind w:firstLine="560" w:firstLineChars="200"/>
      <w:jc w:val="both"/>
    </w:pPr>
    <w:rPr>
      <w:rFonts w:ascii="宋体" w:hAnsi="宋体" w:eastAsia="宋体" w:cs="Times New Roman"/>
      <w:sz w:val="28"/>
      <w:szCs w:val="34"/>
      <w:lang w:val="en-US" w:eastAsia="zh-CN" w:bidi="ar-SA"/>
    </w:rPr>
  </w:style>
  <w:style w:type="paragraph" w:customStyle="1" w:styleId="1304">
    <w:name w:val="xl77"/>
    <w:basedOn w:val="1"/>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305">
    <w:name w:val="样式 标题 3 + 宋体 四号"/>
    <w:basedOn w:val="7"/>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1306">
    <w:name w:val="Body Text 21"/>
    <w:basedOn w:val="1"/>
    <w:qFormat/>
    <w:uiPriority w:val="0"/>
    <w:pPr>
      <w:adjustRightInd w:val="0"/>
      <w:textAlignment w:val="baseline"/>
    </w:pPr>
    <w:rPr>
      <w:color w:val="000000"/>
      <w:sz w:val="24"/>
      <w:szCs w:val="20"/>
    </w:rPr>
  </w:style>
  <w:style w:type="paragraph" w:customStyle="1" w:styleId="1307">
    <w:name w:val="CM74"/>
    <w:basedOn w:val="1"/>
    <w:next w:val="1"/>
    <w:qFormat/>
    <w:uiPriority w:val="0"/>
    <w:pPr>
      <w:autoSpaceDE w:val="0"/>
      <w:autoSpaceDN w:val="0"/>
      <w:adjustRightInd w:val="0"/>
      <w:spacing w:after="180"/>
      <w:jc w:val="left"/>
    </w:pPr>
    <w:rPr>
      <w:rFonts w:ascii="Sim Sun+ 2" w:eastAsia="Sim Sun+ 2" w:cs="Sim Sun+ 2"/>
      <w:kern w:val="0"/>
      <w:sz w:val="24"/>
    </w:rPr>
  </w:style>
  <w:style w:type="paragraph" w:customStyle="1" w:styleId="1308">
    <w:name w:val="前言"/>
    <w:basedOn w:val="1"/>
    <w:qFormat/>
    <w:uiPriority w:val="0"/>
    <w:pPr>
      <w:spacing w:line="560" w:lineRule="exact"/>
      <w:jc w:val="center"/>
    </w:pPr>
    <w:rPr>
      <w:rFonts w:cs="宋体"/>
      <w:b/>
      <w:sz w:val="30"/>
      <w:szCs w:val="20"/>
    </w:rPr>
  </w:style>
  <w:style w:type="paragraph" w:customStyle="1" w:styleId="1309">
    <w:name w:val="CM4"/>
    <w:basedOn w:val="1"/>
    <w:next w:val="1"/>
    <w:qFormat/>
    <w:uiPriority w:val="0"/>
    <w:pPr>
      <w:autoSpaceDE w:val="0"/>
      <w:autoSpaceDN w:val="0"/>
      <w:adjustRightInd w:val="0"/>
      <w:spacing w:line="520" w:lineRule="atLeast"/>
      <w:jc w:val="left"/>
    </w:pPr>
    <w:rPr>
      <w:rFonts w:ascii="宋体"/>
      <w:kern w:val="0"/>
      <w:sz w:val="24"/>
    </w:rPr>
  </w:style>
  <w:style w:type="paragraph" w:customStyle="1" w:styleId="1310">
    <w:name w:val="xl143"/>
    <w:basedOn w:val="1"/>
    <w:qFormat/>
    <w:uiPriority w:val="0"/>
    <w:pPr>
      <w:widowControl/>
      <w:pBdr>
        <w:top w:val="single" w:color="auto" w:sz="8" w:space="0"/>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311">
    <w:name w:val="Char Char Char Char Char Char Char Char Char Char Char Char Char Char Char Char2"/>
    <w:basedOn w:val="1"/>
    <w:qFormat/>
    <w:uiPriority w:val="0"/>
    <w:pPr>
      <w:widowControl/>
      <w:contextualSpacing/>
      <w:jc w:val="left"/>
    </w:pPr>
    <w:rPr>
      <w:rFonts w:cs="宋体"/>
      <w:kern w:val="0"/>
    </w:rPr>
  </w:style>
  <w:style w:type="paragraph" w:customStyle="1" w:styleId="1312">
    <w:name w:val="msoplaintextcxspmiddle"/>
    <w:basedOn w:val="1"/>
    <w:qFormat/>
    <w:uiPriority w:val="0"/>
    <w:pPr>
      <w:widowControl/>
      <w:spacing w:before="100" w:beforeAutospacing="1" w:after="100" w:afterAutospacing="1"/>
      <w:contextualSpacing/>
      <w:jc w:val="left"/>
    </w:pPr>
    <w:rPr>
      <w:rFonts w:cs="宋体"/>
      <w:kern w:val="0"/>
    </w:rPr>
  </w:style>
  <w:style w:type="paragraph" w:customStyle="1" w:styleId="1313">
    <w:name w:val="聪表标题"/>
    <w:basedOn w:val="1"/>
    <w:qFormat/>
    <w:uiPriority w:val="0"/>
    <w:pPr>
      <w:spacing w:line="360" w:lineRule="auto"/>
      <w:jc w:val="center"/>
    </w:pPr>
    <w:rPr>
      <w:rFonts w:ascii="黑体" w:hAnsi="黑体" w:eastAsia="黑体"/>
      <w:sz w:val="24"/>
    </w:rPr>
  </w:style>
  <w:style w:type="paragraph" w:customStyle="1" w:styleId="1314">
    <w:name w:val="Style"/>
    <w:qFormat/>
    <w:uiPriority w:val="99"/>
    <w:pPr>
      <w:widowControl w:val="0"/>
      <w:autoSpaceDE w:val="0"/>
      <w:autoSpaceDN w:val="0"/>
      <w:adjustRightInd w:val="0"/>
    </w:pPr>
    <w:rPr>
      <w:rFonts w:ascii="TimesNewRomanPSMT" w:hAnsi="TimesNewRomanPSMT" w:eastAsia="宋体" w:cs="TimesNewRomanPSMT"/>
      <w:sz w:val="24"/>
      <w:szCs w:val="24"/>
      <w:lang w:val="zh" w:eastAsia="zh-CN" w:bidi="ar-SA"/>
    </w:rPr>
  </w:style>
  <w:style w:type="table" w:customStyle="1" w:styleId="1315">
    <w:name w:val="表格aaa1"/>
    <w:basedOn w:val="83"/>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16">
    <w:name w:val="环评用表4"/>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7">
    <w:name w:val="环评用表6"/>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8">
    <w:name w:val="网格型12"/>
    <w:basedOn w:val="83"/>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9">
    <w:name w:val="网格型11"/>
    <w:basedOn w:val="83"/>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0">
    <w:name w:val="表格样式pp1"/>
    <w:basedOn w:val="83"/>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21">
    <w:name w:val="网格型8"/>
    <w:basedOn w:val="8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2">
    <w:name w:val="网格型 52"/>
    <w:basedOn w:val="83"/>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3">
    <w:name w:val="网格型4"/>
    <w:basedOn w:val="8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4">
    <w:name w:val="无格式表格 41"/>
    <w:basedOn w:val="83"/>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1325">
    <w:name w:val="网格型 51"/>
    <w:basedOn w:val="83"/>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6">
    <w:name w:val="网格型浅色1"/>
    <w:basedOn w:val="83"/>
    <w:qFormat/>
    <w:uiPriority w:val="40"/>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1327">
    <w:name w:val="无格式表格 31"/>
    <w:basedOn w:val="83"/>
    <w:qFormat/>
    <w:uiPriority w:val="43"/>
    <w:tblStylePr w:type="firstRow">
      <w:rPr>
        <w:b/>
        <w:bCs/>
        <w:caps/>
      </w:rPr>
      <w:tcPr>
        <w:tcBorders>
          <w:top w:val="nil"/>
          <w:left w:val="single" w:color="7F7F7F" w:sz="4" w:space="0"/>
          <w:bottom w:val="nil"/>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1328">
    <w:name w:val="网格型14"/>
    <w:basedOn w:val="8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9">
    <w:name w:val="环评用表10"/>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0">
    <w:name w:val="网格型6"/>
    <w:basedOn w:val="8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1">
    <w:name w:val="无格式表格 21"/>
    <w:basedOn w:val="83"/>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1332">
    <w:name w:val="环评用表41"/>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3">
    <w:name w:val="正文+宋体13"/>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4">
    <w:name w:val="环评用表42"/>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5">
    <w:name w:val="环评用表8"/>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6">
    <w:name w:val="表格主题（安）1"/>
    <w:basedOn w:val="83"/>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7">
    <w:name w:val="网格型 11"/>
    <w:basedOn w:val="83"/>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38">
    <w:name w:val="网格型2"/>
    <w:basedOn w:val="8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9">
    <w:name w:val="网格型 13"/>
    <w:basedOn w:val="83"/>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40">
    <w:name w:val="环评用表5"/>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1">
    <w:name w:val="表格样式12"/>
    <w:basedOn w:val="83"/>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42">
    <w:name w:val="环评用表1"/>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3">
    <w:name w:val="网格型（pxg）2"/>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4">
    <w:name w:val="专业型2"/>
    <w:basedOn w:val="83"/>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45">
    <w:name w:val="环评用表3"/>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6">
    <w:name w:val="网格型 12"/>
    <w:basedOn w:val="83"/>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47">
    <w:name w:val="网格型1"/>
    <w:basedOn w:val="83"/>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8">
    <w:name w:val="正文+宋体11"/>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9">
    <w:name w:val="表格样式-tjgsqiu"/>
    <w:basedOn w:val="85"/>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0">
    <w:name w:val="网格型 111"/>
    <w:basedOn w:val="83"/>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51">
    <w:name w:val="表格样式-tjgsqiu2"/>
    <w:basedOn w:val="85"/>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2">
    <w:name w:val="表格样式-tjgsqiu1"/>
    <w:basedOn w:val="85"/>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3">
    <w:name w:val="环评用表7"/>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54">
    <w:name w:val="正文+宋体1"/>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5">
    <w:name w:val="表格aaa"/>
    <w:basedOn w:val="83"/>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56">
    <w:name w:val="网格型（pxg）22"/>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7">
    <w:name w:val="网格型5"/>
    <w:basedOn w:val="8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8">
    <w:name w:val="网格型（pxg）11"/>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9">
    <w:name w:val="表格样式pp"/>
    <w:basedOn w:val="83"/>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60">
    <w:name w:val="环评用表9"/>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1">
    <w:name w:val="环评用表2"/>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2">
    <w:name w:val="表格样式11"/>
    <w:basedOn w:val="83"/>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63">
    <w:name w:val="网格型7"/>
    <w:basedOn w:val="8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4">
    <w:name w:val="网格型 14"/>
    <w:basedOn w:val="83"/>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5">
    <w:name w:val="环评用表11"/>
    <w:basedOn w:val="83"/>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6">
    <w:name w:val="网格型13"/>
    <w:basedOn w:val="83"/>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7">
    <w:name w:val="网格型 113"/>
    <w:basedOn w:val="83"/>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8">
    <w:name w:val="专业型3"/>
    <w:basedOn w:val="83"/>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69">
    <w:name w:val="表格aaa2"/>
    <w:basedOn w:val="83"/>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70">
    <w:name w:val="网格型 112"/>
    <w:basedOn w:val="83"/>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71">
    <w:name w:val="正文+宋体12"/>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2">
    <w:name w:val="表格主题（安）2"/>
    <w:basedOn w:val="83"/>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3">
    <w:name w:val="表格样式13"/>
    <w:basedOn w:val="83"/>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4">
    <w:name w:val="网格型（pxg）1"/>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5">
    <w:name w:val="网格型（pxg）21"/>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6">
    <w:name w:val="专业型1"/>
    <w:basedOn w:val="83"/>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77">
    <w:name w:val="表格样式1"/>
    <w:basedOn w:val="83"/>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8">
    <w:name w:val="表格样式pp3"/>
    <w:basedOn w:val="83"/>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79">
    <w:name w:val="无格式表格 51"/>
    <w:basedOn w:val="83"/>
    <w:qFormat/>
    <w:uiPriority w:val="45"/>
    <w:tblStylePr w:type="firstRow">
      <w:rPr>
        <w:rFonts w:ascii="MS Mincho" w:hAnsi="MS Mincho" w:eastAsia="Verdana" w:cs="Times New Roman"/>
        <w:i/>
        <w:iCs/>
        <w:sz w:val="26"/>
      </w:rPr>
      <w:tcPr>
        <w:tcBorders>
          <w:top w:val="nil"/>
          <w:left w:val="single" w:color="7F7F7F" w:sz="4" w:space="0"/>
          <w:bottom w:val="nil"/>
          <w:right w:val="nil"/>
          <w:insideH w:val="nil"/>
          <w:insideV w:val="nil"/>
          <w:tl2br w:val="nil"/>
          <w:tr2bl w:val="nil"/>
        </w:tcBorders>
        <w:shd w:val="clear" w:color="auto" w:fill="FFFFFF"/>
      </w:tcPr>
    </w:tblStylePr>
    <w:tblStylePr w:type="lastRow">
      <w:rPr>
        <w:rFonts w:ascii="MS Mincho" w:hAnsi="MS Mincho" w:eastAsia="Verdana" w:cs="Times New Roman"/>
        <w:i/>
        <w:iCs/>
        <w:sz w:val="26"/>
      </w:rPr>
      <w:tcPr>
        <w:tcBorders>
          <w:top w:val="single" w:color="7F7F7F" w:sz="4" w:space="0"/>
          <w:left w:val="nil"/>
          <w:bottom w:val="nil"/>
          <w:right w:val="nil"/>
          <w:insideH w:val="nil"/>
          <w:insideV w:val="nil"/>
          <w:tl2br w:val="nil"/>
          <w:tr2bl w:val="nil"/>
        </w:tcBorders>
        <w:shd w:val="clear" w:color="auto" w:fill="FFFFFF"/>
      </w:tcPr>
    </w:tblStylePr>
    <w:tblStylePr w:type="firstCol">
      <w:pPr>
        <w:jc w:val="right"/>
      </w:pPr>
      <w:rPr>
        <w:rFonts w:ascii="MS Mincho" w:hAnsi="MS Mincho" w:eastAsia="Verdana" w:cs="Times New Roman"/>
        <w:i/>
        <w:iCs/>
        <w:sz w:val="26"/>
      </w:rPr>
      <w:tcPr>
        <w:tcBorders>
          <w:top w:val="nil"/>
          <w:left w:val="nil"/>
          <w:bottom w:val="nil"/>
          <w:right w:val="single" w:color="7F7F7F" w:sz="4" w:space="0"/>
          <w:insideH w:val="nil"/>
          <w:insideV w:val="nil"/>
          <w:tl2br w:val="nil"/>
          <w:tr2bl w:val="nil"/>
        </w:tcBorders>
        <w:shd w:val="clear" w:color="auto" w:fill="FFFFFF"/>
      </w:tcPr>
    </w:tblStylePr>
    <w:tblStylePr w:type="lastCol">
      <w:rPr>
        <w:rFonts w:ascii="MS Mincho" w:hAnsi="MS Mincho" w:eastAsia="Verdana" w:cs="Times New Roman"/>
        <w:i/>
        <w:iCs/>
        <w:sz w:val="26"/>
      </w:rPr>
      <w:tcPr>
        <w:tcBorders>
          <w:top w:val="nil"/>
          <w:left w:val="nil"/>
          <w:bottom w:val="single" w:color="7F7F7F" w:sz="4" w:space="0"/>
          <w:right w:val="nil"/>
          <w:insideH w:val="nil"/>
          <w:insideV w:val="nil"/>
          <w:tl2br w:val="nil"/>
          <w:tr2bl w:val="nil"/>
        </w:tcBorders>
        <w:shd w:val="clear" w:color="auto" w:fill="FFFFFF"/>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tcPr>
        <w:tcBorders>
          <w:top w:val="nil"/>
          <w:left w:val="nil"/>
          <w:bottom w:val="nil"/>
          <w:right w:val="nil"/>
          <w:insideH w:val="nil"/>
          <w:insideV w:val="nil"/>
          <w:tl2br w:val="nil"/>
          <w:tr2bl w:val="nil"/>
        </w:tcBorders>
      </w:tcPr>
    </w:tblStylePr>
  </w:style>
  <w:style w:type="table" w:customStyle="1" w:styleId="1380">
    <w:name w:val="表格样式pp2"/>
    <w:basedOn w:val="83"/>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81">
    <w:name w:val="网格型（pxg）12"/>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2">
    <w:name w:val="网格型3"/>
    <w:basedOn w:val="8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3">
    <w:name w:val="表格主题（安）3"/>
    <w:basedOn w:val="83"/>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4">
    <w:name w:val="网格型（pxg）23"/>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5">
    <w:name w:val="表格aaa3"/>
    <w:basedOn w:val="83"/>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86">
    <w:name w:val="表格样式-tjgsqiu3"/>
    <w:basedOn w:val="85"/>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87">
    <w:name w:val="网格型 53"/>
    <w:basedOn w:val="83"/>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88">
    <w:name w:val="网格型（pxg）13"/>
    <w:basedOn w:val="8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89">
    <w:name w:val="环保表内字（五号）"/>
    <w:basedOn w:val="1"/>
    <w:qFormat/>
    <w:uiPriority w:val="0"/>
    <w:pPr>
      <w:adjustRightInd w:val="0"/>
      <w:snapToGrid w:val="0"/>
      <w:spacing w:line="360" w:lineRule="auto"/>
      <w:ind w:firstLine="720" w:firstLineChars="200"/>
    </w:pPr>
    <w:rPr>
      <w:snapToGrid w:val="0"/>
      <w:kern w:val="0"/>
    </w:rPr>
  </w:style>
  <w:style w:type="table" w:customStyle="1" w:styleId="1390">
    <w:name w:val="Table Normal"/>
    <w:semiHidden/>
    <w:unhideWhenUsed/>
    <w:qFormat/>
    <w:uiPriority w:val="0"/>
    <w:tblPr>
      <w:tblCellMar>
        <w:top w:w="0" w:type="dxa"/>
        <w:left w:w="0" w:type="dxa"/>
        <w:bottom w:w="0" w:type="dxa"/>
        <w:right w:w="0" w:type="dxa"/>
      </w:tblCellMar>
    </w:tblPr>
  </w:style>
  <w:style w:type="paragraph" w:customStyle="1" w:styleId="1391">
    <w:name w:val="Body text|1"/>
    <w:basedOn w:val="1"/>
    <w:qFormat/>
    <w:uiPriority w:val="0"/>
    <w:pPr>
      <w:widowControl w:val="0"/>
      <w:shd w:val="clear" w:color="auto" w:fill="auto"/>
      <w:spacing w:line="449" w:lineRule="auto"/>
      <w:ind w:firstLine="400"/>
    </w:pPr>
    <w:rPr>
      <w:rFonts w:ascii="宋体" w:hAnsi="宋体" w:eastAsia="宋体" w:cs="宋体"/>
      <w:sz w:val="22"/>
      <w:szCs w:val="22"/>
      <w:u w:val="none"/>
      <w:shd w:val="clear" w:color="auto" w:fill="auto"/>
      <w:lang w:val="zh-TW" w:eastAsia="zh-TW" w:bidi="zh-TW"/>
    </w:rPr>
  </w:style>
  <w:style w:type="paragraph" w:customStyle="1" w:styleId="1392">
    <w:name w:val="Other|1"/>
    <w:basedOn w:val="1"/>
    <w:qFormat/>
    <w:uiPriority w:val="0"/>
    <w:pPr>
      <w:widowControl w:val="0"/>
      <w:shd w:val="clear" w:color="auto" w:fill="auto"/>
      <w:spacing w:line="315" w:lineRule="exact"/>
      <w:jc w:val="center"/>
    </w:pPr>
    <w:rPr>
      <w:rFonts w:ascii="宋体" w:hAnsi="宋体" w:eastAsia="宋体" w:cs="宋体"/>
      <w:sz w:val="19"/>
      <w:szCs w:val="19"/>
      <w:u w:val="none"/>
      <w:shd w:val="clear" w:color="auto" w:fill="auto"/>
      <w:lang w:val="zh-TW" w:eastAsia="zh-TW" w:bidi="zh-TW"/>
    </w:rPr>
  </w:style>
  <w:style w:type="paragraph" w:customStyle="1" w:styleId="1393">
    <w:name w:val="Heading #3|1"/>
    <w:basedOn w:val="1"/>
    <w:qFormat/>
    <w:uiPriority w:val="0"/>
    <w:pPr>
      <w:widowControl w:val="0"/>
      <w:shd w:val="clear" w:color="auto" w:fill="auto"/>
      <w:spacing w:after="620" w:line="645" w:lineRule="exact"/>
      <w:ind w:firstLine="70"/>
      <w:jc w:val="center"/>
      <w:outlineLvl w:val="2"/>
    </w:pPr>
    <w:rPr>
      <w:rFonts w:ascii="宋体" w:hAnsi="宋体" w:eastAsia="宋体" w:cs="宋体"/>
      <w:sz w:val="36"/>
      <w:szCs w:val="36"/>
      <w:u w:val="none"/>
      <w:shd w:val="clear" w:color="auto" w:fill="auto"/>
      <w:lang w:val="zh-TW" w:eastAsia="zh-TW" w:bidi="zh-TW"/>
    </w:rPr>
  </w:style>
  <w:style w:type="paragraph" w:customStyle="1" w:styleId="1394">
    <w:name w:val="样式 标题 1一级标题 + 段前: 0.5 行 段后: 0.5 行"/>
    <w:basedOn w:val="5"/>
    <w:qFormat/>
    <w:uiPriority w:val="99"/>
    <w:pPr>
      <w:spacing w:line="320" w:lineRule="exact"/>
      <w:outlineLvl w:val="9"/>
    </w:pPr>
    <w:rPr>
      <w:spacing w:val="-6"/>
      <w:sz w:val="21"/>
      <w:szCs w:val="21"/>
    </w:rPr>
  </w:style>
  <w:style w:type="character" w:customStyle="1" w:styleId="1395">
    <w:name w:val="font61"/>
    <w:basedOn w:val="89"/>
    <w:qFormat/>
    <w:uiPriority w:val="0"/>
    <w:rPr>
      <w:rFonts w:hint="default" w:ascii="Times New Roman" w:hAnsi="Times New Roman" w:cs="Times New Roman"/>
      <w:color w:val="000000"/>
      <w:sz w:val="21"/>
      <w:szCs w:val="21"/>
      <w:u w:val="none"/>
      <w:vertAlign w:val="superscript"/>
    </w:rPr>
  </w:style>
  <w:style w:type="character" w:customStyle="1" w:styleId="1396">
    <w:name w:val="font01"/>
    <w:basedOn w:val="89"/>
    <w:qFormat/>
    <w:uiPriority w:val="0"/>
    <w:rPr>
      <w:rFonts w:hint="eastAsia" w:ascii="宋体" w:hAnsi="宋体" w:eastAsia="宋体" w:cs="宋体"/>
      <w:color w:val="000000"/>
      <w:sz w:val="21"/>
      <w:szCs w:val="21"/>
      <w:u w:val="none"/>
    </w:rPr>
  </w:style>
  <w:style w:type="character" w:customStyle="1" w:styleId="1397">
    <w:name w:val="font31"/>
    <w:basedOn w:val="89"/>
    <w:qFormat/>
    <w:uiPriority w:val="0"/>
    <w:rPr>
      <w:rFonts w:hint="default" w:ascii="Times New Roman" w:hAnsi="Times New Roman" w:cs="Times New Roman"/>
      <w:color w:val="000000"/>
      <w:sz w:val="18"/>
      <w:szCs w:val="18"/>
      <w:u w:val="none"/>
    </w:rPr>
  </w:style>
  <w:style w:type="paragraph" w:customStyle="1" w:styleId="1398">
    <w:name w:val="4正文"/>
    <w:basedOn w:val="1"/>
    <w:qFormat/>
    <w:uiPriority w:val="0"/>
    <w:pPr>
      <w:adjustRightInd w:val="0"/>
      <w:spacing w:beforeLines="50" w:afterLines="50" w:line="400" w:lineRule="atLeast"/>
      <w:ind w:firstLine="200" w:firstLineChars="200"/>
      <w:textAlignment w:val="baseline"/>
    </w:pPr>
    <w:rPr>
      <w:rFonts w:ascii="宋体" w:hAnsi="宋体"/>
      <w:sz w:val="24"/>
    </w:rPr>
  </w:style>
  <w:style w:type="character" w:customStyle="1" w:styleId="1399">
    <w:name w:val="font51"/>
    <w:basedOn w:val="89"/>
    <w:qFormat/>
    <w:uiPriority w:val="0"/>
    <w:rPr>
      <w:rFonts w:hint="default" w:ascii="Times New Roman" w:hAnsi="Times New Roman" w:cs="Times New Roman"/>
      <w:color w:val="000000"/>
      <w:sz w:val="18"/>
      <w:szCs w:val="18"/>
      <w:u w:val="none"/>
      <w:vertAlign w:val="superscript"/>
    </w:rPr>
  </w:style>
  <w:style w:type="character" w:customStyle="1" w:styleId="1400">
    <w:name w:val="font41"/>
    <w:basedOn w:val="89"/>
    <w:qFormat/>
    <w:uiPriority w:val="0"/>
    <w:rPr>
      <w:rFonts w:hint="default" w:ascii="Times New Roman" w:hAnsi="Times New Roman" w:cs="Times New Roman"/>
      <w:color w:val="000000"/>
      <w:sz w:val="21"/>
      <w:szCs w:val="21"/>
      <w:u w:val="none"/>
    </w:rPr>
  </w:style>
  <w:style w:type="character" w:customStyle="1" w:styleId="1401">
    <w:name w:val="font91"/>
    <w:basedOn w:val="89"/>
    <w:qFormat/>
    <w:uiPriority w:val="0"/>
    <w:rPr>
      <w:rFonts w:hint="eastAsia" w:ascii="宋体" w:hAnsi="宋体" w:eastAsia="宋体" w:cs="宋体"/>
      <w:color w:val="FF0000"/>
      <w:sz w:val="21"/>
      <w:szCs w:val="21"/>
      <w:u w:val="none"/>
    </w:rPr>
  </w:style>
  <w:style w:type="paragraph" w:customStyle="1" w:styleId="1402">
    <w:name w:val="表格-居中"/>
    <w:basedOn w:val="1"/>
    <w:qFormat/>
    <w:uiPriority w:val="0"/>
    <w:pPr>
      <w:spacing w:line="320" w:lineRule="exact"/>
      <w:jc w:val="center"/>
    </w:pPr>
    <w:rPr>
      <w:rFonts w:ascii="宋体"/>
      <w:szCs w:val="21"/>
    </w:rPr>
  </w:style>
  <w:style w:type="paragraph" w:customStyle="1" w:styleId="1403">
    <w:name w:val="Table Text"/>
    <w:basedOn w:val="1"/>
    <w:semiHidden/>
    <w:qFormat/>
    <w:uiPriority w:val="0"/>
    <w:rPr>
      <w:rFonts w:ascii="宋体" w:hAnsi="宋体" w:eastAsia="宋体" w:cs="宋体"/>
      <w:sz w:val="22"/>
      <w:szCs w:val="22"/>
      <w:lang w:val="en-US" w:eastAsia="en-US" w:bidi="ar-SA"/>
    </w:rPr>
  </w:style>
  <w:style w:type="paragraph" w:customStyle="1" w:styleId="1404">
    <w:name w:val="新格式表"/>
    <w:basedOn w:val="1"/>
    <w:qFormat/>
    <w:uiPriority w:val="0"/>
    <w:pPr>
      <w:adjustRightInd w:val="0"/>
      <w:snapToGrid w:val="0"/>
      <w:spacing w:line="0" w:lineRule="atLeast"/>
      <w:jc w:val="center"/>
    </w:pPr>
    <w:rPr>
      <w:color w:val="000000"/>
      <w:kern w:val="0"/>
      <w:sz w:val="30"/>
      <w:szCs w:val="21"/>
    </w:rPr>
  </w:style>
  <w:style w:type="paragraph" w:customStyle="1" w:styleId="1405">
    <w:name w:val="店子正文"/>
    <w:basedOn w:val="1"/>
    <w:qFormat/>
    <w:uiPriority w:val="0"/>
    <w:pPr>
      <w:spacing w:line="360" w:lineRule="auto"/>
      <w:ind w:firstLine="200" w:firstLineChars="200"/>
    </w:pPr>
    <w:rPr>
      <w:sz w:val="24"/>
    </w:rPr>
  </w:style>
  <w:style w:type="paragraph" w:customStyle="1" w:styleId="1406">
    <w:name w:val="正文首行缩进 221"/>
    <w:basedOn w:val="3"/>
    <w:next w:val="1"/>
    <w:qFormat/>
    <w:uiPriority w:val="0"/>
    <w:pPr>
      <w:spacing w:before="100" w:beforeAutospacing="1" w:line="360" w:lineRule="auto"/>
      <w:ind w:firstLine="420"/>
    </w:pPr>
    <w:rPr>
      <w:szCs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7" Type="http://schemas.openxmlformats.org/officeDocument/2006/relationships/fontTable" Target="fontTable.xml"/><Relationship Id="rId66" Type="http://schemas.openxmlformats.org/officeDocument/2006/relationships/customXml" Target="../customXml/item3.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4.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jpeg"/><Relationship Id="rId54" Type="http://schemas.openxmlformats.org/officeDocument/2006/relationships/image" Target="media/image40.png"/><Relationship Id="rId53" Type="http://schemas.openxmlformats.org/officeDocument/2006/relationships/image" Target="media/image39.emf"/><Relationship Id="rId52" Type="http://schemas.openxmlformats.org/officeDocument/2006/relationships/oleObject" Target="embeddings/oleObject5.bin"/><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3.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jpeg"/><Relationship Id="rId4" Type="http://schemas.openxmlformats.org/officeDocument/2006/relationships/footer" Target="foot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jpeg"/><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emf"/><Relationship Id="rId17" Type="http://schemas.openxmlformats.org/officeDocument/2006/relationships/oleObject" Target="embeddings/oleObject4.bin"/><Relationship Id="rId16" Type="http://schemas.openxmlformats.org/officeDocument/2006/relationships/image" Target="media/image4.emf"/><Relationship Id="rId15" Type="http://schemas.openxmlformats.org/officeDocument/2006/relationships/oleObject" Target="embeddings/oleObject3.bin"/><Relationship Id="rId14" Type="http://schemas.openxmlformats.org/officeDocument/2006/relationships/image" Target="media/image3.emf"/><Relationship Id="rId13" Type="http://schemas.openxmlformats.org/officeDocument/2006/relationships/oleObject" Target="embeddings/oleObject2.bin"/><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standalone='no'?>
<b:Sources xmlns:b="http://schemas.openxmlformats.org/officeDocument/2006/bibliography" Version="6" StyleName="APA" xmlns:b="http://schemas.openxmlformats.org/officeDocument/2006/bibliography" SelectedStyle="\APASixthEditionOfficeOnline.xsl"/>

</file>

<file path=customXml/item3.xml><?xml version="1.0" encoding="utf-8"?>
<contractReview xmlns="http://schemas.wps.cn/vas-ai-hub/contract-review">
  <reviewItems xmlns="http://schemas.wps.cn/vas-ai-hub/contract-review">
    <reviewItem xmlns="http://schemas.wps.cn/vas-ai-hub/contract-review">
      <errorID xmlns="http://schemas.wps.cn/vas-ai-hub/contract-review">286e0fa9-15ed-4e40-9791-cb27f0148a7a</errorID>
      <errorWord xmlns="http://schemas.wps.cn/vas-ai-hub/contract-review">[2024]1号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〔2024〕1号</item>
      </candidateList>
      <explain xmlns="http://schemas.wps.cn/vas-ai-hub/contract-review">发文字号格式错误。</explain>
      <paraID xmlns="http://schemas.wps.cn/vas-ai-hub/contract-review">6391B1A6</paraID>
      <start xmlns="http://schemas.wps.cn/vas-ai-hub/contract-review">12</start>
      <end xmlns="http://schemas.wps.cn/vas-ai-hub/contract-review">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2dcdb1f8-d19c-420c-9a4f-fccc38fed70c</errorID>
      <errorWord xmlns="http://schemas.wps.cn/vas-ai-hub/contract-review">[2017]</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〔2017〕</item>
      </candidateList>
      <explain xmlns="http://schemas.wps.cn/vas-ai-hub/contract-review"/>
      <paraID xmlns="http://schemas.wps.cn/vas-ai-hub/contract-review">68BE44DE</paraID>
      <start xmlns="http://schemas.wps.cn/vas-ai-hub/contract-review">62</start>
      <end xmlns="http://schemas.wps.cn/vas-ai-hub/contract-review">68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d7eb3783-e415-4ecc-a132-4ff02da10d0e</errorID>
      <errorWord xmlns="http://schemas.wps.cn/vas-ai-hub/contract-review">由</errorWord>
      <group xmlns="http://schemas.wps.cn/vas-ai-hub/contract-review">L1_AI</group>
      <groupName xmlns="http://schemas.wps.cn/vas-ai-hub/contract-review">深度校对</groupName>
      <ability xmlns="http://schemas.wps.cn/vas-ai-hub/contract-review">L2_AI_Word</ability>
      <abilityName xmlns="http://schemas.wps.cn/vas-ai-hub/contract-review">字词纠错</abilityName>
      <candidateList xmlns="http://schemas.wps.cn/vas-ai-hub/contract-review">
        <item xmlns="http://schemas.wps.cn/vas-ai-hub/contract-review">经</item>
      </candidateList>
      <explain xmlns="http://schemas.wps.cn/vas-ai-hub/contract-review"/>
      <paraID xmlns="http://schemas.wps.cn/vas-ai-hub/contract-review">37030A6A</paraID>
      <start xmlns="http://schemas.wps.cn/vas-ai-hub/contract-review">6</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c231697b-e30e-4007-a830-c643e65714d4</errorID>
      <errorWord xmlns="http://schemas.wps.cn/vas-ai-hub/contract-review">商由</errorWord>
      <group xmlns="http://schemas.wps.cn/vas-ai-hub/contract-review">L1_AI</group>
      <groupName xmlns="http://schemas.wps.cn/vas-ai-hub/contract-review">深度校对</groupName>
      <ability xmlns="http://schemas.wps.cn/vas-ai-hub/contract-review">L2_AI_Word</ability>
      <abilityName xmlns="http://schemas.wps.cn/vas-ai-hub/contract-review">字词纠错</abilityName>
      <candidateList xmlns="http://schemas.wps.cn/vas-ai-hub/contract-review">
        <item xmlns="http://schemas.wps.cn/vas-ai-hub/contract-review">和</item>
      </candidateList>
      <explain xmlns="http://schemas.wps.cn/vas-ai-hub/contract-review"/>
      <paraID xmlns="http://schemas.wps.cn/vas-ai-hub/contract-review">37030A6A</paraID>
      <start xmlns="http://schemas.wps.cn/vas-ai-hub/contract-review">13</start>
      <end xmlns="http://schemas.wps.cn/vas-ai-hub/contract-review">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62607a65-0fc1-4615-b58a-c62102fe7535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518129F1</paraID>
      <start xmlns="http://schemas.wps.cn/vas-ai-hub/contract-review">40</start>
      <end xmlns="http://schemas.wps.cn/vas-ai-hub/contract-review">41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55e7d75e-ab38-4180-b20e-50fe0205937f</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2E082002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af525da8-7b30-4492-aab2-25c6f9dd877f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4487363D</paraID>
      <start xmlns="http://schemas.wps.cn/vas-ai-hub/contract-review">21</start>
      <end xmlns="http://schemas.wps.cn/vas-ai-hub/contract-review">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9549624b-8511-4637-88e3-b6fa507cb205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4487363D</paraID>
      <start xmlns="http://schemas.wps.cn/vas-ai-hub/contract-review">28</start>
      <end xmlns="http://schemas.wps.cn/vas-ai-hub/contract-review">29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8b9b4c9c-5b00-4b71-a2f4-89b44a8dc37d</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45E45C09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f4bdf10b-0529-4e9f-bdea-90df60300a52</errorID>
      <errorWord xmlns="http://schemas.wps.cn/vas-ai-hub/contract-review">上线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上限</item>
      </candidateList>
      <explain xmlns="http://schemas.wps.cn/vas-ai-hub/contract-review">存在发音相同字词的误用。</explain>
      <paraID xmlns="http://schemas.wps.cn/vas-ai-hub/contract-review">45E45C09</paraID>
      <start xmlns="http://schemas.wps.cn/vas-ai-hub/contract-review">6</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79a5de32-65c5-493a-94fb-42074627e5fa</errorID>
      <errorWord xmlns="http://schemas.wps.cn/vas-ai-hub/contract-review">上线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上限</item>
      </candidateList>
      <explain xmlns="http://schemas.wps.cn/vas-ai-hub/contract-review"/>
      <paraID xmlns="http://schemas.wps.cn/vas-ai-hub/contract-review">7869837B</paraID>
      <start xmlns="http://schemas.wps.cn/vas-ai-hub/contract-review">21</start>
      <end xmlns="http://schemas.wps.cn/vas-ai-hub/contract-review">23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b5a49614-b003-4c5b-962a-125e288e670d</errorID>
      <errorWord xmlns="http://schemas.wps.cn/vas-ai-hub/contract-review">上线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上限</item>
      </candidateList>
      <explain xmlns="http://schemas.wps.cn/vas-ai-hub/contract-review"/>
      <paraID xmlns="http://schemas.wps.cn/vas-ai-hub/contract-review">7869837B</paraID>
      <start xmlns="http://schemas.wps.cn/vas-ai-hub/contract-review">152</start>
      <end xmlns="http://schemas.wps.cn/vas-ai-hub/contract-review">154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388615b0-fa13-4e78-93c6-882e0c56d3a1</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964FFB2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91e39381-02ad-4048-8297-f60101c14142</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2A5FEE1B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ee2f5458-d05d-4041-b8dd-15c3671b927c</errorID>
      <errorWord xmlns="http://schemas.wps.cn/vas-ai-hub/contract-review">&lt;</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4721621E</paraID>
      <start xmlns="http://schemas.wps.cn/vas-ai-hub/contract-review">93</start>
      <end xmlns="http://schemas.wps.cn/vas-ai-hub/contract-review">94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a066d681-541c-4b04-ad77-7486043d2939</errorID>
      <errorWord xmlns="http://schemas.wps.cn/vas-ai-hub/contract-review">&gt;的通知》</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〉的通知》</item>
      </candidateList>
      <explain xmlns="http://schemas.wps.cn/vas-ai-hub/contract-review"/>
      <paraID xmlns="http://schemas.wps.cn/vas-ai-hub/contract-review">4721621E</paraID>
      <start xmlns="http://schemas.wps.cn/vas-ai-hub/contract-review">126</start>
      <end xmlns="http://schemas.wps.cn/vas-ai-hub/contract-review">131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fbee9dd5-df62-4c8d-9756-0717dd943376</errorID>
      <errorWord xmlns="http://schemas.wps.cn/vas-ai-hub/contract-review">或是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或</item>
      </candidateList>
      <explain xmlns="http://schemas.wps.cn/vas-ai-hub/contract-review">❶〈副〉或许；也许：慰问团已经起程，明日上午～可到达。❷〈连〉或者v▲：～多～少｜不解决桥～船的问题，过河就是一句空话｜他生怕我没听清～不注意，所以又嘱咐了一遍。❸〈书〉〈代〉指示代词。某人；有的人：～告之曰。❹〈书〉副稍微：不可～缺｜不可～忽。</explain>
      <paraID xmlns="http://schemas.wps.cn/vas-ai-hub/contract-review">3406F845</paraID>
      <start xmlns="http://schemas.wps.cn/vas-ai-hub/contract-review">24</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a47191d2-e4c9-46a2-865b-d3ea1ef21565</errorID>
      <errorWord xmlns="http://schemas.wps.cn/vas-ai-hub/contract-review">无废城市</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“无废城市”</item>
      </candidateList>
      <explain xmlns="http://schemas.wps.cn/vas-ai-hub/contract-review">注意检查当前固定表述标点是否使用规范。</explain>
      <paraID xmlns="http://schemas.wps.cn/vas-ai-hub/contract-review">302F9757</paraID>
      <start xmlns="http://schemas.wps.cn/vas-ai-hub/contract-review">23</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e3cdda37-4f88-4448-b0e3-069d05098347</errorID>
      <errorWord xmlns="http://schemas.wps.cn/vas-ai-hub/contract-review">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全过</item>
      </candidateList>
      <explain xmlns="http://schemas.wps.cn/vas-ai-hub/contract-review"/>
      <paraID xmlns="http://schemas.wps.cn/vas-ai-hub/contract-review">302F9757</paraID>
      <start xmlns="http://schemas.wps.cn/vas-ai-hub/contract-review">57</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9851c389-5289-41ed-a7a8-1ce25c8d83fe</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4D0C4665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f485d101-6d20-40a1-be7e-559e47bd1211</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4A3C6282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24bdacd9-7c53-481b-be93-ea015e306f42</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F899E3A</paraID>
      <start xmlns="http://schemas.wps.cn/vas-ai-hub/contract-review">73</start>
      <end xmlns="http://schemas.wps.cn/vas-ai-hub/contract-review">74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0a3b3b69-042a-4a4b-b1c0-09e17f139ab5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F899E3A</paraID>
      <start xmlns="http://schemas.wps.cn/vas-ai-hub/contract-review">80</start>
      <end xmlns="http://schemas.wps.cn/vas-ai-hub/contract-review">81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d025ffce-c632-433f-9122-8a3ebc60e809</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F899E3A</paraID>
      <start xmlns="http://schemas.wps.cn/vas-ai-hub/contract-review">131</start>
      <end xmlns="http://schemas.wps.cn/vas-ai-hub/contract-review">132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153773e7-5e7f-4285-8f3e-39e982afc137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F899E3A</paraID>
      <start xmlns="http://schemas.wps.cn/vas-ai-hub/contract-review">138</start>
      <end xmlns="http://schemas.wps.cn/vas-ai-hub/contract-review">139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49fce5b4-06bc-46cb-bb49-66f68514532d</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 F899E3A</paraID>
      <start xmlns="http://schemas.wps.cn/vas-ai-hub/contract-review">163</start>
      <end xmlns="http://schemas.wps.cn/vas-ai-hub/contract-review">164</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7152c526-c284-4e88-9184-87481f2857b5</errorID>
      <errorWord xmlns="http://schemas.wps.cn/vas-ai-hub/contract-review">《自然资源要素支撑产业高质量发展指导目录》（2024年本）</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《自然资源要素支撑产业高质量发展指导目录（2024年本）》</item>
      </candidateList>
      <explain xmlns="http://schemas.wps.cn/vas-ai-hub/contract-review">疑似政策文件、法律法规名称等书写不规范，请注意检查。</explain>
      <paraID xmlns="http://schemas.wps.cn/vas-ai-hub/contract-review">5CDB1E3D</paraID>
      <start xmlns="http://schemas.wps.cn/vas-ai-hub/contract-review">8</start>
      <end xmlns="http://schemas.wps.cn/vas-ai-hub/contract-review">37</end>
      <status xmlns="http://schemas.wps.cn/vas-ai-hub/contract-review">modified</status>
      <modifiedWord xmlns="http://schemas.wps.cn/vas-ai-hub/contract-review">《自然资源要素支撑产业高质量发展指导目录（2024年本）》</modifiedWord>
      <trackRevisions xmlns="http://schemas.wps.cn/vas-ai-hub/contract-review">false</trackRevisions>
    </reviewItem>
    <reviewItem xmlns="http://schemas.wps.cn/vas-ai-hub/contract-review">
      <errorID xmlns="http://schemas.wps.cn/vas-ai-hub/contract-review">8df81502-dacb-48f4-b307-8c906b4aeb43</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70591E8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9715bda1-9fe3-400d-af27-85fcd711022c</errorID>
      <errorWord xmlns="http://schemas.wps.cn/vas-ai-hub/contract-review">[2017]84号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〔2017〕84号</item>
      </candidateList>
      <explain xmlns="http://schemas.wps.cn/vas-ai-hub/contract-review">发文字号格式错误。</explain>
      <paraID xmlns="http://schemas.wps.cn/vas-ai-hub/contract-review">44EB133D</paraID>
      <start xmlns="http://schemas.wps.cn/vas-ai-hub/contract-review">38</start>
      <end xmlns="http://schemas.wps.cn/vas-ai-hub/contract-review">47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7e32cc8c-869d-4f49-99b2-9d95387b9449</errorID>
      <errorWord xmlns="http://schemas.wps.cn/vas-ai-hub/contract-review">[2017]84号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〔2017〕84号</item>
      </candidateList>
      <explain xmlns="http://schemas.wps.cn/vas-ai-hub/contract-review">发文字号格式错误。</explain>
      <paraID xmlns="http://schemas.wps.cn/vas-ai-hub/contract-review">2DBB12A9</paraID>
      <start xmlns="http://schemas.wps.cn/vas-ai-hub/contract-review">11</start>
      <end xmlns="http://schemas.wps.cn/vas-ai-hub/contract-review">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e798044a-ff19-444b-938c-e3c37fff5f58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39135BCE</paraID>
      <start xmlns="http://schemas.wps.cn/vas-ai-hub/contract-review">24</start>
      <end xmlns="http://schemas.wps.cn/vas-ai-hub/contract-review">25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308d9ec3-9cc7-4436-8b01-aead1d6fff1f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39135BCE</paraID>
      <start xmlns="http://schemas.wps.cn/vas-ai-hub/contract-review">26</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d3a8919a-9ba0-4b96-85a6-48f9912c1cbf</errorID>
      <errorWord xmlns="http://schemas.wps.cn/vas-ai-hub/contract-review">山东省大气污染防治条例</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《山东省大气污染防治条例》</item>
      </candidateList>
      <explain xmlns="http://schemas.wps.cn/vas-ai-hub/contract-review">完整法律法规名称需要加书名号，请注意检查。</explain>
      <paraID xmlns="http://schemas.wps.cn/vas-ai-hub/contract-review">6D3D56A8</paraID>
      <start xmlns="http://schemas.wps.cn/vas-ai-hub/contract-review">8</start>
      <end xmlns="http://schemas.wps.cn/vas-ai-hub/contract-review">21</end>
      <status xmlns="http://schemas.wps.cn/vas-ai-hub/contract-review">modified</status>
      <modifiedWord xmlns="http://schemas.wps.cn/vas-ai-hub/contract-review">《山东省大气污染防治条例》</modifiedWord>
      <trackRevisions xmlns="http://schemas.wps.cn/vas-ai-hub/contract-review">false</trackRevisions>
    </reviewItem>
    <reviewItem xmlns="http://schemas.wps.cn/vas-ai-hub/contract-review">
      <errorID xmlns="http://schemas.wps.cn/vas-ai-hub/contract-review">bf8ec239-e8b9-4193-a5cd-677aba70372d</errorID>
      <errorWord xmlns="http://schemas.wps.cn/vas-ai-hub/contract-review">胶粘剂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胶黏剂</item>
      </candidateList>
      <explain xmlns="http://schemas.wps.cn/vas-ai-hub/contract-review"/>
      <paraID xmlns="http://schemas.wps.cn/vas-ai-hub/contract-review">340E9134</paraID>
      <start xmlns="http://schemas.wps.cn/vas-ai-hub/contract-review">39</start>
      <end xmlns="http://schemas.wps.cn/vas-ai-hub/contract-review">42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3373f64c-6f28-4c42-8ffd-737e633ef6ab</errorID>
      <errorWord xmlns="http://schemas.wps.cn/vas-ai-hub/contract-review">[2020]</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〔2020〕</item>
      </candidateList>
      <explain xmlns="http://schemas.wps.cn/vas-ai-hub/contract-review"/>
      <paraID xmlns="http://schemas.wps.cn/vas-ai-hub/contract-review">4C906494</paraID>
      <start xmlns="http://schemas.wps.cn/vas-ai-hub/contract-review">29</start>
      <end xmlns="http://schemas.wps.cn/vas-ai-hub/contract-review">35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8edf192b-4034-4193-ae13-ffdf9584926c</errorID>
      <errorWord xmlns="http://schemas.wps.cn/vas-ai-hub/contract-review">[2020]</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〔2020〕</item>
      </candidateList>
      <explain xmlns="http://schemas.wps.cn/vas-ai-hub/contract-review"/>
      <paraID xmlns="http://schemas.wps.cn/vas-ai-hub/contract-review">327E3E34</paraID>
      <start xmlns="http://schemas.wps.cn/vas-ai-hub/contract-review">7</start>
      <end xmlns="http://schemas.wps.cn/vas-ai-hub/contract-review">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0ef4f913-313c-41c7-a446-50ac4642788f</errorID>
      <errorWord xmlns="http://schemas.wps.cn/vas-ai-hub/contract-review">[2020]</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〔2020〕</item>
      </candidateList>
      <explain xmlns="http://schemas.wps.cn/vas-ai-hub/contract-review"/>
      <paraID xmlns="http://schemas.wps.cn/vas-ai-hub/contract-review">25DFEDDA</paraID>
      <start xmlns="http://schemas.wps.cn/vas-ai-hub/contract-review">10</start>
      <end xmlns="http://schemas.wps.cn/vas-ai-hub/contract-review">16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30d1819f-f08f-40e8-a63c-d37743e298ca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6A00A939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d973f59a-84a0-44c5-a442-7a7336f8bf88</errorID>
      <errorWord xmlns="http://schemas.wps.cn/vas-ai-hub/contract-review">粘</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黏</item>
      </candidateList>
      <explain xmlns="http://schemas.wps.cn/vas-ai-hub/contract-review">存在发音相同字词的误用。</explain>
      <paraID xmlns="http://schemas.wps.cn/vas-ai-hub/contract-review">6A00A939</paraID>
      <start xmlns="http://schemas.wps.cn/vas-ai-hub/contract-review">232</start>
      <end xmlns="http://schemas.wps.cn/vas-ai-hub/contract-review">233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327d3623-37b2-4c3d-bb00-fd340b30c88a</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6A00A939</paraID>
      <start xmlns="http://schemas.wps.cn/vas-ai-hub/contract-review">249</start>
      <end xmlns="http://schemas.wps.cn/vas-ai-hub/contract-review">250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27b5db43-581a-4ed2-9dfc-0cbb4223ba74</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398AF0E2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d70c9e6b-4923-48f7-a294-0c4787a7cd38</errorID>
      <errorWord xmlns="http://schemas.wps.cn/vas-ai-hub/contract-review">粘</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黏</item>
      </candidateList>
      <explain xmlns="http://schemas.wps.cn/vas-ai-hub/contract-review">存在发音相同字词的误用。</explain>
      <paraID xmlns="http://schemas.wps.cn/vas-ai-hub/contract-review">398AF0E2</paraID>
      <start xmlns="http://schemas.wps.cn/vas-ai-hub/contract-review">131</start>
      <end xmlns="http://schemas.wps.cn/vas-ai-hub/contract-review">132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e637de7f-a459-4f10-ae7c-66a251705e00</errorID>
      <errorWord xmlns="http://schemas.wps.cn/vas-ai-hub/contract-review">粘</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黏</item>
      </candidateList>
      <explain xmlns="http://schemas.wps.cn/vas-ai-hub/contract-review">存在发音相同字词的误用。</explain>
      <paraID xmlns="http://schemas.wps.cn/vas-ai-hub/contract-review">398AF0E2</paraID>
      <start xmlns="http://schemas.wps.cn/vas-ai-hub/contract-review">311</start>
      <end xmlns="http://schemas.wps.cn/vas-ai-hub/contract-review">312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d04caaba-a1e5-4b0f-87d5-5385dcf683bb</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2574C3B1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27d5d05e-6bfa-471b-9b4c-bf27185b6123</errorID>
      <errorWord xmlns="http://schemas.wps.cn/vas-ai-hub/contract-review">原件</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元件</item>
      </candidateList>
      <explain xmlns="http://schemas.wps.cn/vas-ai-hub/contract-review">〈名〉构成机器、仪表等的单个制件，可以在同类装置中掉换使用，如电阻、电容、晶体管等。</explain>
      <paraID xmlns="http://schemas.wps.cn/vas-ai-hub/contract-review">2574C3B1</paraID>
      <start xmlns="http://schemas.wps.cn/vas-ai-hub/contract-review">198</start>
      <end xmlns="http://schemas.wps.cn/vas-ai-hub/contract-review">200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973db3ca-1aea-4bd3-bd58-536f2e9b2545</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2EA179FC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91e2cd90-c4b7-4ec6-943b-a7cee892ece6</errorID>
      <errorWord xmlns="http://schemas.wps.cn/vas-ai-hub/contract-review">届时</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及时</item>
      </candidateList>
      <explain xmlns="http://schemas.wps.cn/vas-ai-hub/contract-review">存在发音相近字词的误用。</explain>
      <paraID xmlns="http://schemas.wps.cn/vas-ai-hub/contract-review">1771671F</paraID>
      <start xmlns="http://schemas.wps.cn/vas-ai-hub/contract-review">5</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fb676d3a-1a50-48a2-a4a6-64f028ca4c6c</errorID>
      <errorWord xmlns="http://schemas.wps.cn/vas-ai-hub/contract-review">[2021]58号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〔2021〕58号</item>
      </candidateList>
      <explain xmlns="http://schemas.wps.cn/vas-ai-hub/contract-review">发文字号格式错误。</explain>
      <paraID xmlns="http://schemas.wps.cn/vas-ai-hub/contract-review">7BE18357</paraID>
      <start xmlns="http://schemas.wps.cn/vas-ai-hub/contract-review">36</start>
      <end xmlns="http://schemas.wps.cn/vas-ai-hub/contract-review">45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496938e7-5bd7-495c-9fc4-52c153e81d3b</errorID>
      <errorWord xmlns="http://schemas.wps.cn/vas-ai-hub/contract-review">[2021]58号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〔2021〕58号</item>
      </candidateList>
      <explain xmlns="http://schemas.wps.cn/vas-ai-hub/contract-review">发文字号格式错误。</explain>
      <paraID xmlns="http://schemas.wps.cn/vas-ai-hub/contract-review">5939C4D3</paraID>
      <start xmlns="http://schemas.wps.cn/vas-ai-hub/contract-review">40</start>
      <end xmlns="http://schemas.wps.cn/vas-ai-hub/contract-review">49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b3b9a61c-6aba-4b85-9f7b-ce53b13f568b</errorID>
      <errorWord xmlns="http://schemas.wps.cn/vas-ai-hub/contract-review">[2021]58号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〔2021〕58号</item>
      </candidateList>
      <explain xmlns="http://schemas.wps.cn/vas-ai-hub/contract-review">发文字号格式错误。</explain>
      <paraID xmlns="http://schemas.wps.cn/vas-ai-hub/contract-review">54275A16</paraID>
      <start xmlns="http://schemas.wps.cn/vas-ai-hub/contract-review">30</start>
      <end xmlns="http://schemas.wps.cn/vas-ai-hub/contract-review">39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bdf1998a-2619-4f8d-827d-7ec2da71bb38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7FEC04C8</paraID>
      <start xmlns="http://schemas.wps.cn/vas-ai-hub/contract-review">18</start>
      <end xmlns="http://schemas.wps.cn/vas-ai-hub/contract-review">19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32b9bceb-30af-41ac-bd70-6a8bcaacecf5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7FEC04C8</paraID>
      <start xmlns="http://schemas.wps.cn/vas-ai-hub/contract-review">25</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97ee80c7-b378-44a4-8c8e-731863883151</errorID>
      <errorWord xmlns="http://schemas.wps.cn/vas-ai-hub/contract-review">规定要</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规定</item>
      </candidateList>
      <explain xmlns="http://schemas.wps.cn/vas-ai-hub/contract-review">❶〈动〉对某一事物做出关于方式、方法或数量、质量的决定：～产品的质量标准｜不得超过～的日期。❷〈名〉所规定的内容：关于下岗职工的安排问题，上级已经有了新的～。</explain>
      <paraID xmlns="http://schemas.wps.cn/vas-ai-hub/contract-review">12060314</paraID>
      <start xmlns="http://schemas.wps.cn/vas-ai-hub/contract-review">44</start>
      <end xmlns="http://schemas.wps.cn/vas-ai-hub/contract-review">47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ca6e3f32-e3c5-4f15-ab99-de136abc859e</errorID>
      <errorWord xmlns="http://schemas.wps.cn/vas-ai-hub/contract-review">制订</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制定</item>
      </candidateList>
      <explain xmlns="http://schemas.wps.cn/vas-ai-hub/contract-review">〈动〉定出（法律、规程、政策等）：～宪法｜～学会章程。</explain>
      <paraID xmlns="http://schemas.wps.cn/vas-ai-hub/contract-review">18CB5CC6</paraID>
      <start xmlns="http://schemas.wps.cn/vas-ai-hub/contract-review">4</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77fda3d4-891c-4ebc-bb7d-3fcdcf047a86</errorID>
      <errorWord xmlns="http://schemas.wps.cn/vas-ai-hub/contract-review">外逸</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外溢</item>
      </candidateList>
      <explain xmlns="http://schemas.wps.cn/vas-ai-hub/contract-review"/>
      <paraID xmlns="http://schemas.wps.cn/vas-ai-hub/contract-review">64EC0616</paraID>
      <start xmlns="http://schemas.wps.cn/vas-ai-hub/contract-review">101</start>
      <end xmlns="http://schemas.wps.cn/vas-ai-hub/contract-review">103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8661124c-4c37-42a4-942b-0b7a92051fa4</errorID>
      <errorWord xmlns="http://schemas.wps.cn/vas-ai-hub/contract-review">环保治理</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环境治理</item>
      </candidateList>
      <explain xmlns="http://schemas.wps.cn/vas-ai-hub/contract-review"/>
      <paraID xmlns="http://schemas.wps.cn/vas-ai-hub/contract-review">77535374</paraID>
      <start xmlns="http://schemas.wps.cn/vas-ai-hub/contract-review">174</start>
      <end xmlns="http://schemas.wps.cn/vas-ai-hub/contract-review">178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e7b80f07-1399-4ad1-b11b-33e36b6ead9c</errorID>
      <errorWord xmlns="http://schemas.wps.cn/vas-ai-hub/contract-review">[2023]</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〔2023〕</item>
      </candidateList>
      <explain xmlns="http://schemas.wps.cn/vas-ai-hub/contract-review"/>
      <paraID xmlns="http://schemas.wps.cn/vas-ai-hub/contract-review"> 5463F5F</paraID>
      <start xmlns="http://schemas.wps.cn/vas-ai-hub/contract-review">2</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9a0df971-8981-461a-8697-efdeab177404</errorID>
      <errorWord xmlns="http://schemas.wps.cn/vas-ai-hub/contract-review">、就</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，就</item>
      </candidateList>
      <explain xmlns="http://schemas.wps.cn/vas-ai-hub/contract-review">连接词前后不宜使用顿号，建议使用逗号。</explain>
      <paraID xmlns="http://schemas.wps.cn/vas-ai-hub/contract-review">2D6D76C6</paraID>
      <start xmlns="http://schemas.wps.cn/vas-ai-hub/contract-review">89</start>
      <end xmlns="http://schemas.wps.cn/vas-ai-hub/contract-review">91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1dde8e68-854d-47c3-a9fb-d180e102641a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42861B3F</paraID>
      <start xmlns="http://schemas.wps.cn/vas-ai-hub/contract-review">141</start>
      <end xmlns="http://schemas.wps.cn/vas-ai-hub/contract-review">142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130bc011-8875-4968-a312-c7557f913a68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42861B3F</paraID>
      <start xmlns="http://schemas.wps.cn/vas-ai-hub/contract-review">144</start>
      <end xmlns="http://schemas.wps.cn/vas-ai-hub/contract-review">145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65209619-a0ff-43eb-a1e1-bda95aab4cdf</errorID>
      <errorWord xmlns="http://schemas.wps.cn/vas-ai-hub/contract-review">[2017]140号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〔2017〕140号</item>
      </candidateList>
      <explain xmlns="http://schemas.wps.cn/vas-ai-hub/contract-review">发文字号格式错误。</explain>
      <paraID xmlns="http://schemas.wps.cn/vas-ai-hub/contract-review"> 30D2A0A</paraID>
      <start xmlns="http://schemas.wps.cn/vas-ai-hub/contract-review">123</start>
      <end xmlns="http://schemas.wps.cn/vas-ai-hub/contract-review">133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66c85ef7-85a1-41b8-988e-68b12bfb68ca</errorID>
      <errorWord xmlns="http://schemas.wps.cn/vas-ai-hub/contract-review">[2017]140号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〔2017〕140号</item>
      </candidateList>
      <explain xmlns="http://schemas.wps.cn/vas-ai-hub/contract-review">发文字号格式错误。</explain>
      <paraID xmlns="http://schemas.wps.cn/vas-ai-hub/contract-review"> 30D2A0A</paraID>
      <start xmlns="http://schemas.wps.cn/vas-ai-hub/contract-review">167</start>
      <end xmlns="http://schemas.wps.cn/vas-ai-hub/contract-review">177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75d9bedf-57b4-4ef2-b40b-a98e39dcd073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30D2A0A</paraID>
      <start xmlns="http://schemas.wps.cn/vas-ai-hub/contract-review">357</start>
      <end xmlns="http://schemas.wps.cn/vas-ai-hub/contract-review">358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a7834bc8-501e-437b-9b1b-887730bf3ca0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30D2A0A</paraID>
      <start xmlns="http://schemas.wps.cn/vas-ai-hub/contract-review">370</start>
      <end xmlns="http://schemas.wps.cn/vas-ai-hub/contract-review">371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5b396632-6218-4d6c-bcb4-6e0beafc49b9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30D2A0A</paraID>
      <start xmlns="http://schemas.wps.cn/vas-ai-hub/contract-review">371</start>
      <end xmlns="http://schemas.wps.cn/vas-ai-hub/contract-review">372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cdc365b1-b35c-4462-b3d8-72df84fe9663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30D2A0A</paraID>
      <start xmlns="http://schemas.wps.cn/vas-ai-hub/contract-review">381</start>
      <end xmlns="http://schemas.wps.cn/vas-ai-hub/contract-review">382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b497877a-db0c-4e7f-8592-71136d79b313</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15834-2011《标点符号用法》中的4.5.3.5节，标有引号的并列成分之间、标有书名号的并列成分之间通常不用顿号。如“《红楼梦》《三国演义》《西游记》《水浒传》，是我国长篇小说的四大名著”。</explain>
      <paraID xmlns="http://schemas.wps.cn/vas-ai-hub/contract-review">101E6C5A</paraID>
      <start xmlns="http://schemas.wps.cn/vas-ai-hub/contract-review">15</start>
      <end xmlns="http://schemas.wps.cn/vas-ai-hub/contract-review">18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911dba53-57eb-4b6d-92c4-fe1175fc8ca3</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101E6C5A</paraID>
      <start xmlns="http://schemas.wps.cn/vas-ai-hub/contract-review">146</start>
      <end xmlns="http://schemas.wps.cn/vas-ai-hub/contract-review">147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09939560-981c-4460-aa0f-a5aed9557438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101E6C5A</paraID>
      <start xmlns="http://schemas.wps.cn/vas-ai-hub/contract-review">167</start>
      <end xmlns="http://schemas.wps.cn/vas-ai-hub/contract-review">168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e91e7077-ad4b-4083-92c0-89554621f5a1</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3CABF611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05b73d1f-b702-48c3-87be-842d3e81e11a</errorID>
      <errorWord xmlns="http://schemas.wps.cn/vas-ai-hub/contract-review">管路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管理</item>
      </candidateList>
      <explain xmlns="http://schemas.wps.cn/vas-ai-hub/contract-review">〈动〉❶负责某项工作使顺利进行：～财务｜～国家大事。❷保管和料理：～图书｜公园～处。❸照管并约束（人或动物）：～罪犯｜～牲口。</explain>
      <paraID xmlns="http://schemas.wps.cn/vas-ai-hub/contract-review">4BB9D89D</paraID>
      <start xmlns="http://schemas.wps.cn/vas-ai-hub/contract-review">2</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9ae7f950-35c9-4097-8775-b1d97fcb72ee</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128B7D8C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2783c7e8-9f17-492e-8f95-2dfa2988627a</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6EAB32B6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ad16ad3c-d3d3-4bb4-97b4-08d414e5c70a</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6811430A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2a18268a-7635-4d0a-be17-e0d4fed38e03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explain xmlns="http://schemas.wps.cn/vas-ai-hub/contract-review">文本全半角错误。</explain>
      <paraID xmlns="http://schemas.wps.cn/vas-ai-hub/contract-review"> 3AFA6A2</paraID>
      <start xmlns="http://schemas.wps.cn/vas-ai-hub/contract-review">53</start>
      <end xmlns="http://schemas.wps.cn/vas-ai-hub/contract-review">54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204a6fe0-09b8-4b9f-858f-5bbf2c02c817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explain xmlns="http://schemas.wps.cn/vas-ai-hub/contract-review">文本全半角错误。</explain>
      <paraID xmlns="http://schemas.wps.cn/vas-ai-hub/contract-review"> 3AFA6A2</paraID>
      <start xmlns="http://schemas.wps.cn/vas-ai-hub/contract-review">69</start>
      <end xmlns="http://schemas.wps.cn/vas-ai-hub/contract-review">70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ddffac9e-045e-483f-9646-26df006c8453</errorID>
      <errorWord xmlns="http://schemas.wps.cn/vas-ai-hub/contract-review">的</errorWord>
      <group xmlns="http://schemas.wps.cn/vas-ai-hub/contract-review">L1_Word</group>
      <groupName xmlns="http://schemas.wps.cn/vas-ai-hub/contract-review">字词问题</groupName>
      <ability xmlns="http://schemas.wps.cn/vas-ai-hub/contract-review">L2_DDD</ability>
      <abilityName xmlns="http://schemas.wps.cn/vas-ai-hub/contract-review">的地得用法</abilityName>
      <candidateList xmlns="http://schemas.wps.cn/vas-ai-hub/contract-review">
        <item xmlns="http://schemas.wps.cn/vas-ai-hub/contract-review">地</item>
      </candidateList>
      <explain xmlns="http://schemas.wps.cn/vas-ai-hub/contract-review">“地”常用于连接修饰语与动词性中心语，表示动作的方式、状态或程度。</explain>
      <paraID xmlns="http://schemas.wps.cn/vas-ai-hub/contract-review">6D165C1D</paraID>
      <start xmlns="http://schemas.wps.cn/vas-ai-hub/contract-review">79</start>
      <end xmlns="http://schemas.wps.cn/vas-ai-hub/contract-review">80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dc8bf548-2aec-4579-8e7c-57f5141661d1</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6CE3737E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a01ce64f-3331-4a4a-9082-3f8b050aea15</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69BA4075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3aae1e9b-82c6-42e9-8034-1855005c9978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4AFC9F2F</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be5fb543-2f30-485a-bbcf-776842d19104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4AFC9F2F</paraID>
      <start xmlns="http://schemas.wps.cn/vas-ai-hub/contract-review">9</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046dd43f-e1dc-450c-b215-2e79784dd84b</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314D1725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885e31ad-bbed-4e96-80d3-a0440acc4418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6AFB83CF</paraID>
      <start xmlns="http://schemas.wps.cn/vas-ai-hub/contract-review">28</start>
      <end xmlns="http://schemas.wps.cn/vas-ai-hub/contract-review">29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5d4a0855-4d22-43ae-8d17-0603585163a8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6AFB83CF</paraID>
      <start xmlns="http://schemas.wps.cn/vas-ai-hub/contract-review">31</start>
      <end xmlns="http://schemas.wps.cn/vas-ai-hub/contract-review">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2c17ab94-d2c7-4be9-b406-637cc0d0d4fd</errorID>
      <errorWord xmlns="http://schemas.wps.cn/vas-ai-hub/contract-review">9、</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9.</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702890D5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53d20d67-d18a-40c5-8b23-49a76a417cc9</errorID>
      <errorWord xmlns="http://schemas.wps.cn/vas-ai-hub/contract-review">HZ</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Hz</item>
      </candidateList>
      <explain xmlns="http://schemas.wps.cn/vas-ai-hub/contract-review"/>
      <paraID xmlns="http://schemas.wps.cn/vas-ai-hub/contract-review">3CA63870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6327a66d-d869-405d-85c8-41db77190a85</errorID>
      <errorWord xmlns="http://schemas.wps.cn/vas-ai-hub/contract-review">10、</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10.</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556119B4</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c8f1d1ac-ffa6-423c-8f25-d854a224032a</errorID>
      <errorWord xmlns="http://schemas.wps.cn/vas-ai-hub/contract-review">配置</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配制</item>
      </candidateList>
      <explain xmlns="http://schemas.wps.cn/vas-ai-hub/contract-review"/>
      <paraID xmlns="http://schemas.wps.cn/vas-ai-hub/contract-review">142BAB8D</paraID>
      <start xmlns="http://schemas.wps.cn/vas-ai-hub/contract-review">18</start>
      <end xmlns="http://schemas.wps.cn/vas-ai-hub/contract-review">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b3dbced2-f8ae-454e-a872-228c9db33326</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119C1CEA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722b6538-d83c-45c1-8e0b-d328f63bacec</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614F048B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0fc29c4b-c0d1-4732-a1f1-d734ef03cc53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71A4ADF1</paraID>
      <start xmlns="http://schemas.wps.cn/vas-ai-hub/contract-review">6</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f40c4750-18cb-42bc-830b-72dde4025bc6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71A4ADF1</paraID>
      <start xmlns="http://schemas.wps.cn/vas-ai-hub/contract-review">10</start>
      <end xmlns="http://schemas.wps.cn/vas-ai-hub/contract-review">11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12141e92-97e6-48cf-aa72-11338fe4ff73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54D5635F</paraID>
      <start xmlns="http://schemas.wps.cn/vas-ai-hub/contract-review">8</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66ae3bd8-e186-4c7f-a857-bc0c035142d5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54D5635F</paraID>
      <start xmlns="http://schemas.wps.cn/vas-ai-hub/contract-review">12</start>
      <end xmlns="http://schemas.wps.cn/vas-ai-hub/contract-review">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358fcba0-cae6-43d6-80f6-f463b3711d6b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54D5635F</paraID>
      <start xmlns="http://schemas.wps.cn/vas-ai-hub/contract-review">31</start>
      <end xmlns="http://schemas.wps.cn/vas-ai-hub/contract-review">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90409d89-9f6d-4876-b510-291b683e1308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7C7378A0</paraID>
      <start xmlns="http://schemas.wps.cn/vas-ai-hub/contract-review">113</start>
      <end xmlns="http://schemas.wps.cn/vas-ai-hub/contract-review">114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93cc9fb9-a6aa-4f9a-8dc7-cc5ec1faf8de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此处标点可能未正确匹配，请检查句子中是否存在标点冗余、缺失或使用错误的情况。</explain>
      <paraID xmlns="http://schemas.wps.cn/vas-ai-hub/contract-review"> A3C18D9</paraID>
      <start xmlns="http://schemas.wps.cn/vas-ai-hub/contract-review">13</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422ec2fd-8e44-48c9-bfac-260e66458a8b</errorID>
      <errorWord xmlns="http://schemas.wps.cn/vas-ai-hub/contract-review">[2017]140号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〔2017〕140号</item>
      </candidateList>
      <explain xmlns="http://schemas.wps.cn/vas-ai-hub/contract-review">发文字号格式错误。</explain>
      <paraID xmlns="http://schemas.wps.cn/vas-ai-hub/contract-review">78E54F58</paraID>
      <start xmlns="http://schemas.wps.cn/vas-ai-hub/contract-review">123</start>
      <end xmlns="http://schemas.wps.cn/vas-ai-hub/contract-review">133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43d90dab-8b92-4c38-8565-274a42dfe7d4</errorID>
      <errorWord xmlns="http://schemas.wps.cn/vas-ai-hub/contract-review">[2017]140号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〔2017〕140号</item>
      </candidateList>
      <explain xmlns="http://schemas.wps.cn/vas-ai-hub/contract-review">发文字号格式错误。</explain>
      <paraID xmlns="http://schemas.wps.cn/vas-ai-hub/contract-review">78E54F58</paraID>
      <start xmlns="http://schemas.wps.cn/vas-ai-hub/contract-review">167</start>
      <end xmlns="http://schemas.wps.cn/vas-ai-hub/contract-review">177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e9745e0a-996e-492b-b4aa-5071799eb6e9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78E54F58</paraID>
      <start xmlns="http://schemas.wps.cn/vas-ai-hub/contract-review">357</start>
      <end xmlns="http://schemas.wps.cn/vas-ai-hub/contract-review">358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a8af8e4b-5ba3-4769-a52d-70d8a202784e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78E54F58</paraID>
      <start xmlns="http://schemas.wps.cn/vas-ai-hub/contract-review">370</start>
      <end xmlns="http://schemas.wps.cn/vas-ai-hub/contract-review">371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9d10d8ee-0923-46b5-ace1-9006bfcebf0a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78E54F58</paraID>
      <start xmlns="http://schemas.wps.cn/vas-ai-hub/contract-review">371</start>
      <end xmlns="http://schemas.wps.cn/vas-ai-hub/contract-review">372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50b6547b-47f5-4354-aee2-c67c7359de8f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78E54F58</paraID>
      <start xmlns="http://schemas.wps.cn/vas-ai-hub/contract-review">381</start>
      <end xmlns="http://schemas.wps.cn/vas-ai-hub/contract-review">382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155e7a22-da39-4a8f-bbcf-71165b68b849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20C1B473</paraID>
      <start xmlns="http://schemas.wps.cn/vas-ai-hub/contract-review">33</start>
      <end xmlns="http://schemas.wps.cn/vas-ai-hub/contract-review">34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a2dc32f6-9732-4a37-8636-07d9aaba7e2c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20C1B473</paraID>
      <start xmlns="http://schemas.wps.cn/vas-ai-hub/contract-review">56</start>
      <end xmlns="http://schemas.wps.cn/vas-ai-hub/contract-review">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5f407784-ab12-4eea-993b-70fdcb26df7f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20C1B473</paraID>
      <start xmlns="http://schemas.wps.cn/vas-ai-hub/contract-review">69</start>
      <end xmlns="http://schemas.wps.cn/vas-ai-hub/contract-review">70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48c83a76-5456-483f-b86c-ad819e588421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D775B81</paraID>
      <start xmlns="http://schemas.wps.cn/vas-ai-hub/contract-review">86</start>
      <end xmlns="http://schemas.wps.cn/vas-ai-hub/contract-review">87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6f4be6ab-287b-4133-848a-1e93912f6659</errorID>
      <errorWord xmlns="http://schemas.wps.cn/vas-ai-hub/contract-review">成份</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成分</item>
      </candidateList>
      <explain xmlns="http://schemas.wps.cn/vas-ai-hub/contract-review">（成份）chénɡ•fèn〈名〉❶指构成事物的各种不同的物质或因素：化学～｜营养～｜减轻了心里不安的～。❷指个人早先的主要经历或职业：工人～｜他的个人～是学生。</explain>
      <paraID xmlns="http://schemas.wps.cn/vas-ai-hub/contract-review"> D775B81</paraID>
      <start xmlns="http://schemas.wps.cn/vas-ai-hub/contract-review">97</start>
      <end xmlns="http://schemas.wps.cn/vas-ai-hub/contract-review">99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bed75e64-f7ed-4681-82c6-c36fb800a997</errorID>
      <errorWord xmlns="http://schemas.wps.cn/vas-ai-hub/contract-review">g/</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g.</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57DAB6BD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1951e8b4-fd0a-48ba-93bd-2ff7f63fc69e</errorID>
      <errorWord xmlns="http://schemas.wps.cn/vas-ai-hub/contract-review">g/</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g.</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603BB1AD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4b8feb2e-cf91-4b19-a2fc-83499060d8cc</errorID>
      <errorWord xmlns="http://schemas.wps.cn/vas-ai-hub/contract-review">g/</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g.</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3468F8E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25fff21d-f75a-4483-8784-11e18d13b19c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628221A4</paraID>
      <start xmlns="http://schemas.wps.cn/vas-ai-hub/contract-review">37</start>
      <end xmlns="http://schemas.wps.cn/vas-ai-hub/contract-review">38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ef9359f0-7f82-4a07-9efa-3463e78639b7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628221A4</paraID>
      <start xmlns="http://schemas.wps.cn/vas-ai-hub/contract-review">50</start>
      <end xmlns="http://schemas.wps.cn/vas-ai-hub/contract-review">51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90c3f227-39bd-4e46-9fa1-d359e335f9f4</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516F6ACC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3977d0ee-0788-4b72-ba92-de23bff121c7</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731A5CC7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a467a688-863c-4703-930b-fd034a47ca5a</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727B5339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9b09abc7-1436-49ca-bfbf-bc750b80dd68</errorID>
      <errorWord xmlns="http://schemas.wps.cn/vas-ai-hub/contract-review">[1999]113号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〔1999〕113号</item>
      </candidateList>
      <explain xmlns="http://schemas.wps.cn/vas-ai-hub/contract-review">发文字号格式错误。</explain>
      <paraID xmlns="http://schemas.wps.cn/vas-ai-hub/contract-review">2D430056</paraID>
      <start xmlns="http://schemas.wps.cn/vas-ai-hub/contract-review">29</start>
      <end xmlns="http://schemas.wps.cn/vas-ai-hub/contract-review">39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d0495bbd-e360-48a9-8020-3ab3f8a906c9</errorID>
      <errorWord xmlns="http://schemas.wps.cn/vas-ai-hub/contract-review">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区域</item>
      </candidateList>
      <explain xmlns="http://schemas.wps.cn/vas-ai-hub/contract-review"/>
      <paraID xmlns="http://schemas.wps.cn/vas-ai-hub/contract-review">2D430056</paraID>
      <start xmlns="http://schemas.wps.cn/vas-ai-hub/contract-review">230</start>
      <end xmlns="http://schemas.wps.cn/vas-ai-hub/contract-review">231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fa071225-e5e7-41bb-93f7-2be8f99b9882</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34F480D5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721d2c8a-cdbd-4cda-b4ed-0318fd3bb470</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86DD8EA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a237d0a0-c03b-4089-be95-217eac3c6f95</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7069F7D7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a33cc764-3a19-4ee8-bc78-367aea1ba6ef</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4FDCA0FD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bdca25e0-dea0-46b4-84d6-d18708404c26</errorID>
      <errorWord xmlns="http://schemas.wps.cn/vas-ai-hub/contract-review">其它</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item>
      </candidateList>
      <explain xmlns="http://schemas.wps.cn/vas-ai-hub/contract-review">词汇[其它]为不规范表述或旧称，其规范书面表述为[其他]。</explain>
      <paraID xmlns="http://schemas.wps.cn/vas-ai-hub/contract-review">51296D3D</paraID>
      <start xmlns="http://schemas.wps.cn/vas-ai-hub/contract-review">69</start>
      <end xmlns="http://schemas.wps.cn/vas-ai-hub/contract-review">71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c193f81f-f44b-4560-8da7-c5116c27f2c7</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E01C051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6f6f065c-7400-462c-a84d-5262d34ba114</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73CA0488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632b5aa9-9f0b-4d33-81f2-524e97897747</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D5B3089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660ef594-c2c8-4d4c-9d14-4871ff222eea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7F7AD3B3</paraID>
      <start xmlns="http://schemas.wps.cn/vas-ai-hub/contract-review">9</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8520fbc2-eaba-4633-8267-46aeb020e732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7F7AD3B3</paraID>
      <start xmlns="http://schemas.wps.cn/vas-ai-hub/contract-review">21</start>
      <end xmlns="http://schemas.wps.cn/vas-ai-hub/contract-review">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000c5065-5b14-4d28-859a-0c8e354f3c9c</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31C5CB9E</paraID>
      <start xmlns="http://schemas.wps.cn/vas-ai-hub/contract-review">24</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c10b5ed9-61bd-4d92-b416-39b46d7feb7c</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45750FA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91437b6d-458d-4b12-9920-ac03610b830f</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596473CB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d38d6910-0f3a-4703-96b6-db65dbb3df18</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43A03A81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0d6acb21-8a12-4c8f-980a-9acfa84bd3a4</errorID>
      <errorWord xmlns="http://schemas.wps.cn/vas-ai-hub/contract-review">[2019]132号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〔2019〕132号</item>
      </candidateList>
      <explain xmlns="http://schemas.wps.cn/vas-ai-hub/contract-review">发文字号格式错误。</explain>
      <paraID xmlns="http://schemas.wps.cn/vas-ai-hub/contract-review">31AE2529</paraID>
      <start xmlns="http://schemas.wps.cn/vas-ai-hub/contract-review">37</start>
      <end xmlns="http://schemas.wps.cn/vas-ai-hub/contract-review">47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5da00c71-716c-48e8-b281-344ce85b1860</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，对</item>
      </candidateList>
      <explain xmlns="http://schemas.wps.cn/vas-ai-hub/contract-review"/>
      <paraID xmlns="http://schemas.wps.cn/vas-ai-hub/contract-review">31AE2529</paraID>
      <start xmlns="http://schemas.wps.cn/vas-ai-hub/contract-review">156</start>
      <end xmlns="http://schemas.wps.cn/vas-ai-hub/contract-review">157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2c3b5109-1451-4155-83f8-6c5c298bfe7b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71C0ABA6</paraID>
      <start xmlns="http://schemas.wps.cn/vas-ai-hub/contract-review">123</start>
      <end xmlns="http://schemas.wps.cn/vas-ai-hub/contract-review">124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76d8b3eb-1676-4324-b643-711c57db0cef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5D47E871</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b94a1636-7200-4e52-ab50-a9ef38d2d35f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5D47E871</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fb99aca4-77d3-48b6-a20b-239bc9e69e6a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50945018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8add0d12-0c42-4ce7-9200-ed6521efec95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54487CB5</paraID>
      <start xmlns="http://schemas.wps.cn/vas-ai-hub/contract-review">50</start>
      <end xmlns="http://schemas.wps.cn/vas-ai-hub/contract-review">51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8fd066ca-cbb6-4f38-8dbf-5bed4d9b7f27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4D76FD5</paraID>
      <start xmlns="http://schemas.wps.cn/vas-ai-hub/contract-review">33</start>
      <end xmlns="http://schemas.wps.cn/vas-ai-hub/contract-review">34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d679d5b2-51c7-4bbd-808e-213cfe9586c7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4D76FD5</paraID>
      <start xmlns="http://schemas.wps.cn/vas-ai-hub/contract-review">56</start>
      <end xmlns="http://schemas.wps.cn/vas-ai-hub/contract-review">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8d73409d-4cc9-4971-b8dc-93b8ee46ac78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4D76FD5</paraID>
      <start xmlns="http://schemas.wps.cn/vas-ai-hub/contract-review">69</start>
      <end xmlns="http://schemas.wps.cn/vas-ai-hub/contract-review">70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40c8f25f-960a-48e3-846c-37e7e99417a1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1B94CB6C</paraID>
      <start xmlns="http://schemas.wps.cn/vas-ai-hub/contract-review">86</start>
      <end xmlns="http://schemas.wps.cn/vas-ai-hub/contract-review">87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2a2a4696-a1ad-40fc-bf4b-46e39c0e4b6c</errorID>
      <errorWord xmlns="http://schemas.wps.cn/vas-ai-hub/contract-review">成份</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成分</item>
      </candidateList>
      <explain xmlns="http://schemas.wps.cn/vas-ai-hub/contract-review">（成份）chénɡ•fèn〈名〉❶指构成事物的各种不同的物质或因素：化学～｜营养～｜减轻了心里不安的～。❷指个人早先的主要经历或职业：工人～｜他的个人～是学生。</explain>
      <paraID xmlns="http://schemas.wps.cn/vas-ai-hub/contract-review">1B94CB6C</paraID>
      <start xmlns="http://schemas.wps.cn/vas-ai-hub/contract-review">97</start>
      <end xmlns="http://schemas.wps.cn/vas-ai-hub/contract-review">99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405e6453-9208-4675-b63b-13c6170f93c4</errorID>
      <errorWord xmlns="http://schemas.wps.cn/vas-ai-hub/contract-review">g/</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g.</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5D1816AE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b065ceb0-845f-42e7-8602-ca4bf0a84541</errorID>
      <errorWord xmlns="http://schemas.wps.cn/vas-ai-hub/contract-review">g/</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g.</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7025336E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4f46baea-d0ac-40cc-ae2d-764d54dc79ff</errorID>
      <errorWord xmlns="http://schemas.wps.cn/vas-ai-hub/contract-review">g/</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g.</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33A938FD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126e6aa0-83ce-436b-92cf-93fa707c8b20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545E9556</paraID>
      <start xmlns="http://schemas.wps.cn/vas-ai-hub/contract-review">40</start>
      <end xmlns="http://schemas.wps.cn/vas-ai-hub/contract-review">41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154d3428-854f-4504-8f05-453a927a15e3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545E9556</paraID>
      <start xmlns="http://schemas.wps.cn/vas-ai-hub/contract-review">53</start>
      <end xmlns="http://schemas.wps.cn/vas-ai-hub/contract-review">54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966fbe3e-b14f-48eb-b9dd-fed039d79f36</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18D53799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cd31921a-f30b-4111-b4d1-349af6bcc77a</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77FA9723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64a1c076-f667-4f73-9c0f-ad7716a955ba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5FEFA85</paraID>
      <start xmlns="http://schemas.wps.cn/vas-ai-hub/contract-review">29</start>
      <end xmlns="http://schemas.wps.cn/vas-ai-hub/contract-review">30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e2099870-3eb0-4e09-af9c-71377995eccc</errorID>
      <errorWord xmlns="http://schemas.wps.cn/vas-ai-hub/contract-review">粘附</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黏附</item>
      </candidateList>
      <explain xmlns="http://schemas.wps.cn/vas-ai-hub/contract-review">词汇[粘附]为不规范表述或旧称，其规范书面表述为[黏附]。</explain>
      <paraID xmlns="http://schemas.wps.cn/vas-ai-hub/contract-review"> 8B7E23C</paraID>
      <start xmlns="http://schemas.wps.cn/vas-ai-hub/contract-review">125</start>
      <end xmlns="http://schemas.wps.cn/vas-ai-hub/contract-review">127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f7f92764-f27d-46bc-8399-4fddf86fe82b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8B7E23C</paraID>
      <start xmlns="http://schemas.wps.cn/vas-ai-hub/contract-review">234</start>
      <end xmlns="http://schemas.wps.cn/vas-ai-hub/contract-review">235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e88b9dad-e7e0-40c2-a351-2c6e2ba54bd6</errorID>
      <errorWord xmlns="http://schemas.wps.cn/vas-ai-hub/contract-review">序</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序产</item>
      </candidateList>
      <explain xmlns="http://schemas.wps.cn/vas-ai-hub/contract-review"/>
      <paraID xmlns="http://schemas.wps.cn/vas-ai-hub/contract-review">1EBF25A9</paraID>
      <start xmlns="http://schemas.wps.cn/vas-ai-hub/contract-review">66</start>
      <end xmlns="http://schemas.wps.cn/vas-ai-hub/contract-review">67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834d895e-a390-4fdf-9015-08ed1c620737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20B8F9A7</paraID>
      <start xmlns="http://schemas.wps.cn/vas-ai-hub/contract-review">71</start>
      <end xmlns="http://schemas.wps.cn/vas-ai-hub/contract-review">72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0fe58fca-529e-4741-aa6e-026bdfeb85f7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20B8F9A7</paraID>
      <start xmlns="http://schemas.wps.cn/vas-ai-hub/contract-review">82</start>
      <end xmlns="http://schemas.wps.cn/vas-ai-hub/contract-review">83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b8834926-d528-44f7-bccd-1998ab68e354</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63781F1D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583d2ff3-f04a-4c9d-a8a5-4370e9beb2be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409FFFC5</paraID>
      <start xmlns="http://schemas.wps.cn/vas-ai-hub/contract-review">82</start>
      <end xmlns="http://schemas.wps.cn/vas-ai-hub/contract-review">84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e3d37ad5-2db9-47f8-8c78-c9bbeaac1ef1</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2F1B8EE5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63cbff4b-6f3c-45dd-9956-67372e485b19</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459F62B7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d71b8c12-6790-4457-b765-cf73bfc353f7</errorID>
      <errorWord xmlns="http://schemas.wps.cn/vas-ai-hub/contract-review">做</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作</item>
      </candidateList>
      <explain xmlns="http://schemas.wps.cn/vas-ai-hub/contract-review">存在发音相同字词的误用。</explain>
      <paraID xmlns="http://schemas.wps.cn/vas-ai-hub/contract-review">36F6E2F1</paraID>
      <start xmlns="http://schemas.wps.cn/vas-ai-hub/contract-review">114</start>
      <end xmlns="http://schemas.wps.cn/vas-ai-hub/contract-review">115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1172c461-ab0b-4dcd-86cc-330fb22aad4a</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5FD5113E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e1f7b246-2138-41e0-bb2b-6a3fd173fd56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3C558BED</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9059152e-ad32-4cb3-b46c-793ff5857a35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3C558BED</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0b2300a9-2488-4411-93f0-bae354fd5e30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56F42DE0</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f55ce34d-0c67-4ba5-9a0b-cacd51965181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56F42DE0</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f62f0bda-0fe3-4570-9509-5ce911eec4bb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48358AE4</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ddea5b07-5bf7-4295-9d41-0bf8843bf99c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48358AE4</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eef7db7c-141a-4cf9-b09f-f8bc597105bc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4BECC16A</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b7585d24-ac6e-4f56-853a-b8fd4405e46c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4BECC16A</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fdcc0630-f34f-41d4-be58-86923221dea2</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388DA8C9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cb16cd07-9e32-49bd-9908-7a1906b827fd</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3D6B146A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be042306-4905-4d70-b2b1-fe9b5e542089</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13083C34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97a42111-d318-4936-858c-393c41224af2</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4C32F77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448ceddc-e1bb-4964-848a-e002657f19fa</errorID>
      <errorWord xmlns="http://schemas.wps.cn/vas-ai-hub/contract-review">减震</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减振</item>
      </candidateList>
      <explain xmlns="http://schemas.wps.cn/vas-ai-hub/contract-review">存在发音相同字词的误用。</explain>
      <paraID xmlns="http://schemas.wps.cn/vas-ai-hub/contract-review"> 381865E</paraID>
      <start xmlns="http://schemas.wps.cn/vas-ai-hub/contract-review">19</start>
      <end xmlns="http://schemas.wps.cn/vas-ai-hub/contract-review">21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88f82c2e-5237-4297-afc5-50443d917e8b</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66FD5605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5071f9e8-886b-42cf-ad22-1ade17b696ac</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，采</item>
      </candidateList>
      <explain xmlns="http://schemas.wps.cn/vas-ai-hub/contract-review"/>
      <paraID xmlns="http://schemas.wps.cn/vas-ai-hub/contract-review">6D44E32A</paraID>
      <start xmlns="http://schemas.wps.cn/vas-ai-hub/contract-review">48</start>
      <end xmlns="http://schemas.wps.cn/vas-ai-hub/contract-review">49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fab6f656-b374-4e13-acd7-828c97f4bd3f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15B57969</paraID>
      <start xmlns="http://schemas.wps.cn/vas-ai-hub/contract-review">23</start>
      <end xmlns="http://schemas.wps.cn/vas-ai-hub/contract-review">24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da2173a1-5733-4681-ba3d-b4c0101c8b77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15B57969</paraID>
      <start xmlns="http://schemas.wps.cn/vas-ai-hub/contract-review">27</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acf870a6-f007-4ab9-a07b-ba9d8dc5124b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761A8E70</paraID>
      <start xmlns="http://schemas.wps.cn/vas-ai-hub/contract-review">11</start>
      <end xmlns="http://schemas.wps.cn/vas-ai-hub/contract-review">12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f9b7fa01-50de-43e6-b917-02a63a903348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6A971F48</paraID>
      <start xmlns="http://schemas.wps.cn/vas-ai-hub/contract-review">23</start>
      <end xmlns="http://schemas.wps.cn/vas-ai-hub/contract-review">24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abe69391-e9ee-4a2a-857f-b1260bd04dc4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2A257E85</paraID>
      <start xmlns="http://schemas.wps.cn/vas-ai-hub/contract-review">39</start>
      <end xmlns="http://schemas.wps.cn/vas-ai-hub/contract-review">40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4d3258e4-e651-48f3-bab0-5f72bc3016e1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2A257E85</paraID>
      <start xmlns="http://schemas.wps.cn/vas-ai-hub/contract-review">43</start>
      <end xmlns="http://schemas.wps.cn/vas-ai-hub/contract-review">44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f388be1c-724a-4182-8250-7e3faf230539</errorID>
      <errorWord xmlns="http://schemas.wps.cn/vas-ai-hub/contract-review">a、</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a.</item>
      </candidateList>
      <explain xmlns="http://schemas.wps.cn/vas-ai-hub/contract-review">当前序号格式不规范，建议修改为规范格式[a.]。</explain>
      <paraID xmlns="http://schemas.wps.cn/vas-ai-hub/contract-review">65C7E1ED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84047de9-0cbe-47d0-85fc-5c7bd318ca27</errorID>
      <errorWord xmlns="http://schemas.wps.cn/vas-ai-hub/contract-review">b、</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b.</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6B457782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9e8578ba-6775-4207-b331-b66c74cb1a3a</errorID>
      <errorWord xmlns="http://schemas.wps.cn/vas-ai-hub/contract-review">其它</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item>
      </candidateList>
      <explain xmlns="http://schemas.wps.cn/vas-ai-hub/contract-review">词汇[其它]为不规范表述或旧称，其规范书面表述为[其他]。</explain>
      <paraID xmlns="http://schemas.wps.cn/vas-ai-hub/contract-review">3187D532</paraID>
      <start xmlns="http://schemas.wps.cn/vas-ai-hub/contract-review">16</start>
      <end xmlns="http://schemas.wps.cn/vas-ai-hub/contract-review">18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0f619edd-2077-4d0b-84db-5af2da856ce8</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2E241D6C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7cf5e2b3-5296-4a19-8a41-be56daa8a9a3</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BE933BD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21cbdb85-8c67-424f-a4a6-9f0f34b641c0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3ABB82BA</paraID>
      <start xmlns="http://schemas.wps.cn/vas-ai-hub/contract-review">113</start>
      <end xmlns="http://schemas.wps.cn/vas-ai-hub/contract-review">114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22b88f7f-10a2-4242-931a-c69b12ce199b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47C4B59E</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f20e4aa0-649d-4ee9-878e-6468352def8d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7AF31DB5</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b10241f7-58a9-494e-95aa-6b999c5b67b3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2C907478</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d210042e-c7ee-48e7-959a-2f59cc978495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705DAA87</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0b04e671-12df-475c-9276-f7a361deac1c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5C97D57B</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6cde542a-d964-469f-a306-8d4758a31b7a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7C386285</paraID>
      <start xmlns="http://schemas.wps.cn/vas-ai-hub/contract-review">1</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42817c15-daf5-4e68-9dc3-1b5ec37b3655</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7DD94B79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592c9224-30f3-420c-8f48-c22d19dcfbc9</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1A90C056</paraID>
      <start xmlns="http://schemas.wps.cn/vas-ai-hub/contract-review">42</start>
      <end xmlns="http://schemas.wps.cn/vas-ai-hub/contract-review">44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52bf19d4-0909-44cf-85f6-0ae3997f307a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7C5B0E1D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d673646d-3880-4585-86a9-1defffd2e951</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1394B331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a4183abb-31fb-4453-87eb-5cbdd220c89e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6CDECA2D</paraID>
      <start xmlns="http://schemas.wps.cn/vas-ai-hub/contract-review">62</start>
      <end xmlns="http://schemas.wps.cn/vas-ai-hub/contract-review">63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2e5c9e3b-c6c4-46db-8dcc-52f71a954f04</errorID>
      <errorWord xmlns="http://schemas.wps.cn/vas-ai-hub/contract-review">防渗的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防渗层</item>
      </candidateList>
      <explain xmlns="http://schemas.wps.cn/vas-ai-hub/contract-review"/>
      <paraID xmlns="http://schemas.wps.cn/vas-ai-hub/contract-review">41AF4C37</paraID>
      <start xmlns="http://schemas.wps.cn/vas-ai-hub/contract-review">17</start>
      <end xmlns="http://schemas.wps.cn/vas-ai-hub/contract-review">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453ff3cc-2226-4322-9753-76243093f837</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7CA88F7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8f188152-b725-4ef7-83fd-3dce7ec31278</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3B6F9FF2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e71739e2-2056-4bbb-9bc0-3aefcda8015f</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2C571D5F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7000ce30-ca73-411b-9013-657c745a007c</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F3BBE8C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c299fe97-1fdb-4642-851a-cbf63770b1d1</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4003046D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91b293e7-231d-419d-9dba-7ec87d9f3b2e</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1BD33EC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462ab2e0-db6b-4e0e-b5ce-c229e0b2ac12</errorID>
      <errorWord xmlns="http://schemas.wps.cn/vas-ai-hub/contract-review">提高</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增强</item>
      </candidateList>
      <explain xmlns="http://schemas.wps.cn/vas-ai-hub/contract-review">“提高～意识”搭配不当，建议修改为“增强～意识”。</explain>
      <paraID xmlns="http://schemas.wps.cn/vas-ai-hub/contract-review"> FA8A723</paraID>
      <start xmlns="http://schemas.wps.cn/vas-ai-hub/contract-review">72</start>
      <end xmlns="http://schemas.wps.cn/vas-ai-hub/contract-review">74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8dc85aeb-7140-4a76-8e44-29cea5edc3aa</errorID>
      <errorWord xmlns="http://schemas.wps.cn/vas-ai-hub/contract-review">泄露</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泄漏</item>
      </candidateList>
      <explain xmlns="http://schemas.wps.cn/vas-ai-hub/contract-review">存在发音相同字词的误用。</explain>
      <paraID xmlns="http://schemas.wps.cn/vas-ai-hub/contract-review">42583244</paraID>
      <start xmlns="http://schemas.wps.cn/vas-ai-hub/contract-review">72</start>
      <end xmlns="http://schemas.wps.cn/vas-ai-hub/contract-review">74</end>
      <status xmlns="http://schemas.wps.cn/vas-ai-hub/contract-review">modified</status>
      <modifiedWord xmlns="http://schemas.wps.cn/vas-ai-hub/contract-review">泄漏</modifiedWord>
      <trackRevisions xmlns="http://schemas.wps.cn/vas-ai-hub/contract-review">false</trackRevisions>
    </reviewItem>
    <reviewItem xmlns="http://schemas.wps.cn/vas-ai-hub/contract-review">
      <errorID xmlns="http://schemas.wps.cn/vas-ai-hub/contract-review">d7c45bb2-0242-4455-b642-324d3535bd53</errorID>
      <errorWord xmlns="http://schemas.wps.cn/vas-ai-hub/contract-review">减震</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减振</item>
      </candidateList>
      <explain xmlns="http://schemas.wps.cn/vas-ai-hub/contract-review">存在发音相同字词的误用。</explain>
      <paraID xmlns="http://schemas.wps.cn/vas-ai-hub/contract-review">5B3A3D49</paraID>
      <start xmlns="http://schemas.wps.cn/vas-ai-hub/contract-review">12</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f4a3ea38-2ddc-4644-89dd-9dbfd05e6850</errorID>
      <errorWord xmlns="http://schemas.wps.cn/vas-ai-hub/contract-review">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各项</item>
      </candidateList>
      <explain xmlns="http://schemas.wps.cn/vas-ai-hub/contract-review"/>
      <paraID xmlns="http://schemas.wps.cn/vas-ai-hub/contract-review">32F58767</paraID>
      <start xmlns="http://schemas.wps.cn/vas-ai-hub/contract-review">3</start>
      <end xmlns="http://schemas.wps.cn/vas-ai-hub/contract-review">5</end>
      <status xmlns="http://schemas.wps.cn/vas-ai-hub/contract-review">modified</status>
      <modifiedWord xmlns="http://schemas.wps.cn/vas-ai-hub/contract-review">各项</modifiedWord>
      <trackRevisions xmlns="http://schemas.wps.cn/vas-ai-hub/contract-review">false</trackRevisions>
    </reviewItem>
    <reviewItem xmlns="http://schemas.wps.cn/vas-ai-hub/contract-review">
      <errorID xmlns="http://schemas.wps.cn/vas-ai-hub/contract-review">a0af5173-83b0-40fa-923c-9d903046ffe8</errorID>
      <errorWord xmlns="http://schemas.wps.cn/vas-ai-hub/contract-review">良好地</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良好</item>
      </candidateList>
      <explain xmlns="http://schemas.wps.cn/vas-ai-hub/contract-review"/>
      <paraID xmlns="http://schemas.wps.cn/vas-ai-hub/contract-review">32F58767</paraID>
      <start xmlns="http://schemas.wps.cn/vas-ai-hub/contract-review">36</start>
      <end xmlns="http://schemas.wps.cn/vas-ai-hub/contract-review">39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d985a02b-a54d-4507-ae5e-8503ae71858b</errorID>
      <errorWord xmlns="http://schemas.wps.cn/vas-ai-hub/contract-review">需具备</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须具备</item>
      </candidateList>
      <explain xmlns="http://schemas.wps.cn/vas-ai-hub/contract-review"/>
      <paraID xmlns="http://schemas.wps.cn/vas-ai-hub/contract-review">63CB1255</paraID>
      <start xmlns="http://schemas.wps.cn/vas-ai-hub/contract-review">143</start>
      <end xmlns="http://schemas.wps.cn/vas-ai-hub/contract-review">146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faa44406-de77-4c6f-9fba-bee8c1b212a6</errorID>
      <errorWord xmlns="http://schemas.wps.cn/vas-ai-hub/contract-review">[2016]81号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〔2016〕81号</item>
      </candidateList>
      <explain xmlns="http://schemas.wps.cn/vas-ai-hub/contract-review">发文字号格式错误。</explain>
      <paraID xmlns="http://schemas.wps.cn/vas-ai-hub/contract-review">11F2BAB5</paraID>
      <start xmlns="http://schemas.wps.cn/vas-ai-hub/contract-review">22</start>
      <end xmlns="http://schemas.wps.cn/vas-ai-hub/contract-review">31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7fe78000-8753-4da9-bb08-2a04f7f84060</errorID>
      <errorWord xmlns="http://schemas.wps.cn/vas-ai-hub/contract-review">[2016]186号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〔2016〕186号</item>
      </candidateList>
      <explain xmlns="http://schemas.wps.cn/vas-ai-hub/contract-review">发文字号格式错误。</explain>
      <paraID xmlns="http://schemas.wps.cn/vas-ai-hub/contract-review">11F2BAB5</paraID>
      <start xmlns="http://schemas.wps.cn/vas-ai-hub/contract-review">50</start>
      <end xmlns="http://schemas.wps.cn/vas-ai-hub/contract-review">60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3cf44790-9554-4532-b484-c98fbc478529</errorID>
      <errorWord xmlns="http://schemas.wps.cn/vas-ai-hub/contract-review">《排污许可管理条例（国务院令第736号）》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《排污许可管理条例》（国务院令第736号）</item>
      </candidateList>
      <explain xmlns="http://schemas.wps.cn/vas-ai-hub/contract-review">疑似政策文件、法律法规名称等书写不规范，请注意检查。</explain>
      <paraID xmlns="http://schemas.wps.cn/vas-ai-hub/contract-review">11F2BAB5</paraID>
      <start xmlns="http://schemas.wps.cn/vas-ai-hub/contract-review">62</start>
      <end xmlns="http://schemas.wps.cn/vas-ai-hub/contract-review">83</end>
      <status xmlns="http://schemas.wps.cn/vas-ai-hub/contract-review">modified</status>
      <modifiedWord xmlns="http://schemas.wps.cn/vas-ai-hub/contract-review">《排污许可管理条例》（国务院令第736号）</modifiedWord>
      <trackRevisions xmlns="http://schemas.wps.cn/vas-ai-hub/contract-review">false</trackRevisions>
    </reviewItem>
    <reviewItem xmlns="http://schemas.wps.cn/vas-ai-hub/contract-review">
      <errorID xmlns="http://schemas.wps.cn/vas-ai-hub/contract-review">bbf850f6-e7a6-4a70-bb23-5ecf3a28d7b0</errorID>
      <errorWord xmlns="http://schemas.wps.cn/vas-ai-hub/contract-review">[2016]81号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〔2016〕81号</item>
      </candidateList>
      <explain xmlns="http://schemas.wps.cn/vas-ai-hub/contract-review">发文字号格式错误。</explain>
      <paraID xmlns="http://schemas.wps.cn/vas-ai-hub/contract-review">6DD305EC</paraID>
      <start xmlns="http://schemas.wps.cn/vas-ai-hub/contract-review">22</start>
      <end xmlns="http://schemas.wps.cn/vas-ai-hub/contract-review">31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20f1c5de-1b67-4143-a9f3-ecc3dbdf9a93</errorID>
      <errorWord xmlns="http://schemas.wps.cn/vas-ai-hub/contract-review">&lt;</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6DD305EC</paraID>
      <start xmlns="http://schemas.wps.cn/vas-ai-hub/contract-review">50</start>
      <end xmlns="http://schemas.wps.cn/vas-ai-hub/contract-review">51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a6bda9d6-fc11-45d9-8533-1a145ad6c5af</errorID>
      <errorWord xmlns="http://schemas.wps.cn/vas-ai-hub/contract-review">&gt;的通知》</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〉的通知》</item>
      </candidateList>
      <explain xmlns="http://schemas.wps.cn/vas-ai-hub/contract-review"/>
      <paraID xmlns="http://schemas.wps.cn/vas-ai-hub/contract-review">6DD305EC</paraID>
      <start xmlns="http://schemas.wps.cn/vas-ai-hub/contract-review">62</start>
      <end xmlns="http://schemas.wps.cn/vas-ai-hub/contract-review">67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4f3663f4-2d2c-46db-b125-3ca9c7f15b60</errorID>
      <errorWord xmlns="http://schemas.wps.cn/vas-ai-hub/contract-review">[2016]186号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〔2016〕186号</item>
      </candidateList>
      <explain xmlns="http://schemas.wps.cn/vas-ai-hub/contract-review">发文字号格式错误。</explain>
      <paraID xmlns="http://schemas.wps.cn/vas-ai-hub/contract-review">6DD305EC</paraID>
      <start xmlns="http://schemas.wps.cn/vas-ai-hub/contract-review">71</start>
      <end xmlns="http://schemas.wps.cn/vas-ai-hub/contract-review">81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a50d76de-d1b0-4a8e-bc51-4ff3ecbf5015</errorID>
      <errorWord xmlns="http://schemas.wps.cn/vas-ai-hub/contract-review">《排污许可管理条例（国务院令第736号）》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《排污许可管理条例》（国务院令第736号）</item>
      </candidateList>
      <explain xmlns="http://schemas.wps.cn/vas-ai-hub/contract-review">疑似政策文件、法律法规名称等书写不规范，请注意检查。</explain>
      <paraID xmlns="http://schemas.wps.cn/vas-ai-hub/contract-review">6DD305EC</paraID>
      <start xmlns="http://schemas.wps.cn/vas-ai-hub/contract-review">95</start>
      <end xmlns="http://schemas.wps.cn/vas-ai-hub/contract-review">116</end>
      <status xmlns="http://schemas.wps.cn/vas-ai-hub/contract-review">modified</status>
      <modifiedWord xmlns="http://schemas.wps.cn/vas-ai-hub/contract-review">《排污许可管理条例》（国务院令第736号）</modifiedWord>
      <trackRevisions xmlns="http://schemas.wps.cn/vas-ai-hub/contract-review">false</trackRevisions>
    </reviewItem>
    <reviewItem xmlns="http://schemas.wps.cn/vas-ai-hub/contract-review">
      <errorID xmlns="http://schemas.wps.cn/vas-ai-hub/contract-review">eeb71cdf-ffaf-4f62-a7b5-c2a54c4a5bea</errorID>
      <errorWord xmlns="http://schemas.wps.cn/vas-ai-hub/contract-review">[2020]9号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〔2020〕9号</item>
      </candidateList>
      <explain xmlns="http://schemas.wps.cn/vas-ai-hub/contract-review">发文字号格式错误。</explain>
      <paraID xmlns="http://schemas.wps.cn/vas-ai-hub/contract-review">56A99AF9</paraID>
      <start xmlns="http://schemas.wps.cn/vas-ai-hub/contract-review">33</start>
      <end xmlns="http://schemas.wps.cn/vas-ai-hub/contract-review">41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3cbb041a-3496-45c5-87e6-3db89b9a40ea</errorID>
      <errorWord xmlns="http://schemas.wps.cn/vas-ai-hub/contract-review">2020年01月06日</errorWord>
      <group xmlns="http://schemas.wps.cn/vas-ai-hub/contract-review">L1_Knowledge</group>
      <groupName xmlns="http://schemas.wps.cn/vas-ai-hub/contract-review">知识性问题</groupName>
      <ability xmlns="http://schemas.wps.cn/vas-ai-hub/contract-review">L2_Time</ability>
      <abilityName xmlns="http://schemas.wps.cn/vas-ai-hub/contract-review">日期时间</abilityName>
      <candidateList xmlns="http://schemas.wps.cn/vas-ai-hub/contract-review">
        <item xmlns="http://schemas.wps.cn/vas-ai-hub/contract-review">2020年1月6日</item>
      </candidateList>
      <explain xmlns="http://schemas.wps.cn/vas-ai-hub/contract-review">根据日常书写习惯，月份和日期一般会省略前导零。</explain>
      <paraID xmlns="http://schemas.wps.cn/vas-ai-hub/contract-review">56A99AF9</paraID>
      <start xmlns="http://schemas.wps.cn/vas-ai-hub/contract-review">42</start>
      <end xmlns="http://schemas.wps.cn/vas-ai-hub/contract-review">53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e3e47fe4-2f70-429d-beb9-342306c9fb28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56A99AF9</paraID>
      <start xmlns="http://schemas.wps.cn/vas-ai-hub/contract-review">105</start>
      <end xmlns="http://schemas.wps.cn/vas-ai-hub/contract-review">106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98556a6d-b744-4a0f-b6fd-d99d396c5e66</errorID>
      <errorWord xmlns="http://schemas.wps.cn/vas-ai-hub/contract-review">《排污口规范化整治要求》（试行）</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《排污口规范化整治要求（试行）》</item>
      </candidateList>
      <explain xmlns="http://schemas.wps.cn/vas-ai-hub/contract-review">疑似政策文件、法律法规名称等书写不规范，请注意检查。</explain>
      <paraID xmlns="http://schemas.wps.cn/vas-ai-hub/contract-review">140DFACB</paraID>
      <start xmlns="http://schemas.wps.cn/vas-ai-hub/contract-review">32</start>
      <end xmlns="http://schemas.wps.cn/vas-ai-hub/contract-review">48</end>
      <status xmlns="http://schemas.wps.cn/vas-ai-hub/contract-review">modified</status>
      <modifiedWord xmlns="http://schemas.wps.cn/vas-ai-hub/contract-review">《排污口规范化整治要求（试行）》</modifiedWord>
      <trackRevisions xmlns="http://schemas.wps.cn/vas-ai-hub/contract-review">false</trackRevisions>
    </reviewItem>
    <reviewItem xmlns="http://schemas.wps.cn/vas-ai-hub/contract-review">
      <errorID xmlns="http://schemas.wps.cn/vas-ai-hub/contract-review">391c17a2-c0e1-4583-a620-c20e6a7086b7</errorID>
      <errorWord xmlns="http://schemas.wps.cn/vas-ai-hub/contract-review">[1996]470号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〔1996〕470号</item>
      </candidateList>
      <explain xmlns="http://schemas.wps.cn/vas-ai-hub/contract-review">发文字号格式错误。</explain>
      <paraID xmlns="http://schemas.wps.cn/vas-ai-hub/contract-review">140DFACB</paraID>
      <start xmlns="http://schemas.wps.cn/vas-ai-hub/contract-review">56</start>
      <end xmlns="http://schemas.wps.cn/vas-ai-hub/contract-review">66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1ad653f4-bc84-4a0b-8009-2ae9662d9df0</errorID>
      <errorWord xmlns="http://schemas.wps.cn/vas-ai-hub/contract-review">[1999]24号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〔1999〕24号</item>
      </candidateList>
      <explain xmlns="http://schemas.wps.cn/vas-ai-hub/contract-review">发文字号格式错误。</explain>
      <paraID xmlns="http://schemas.wps.cn/vas-ai-hub/contract-review">564EE242</paraID>
      <start xmlns="http://schemas.wps.cn/vas-ai-hub/contract-review">31</start>
      <end xmlns="http://schemas.wps.cn/vas-ai-hub/contract-review">40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59090555-b4e6-407b-b36d-aa3214d3d69e</errorID>
      <errorWord xmlns="http://schemas.wps.cn/vas-ai-hub/contract-review">[1999]24号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〔1999〕24号</item>
      </candidateList>
      <explain xmlns="http://schemas.wps.cn/vas-ai-hub/contract-review">发文字号格式错误。</explain>
      <paraID xmlns="http://schemas.wps.cn/vas-ai-hub/contract-review">564EE242</paraID>
      <start xmlns="http://schemas.wps.cn/vas-ai-hub/contract-review">55</start>
      <end xmlns="http://schemas.wps.cn/vas-ai-hub/contract-review">64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b575017d-c503-41b5-985e-311535c16656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2EA91CDC</paraID>
      <start xmlns="http://schemas.wps.cn/vas-ai-hub/contract-review">2</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0800519c-d386-4dd9-9037-00f3d12a87c5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2EA91CDC</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a06f5d16-1520-4294-aa60-4d48792d414a</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674523AA</paraID>
      <start xmlns="http://schemas.wps.cn/vas-ai-hub/contract-review">38</start>
      <end xmlns="http://schemas.wps.cn/vas-ai-hub/contract-review">39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3dc1754e-819b-487c-8da9-6130d588fff4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674523AA</paraID>
      <start xmlns="http://schemas.wps.cn/vas-ai-hub/contract-review">81</start>
      <end xmlns="http://schemas.wps.cn/vas-ai-hub/contract-review">82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dff1e9c3-37fc-443f-8ffa-8f7f491f2754</errorID>
      <errorWord xmlns="http://schemas.wps.cn/vas-ai-hub/contract-review">提高</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增强</item>
      </candidateList>
      <explain xmlns="http://schemas.wps.cn/vas-ai-hub/contract-review">“提高～意识”搭配不当，建议修改为“增强～意识”。</explain>
      <paraID xmlns="http://schemas.wps.cn/vas-ai-hub/contract-review">2CB75F7B</paraID>
      <start xmlns="http://schemas.wps.cn/vas-ai-hub/contract-review">72</start>
      <end xmlns="http://schemas.wps.cn/vas-ai-hub/contract-review">74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a712125a-bcc7-4c3a-846b-8600e773bd1c</errorID>
      <errorWord xmlns="http://schemas.wps.cn/vas-ai-hub/contract-review">泄露</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泄漏</item>
      </candidateList>
      <explain xmlns="http://schemas.wps.cn/vas-ai-hub/contract-review">存在发音相同字词的误用。</explain>
      <paraID xmlns="http://schemas.wps.cn/vas-ai-hub/contract-review"> 8652485</paraID>
      <start xmlns="http://schemas.wps.cn/vas-ai-hub/contract-review">72</start>
      <end xmlns="http://schemas.wps.cn/vas-ai-hub/contract-review">74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e99b4324-0635-43f5-91b4-3cb3ac9a7dee</errorID>
      <errorWord xmlns="http://schemas.wps.cn/vas-ai-hub/contract-review">物质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物资</item>
      </candidateList>
      <explain xmlns="http://schemas.wps.cn/vas-ai-hub/contract-review"/>
      <paraID xmlns="http://schemas.wps.cn/vas-ai-hub/contract-review"> E64C7B8</paraID>
      <start xmlns="http://schemas.wps.cn/vas-ai-hub/contract-review">6</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4d934b88-e5d8-429c-bcfa-5dd4d658ac4b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70474BA8</paraID>
      <start xmlns="http://schemas.wps.cn/vas-ai-hub/contract-review">15</start>
      <end xmlns="http://schemas.wps.cn/vas-ai-hub/contract-review">16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d8d6423c-72f5-4356-b940-0857341bba2f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70474BA8</paraID>
      <start xmlns="http://schemas.wps.cn/vas-ai-hub/contract-review">20</start>
      <end xmlns="http://schemas.wps.cn/vas-ai-hub/contract-review">21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6a7db4bb-bbd4-41df-989e-a943cc3fda7f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70474BA8</paraID>
      <start xmlns="http://schemas.wps.cn/vas-ai-hub/contract-review">26</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a59bfdb7-dc19-4a8b-97c5-9e3e474ebbbf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51CBC8FA</paraID>
      <start xmlns="http://schemas.wps.cn/vas-ai-hub/contract-review">22</start>
      <end xmlns="http://schemas.wps.cn/vas-ai-hub/contract-review">23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5143012b-2d1c-4acb-abdf-edcac5ce0549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51CBC8FA</paraID>
      <start xmlns="http://schemas.wps.cn/vas-ai-hub/contract-review">29</start>
      <end xmlns="http://schemas.wps.cn/vas-ai-hub/contract-review">30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5dd8c10d-ac58-4383-9b3b-d94416322d0e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18CC3BB8</paraID>
      <start xmlns="http://schemas.wps.cn/vas-ai-hub/contract-review">14</start>
      <end xmlns="http://schemas.wps.cn/vas-ai-hub/contract-review">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cd1226fc-f528-4fd9-9a3c-87a99a1bdebb</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18CC3BB8</paraID>
      <start xmlns="http://schemas.wps.cn/vas-ai-hub/contract-review">19</start>
      <end xmlns="http://schemas.wps.cn/vas-ai-hub/contract-review">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44e92ee8-4013-479d-ac24-ee8d3da84c8c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18CC3BB8</paraID>
      <start xmlns="http://schemas.wps.cn/vas-ai-hub/contract-review">25</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55ec48ed-df37-4bfa-9ff6-3fc16341a347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538A57DF</paraID>
      <start xmlns="http://schemas.wps.cn/vas-ai-hub/contract-review">21</start>
      <end xmlns="http://schemas.wps.cn/vas-ai-hub/contract-review">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37179e1f-75d0-40ed-948b-9bb330336df6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538A57DF</paraID>
      <start xmlns="http://schemas.wps.cn/vas-ai-hub/contract-review">28</start>
      <end xmlns="http://schemas.wps.cn/vas-ai-hub/contract-review">29</end>
      <status xmlns="http://schemas.wps.cn/vas-ai-hub/contract-review">unmodified</status>
      <modifiedWord xmlns="http://schemas.wps.cn/vas-ai-hub/contract-review"/>
      <trackRevisions xmlns="http://schemas.wps.cn/vas-ai-hub/contract-review">false</trackRevisions>
    </reviewItem>
  </reviewItems>
  <config xmlns="http://schemas.wps.cn/vas-ai-hub/contract-review"/>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6F041C3-323D-48F2-8920-85CD077E5D6D}">
  <ds:schemaRefs/>
</ds:datastoreItem>
</file>

<file path=customXml/itemProps3.xml><?xml version="1.0" encoding="utf-8"?>
<ds:datastoreItem xmlns:ds="http://schemas.openxmlformats.org/officeDocument/2006/customXml" ds:itemID="{f786a7a1-4691-44da-89f5-0d402d55d976}">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102</Pages>
  <Words>117</Words>
  <Characters>143</Characters>
  <Lines>432</Lines>
  <Paragraphs>121</Paragraphs>
  <TotalTime>4</TotalTime>
  <ScaleCrop>false</ScaleCrop>
  <LinksUpToDate>false</LinksUpToDate>
  <CharactersWithSpaces>222</CharactersWithSpaces>
  <Application>WPS Office_12.1.2.22550_F1E327BC-269C-435d-A152-05C5408002CA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2021-03-28T14:51:00Z</dcterms:created>
  <dc:creator>lhj</dc:creator>
  <cp:lastModifiedBy>user</cp:lastModifiedBy>
  <cp:lastPrinted>2025-03-27T11:10:00Z</cp:lastPrinted>
  <dcterms:modified xsi:type="dcterms:W3CDTF">2026-03-24T16:00:42Z</dcterms:modified>
  <dc:title>附件2</dc:title>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2052-12.1.2.22550</vt:lpwstr>
  </property>
  <property fmtid="{D5CDD505-2E9C-101B-9397-08002B2CF9AE}" pid="3" name="ICV">
    <vt:lpwstr>764B7A9CE8A040358B48D96AF526287E</vt:lpwstr>
  </property>
  <property fmtid="{D5CDD505-2E9C-101B-9397-08002B2CF9AE}" pid="4" name="KSOTemplateDocerSaveRecord">
    <vt:lpwstr>eyJoZGlkIjoiMjEwMDVjOTg4ZjVjYTRmZjYwZmFmNDkxZGRlMTQ4MzgiLCJ1c2VySWQiOiIyNDYwOTY4OTAifQ==</vt:lpwstr>
  </property>
</Properties>
</file>